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120" w:after="283"/>
        <w:jc w:val="center"/>
        <w:rPr/>
      </w:pPr>
      <w:r>
        <w:rPr>
          <w:rFonts w:ascii="Times New Roman;serif" w:hAnsi="Times New Roman;serif"/>
          <w:b/>
          <w:color w:val="000000"/>
          <w:sz w:val="18"/>
          <w:shd w:fill="FFFFFF" w:val="clear"/>
        </w:rPr>
        <w:t>For the transition period from __________ to __________</w:t>
      </w:r>
      <w:r>
        <w:rPr>
          <w:rFonts w:ascii="Times New Roman;serif" w:hAnsi="Times New Roman;serif"/>
          <w:b/>
          <w:color w:val="000000"/>
          <w:sz w:val="18"/>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001-40973</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AirSculpt Technologies,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87-1471855</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tbl>
      <w:tblPr>
        <w:tblW w:w="4181" w:type="dxa"/>
        <w:jc w:val="left"/>
        <w:tblInd w:w="0" w:type="dxa"/>
        <w:tblLayout w:type="fixed"/>
        <w:tblCellMar>
          <w:top w:w="28" w:type="dxa"/>
          <w:left w:w="28" w:type="dxa"/>
          <w:bottom w:w="28" w:type="dxa"/>
          <w:right w:w="28" w:type="dxa"/>
        </w:tblCellMar>
      </w:tblPr>
      <w:tblGrid>
        <w:gridCol w:w="1057"/>
        <w:gridCol w:w="932"/>
        <w:gridCol w:w="936"/>
        <w:gridCol w:w="109"/>
        <w:gridCol w:w="109"/>
        <w:gridCol w:w="109"/>
        <w:gridCol w:w="272"/>
        <w:gridCol w:w="272"/>
        <w:gridCol w:w="385"/>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1111 Lincoln Road, Suite 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Miami Beach, FL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33139</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pPr>
      <w:r>
        <w:rPr>
          <w:rFonts w:ascii="Times New Roman;serif" w:hAnsi="Times New Roman;serif"/>
          <w:b w:val="false"/>
          <w:color w:val="000000"/>
          <w:sz w:val="18"/>
        </w:rPr>
        <w:t>Registrant’s telephone number, including area code:</w:t>
      </w:r>
      <w:r>
        <w:rPr>
          <w:color w:val="000000"/>
        </w:rPr>
        <w:t xml:space="preserve"> </w:t>
      </w:r>
      <w:r>
        <w:rPr>
          <w:rFonts w:ascii="Times New Roman;serif" w:hAnsi="Times New Roman;serif"/>
          <w:b/>
          <w:color w:val="000000"/>
          <w:sz w:val="18"/>
        </w:rPr>
        <w:t>(786) 709-9690</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87"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x</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registrant had 72,095,209 shares of common stock outstanding as of August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02"/>
        <w:gridCol w:w="441"/>
        <w:gridCol w:w="441"/>
        <w:gridCol w:w="2843"/>
        <w:gridCol w:w="2692"/>
        <w:gridCol w:w="2712"/>
        <w:gridCol w:w="167"/>
        <w:gridCol w:w="167"/>
        <w:gridCol w:w="240"/>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76" w:before="0" w:after="40"/>
              <w:jc w:val="left"/>
              <w:rPr/>
            </w:pPr>
            <w:hyperlink w:anchor="ib9d77f08fee24020b3be16e3b51cb523_70">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76">
              <w:r>
                <w:rPr>
                  <w:rStyle w:val="InternetLink"/>
                  <w:rFonts w:ascii="Times New Roman;serif" w:hAnsi="Times New Roman;serif"/>
                  <w:b w:val="false"/>
                  <w:color w:val="0000FF"/>
                  <w:sz w:val="20"/>
                  <w:u w:val="single"/>
                </w:rPr>
                <w:t>Item 1.</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76">
              <w:r>
                <w:rPr>
                  <w:rStyle w:val="InternetLink"/>
                  <w:rFonts w:ascii="Times New Roman;serif" w:hAnsi="Times New Roman;serif"/>
                  <w:b w:val="false"/>
                  <w:color w:val="0000FF"/>
                  <w:sz w:val="20"/>
                  <w:u w:val="single"/>
                </w:rPr>
                <w:t>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76">
              <w:r>
                <w:rPr>
                  <w:rStyle w:val="InternetLink"/>
                  <w:rFonts w:ascii="Times New Roman;serif" w:hAnsi="Times New Roman;serif"/>
                  <w:b w:val="false"/>
                  <w:strike w:val="false"/>
                  <w:dstrike w:val="false"/>
                  <w:color w:val="000000"/>
                  <w:sz w:val="20"/>
                  <w:u w:val="none"/>
                  <w:effect w:val="none"/>
                </w:rPr>
                <w:t>2</w:t>
              </w:r>
            </w:hyperlink>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2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2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2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2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82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85">
              <w:r>
                <w:rPr>
                  <w:rStyle w:val="InternetLink"/>
                  <w:rFonts w:ascii="Times New Roman;serif" w:hAnsi="Times New Roman;serif"/>
                  <w:b w:val="false"/>
                  <w:color w:val="000080"/>
                  <w:sz w:val="20"/>
                  <w:u w:val="single"/>
                </w:rPr>
                <w:t xml:space="preserve">Condensed Consolidated Balance Sheets as of </w:t>
              </w:r>
            </w:hyperlink>
            <w:hyperlink w:anchor="ib9d77f08fee24020b3be16e3b51cb523_85">
              <w:r>
                <w:rPr>
                  <w:rStyle w:val="InternetLink"/>
                  <w:rFonts w:ascii="Times New Roman;serif" w:hAnsi="Times New Roman;serif"/>
                  <w:b w:val="false"/>
                  <w:color w:val="000080"/>
                  <w:sz w:val="20"/>
                  <w:u w:val="single"/>
                </w:rPr>
                <w:t>June 30</w:t>
              </w:r>
            </w:hyperlink>
            <w:hyperlink w:anchor="ib9d77f08fee24020b3be16e3b51cb523_85">
              <w:r>
                <w:rPr>
                  <w:rStyle w:val="InternetLink"/>
                  <w:rFonts w:ascii="Times New Roman;serif" w:hAnsi="Times New Roman;serif"/>
                  <w:b w:val="false"/>
                  <w:color w:val="000080"/>
                  <w:sz w:val="20"/>
                  <w:u w:val="single"/>
                </w:rPr>
                <w:t>, 2026 (Unaudited) and December 31, 202</w:t>
              </w:r>
            </w:hyperlink>
            <w:r>
              <w:rPr>
                <w:rFonts w:ascii="Times New Roman;serif" w:hAnsi="Times New Roman;serif"/>
                <w:b w:val="false"/>
                <w:color w:val="000000"/>
                <w:sz w:val="20"/>
              </w:rPr>
              <w:t>5</w:t>
            </w:r>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85">
              <w:r>
                <w:rPr>
                  <w:rStyle w:val="InternetLink"/>
                  <w:rFonts w:ascii="Times New Roman;serif" w:hAnsi="Times New Roman;serif"/>
                  <w:b w:val="false"/>
                  <w:strike w:val="false"/>
                  <w:dstrike w:val="false"/>
                  <w:color w:val="000000"/>
                  <w:sz w:val="20"/>
                  <w:u w:val="none"/>
                  <w:effect w:val="none"/>
                </w:rPr>
                <w:t>2</w:t>
              </w:r>
            </w:hyperlink>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88">
              <w:r>
                <w:rPr>
                  <w:rStyle w:val="InternetLink"/>
                  <w:rFonts w:ascii="Times New Roman;serif" w:hAnsi="Times New Roman;serif"/>
                  <w:b w:val="false"/>
                  <w:color w:val="000080"/>
                  <w:sz w:val="20"/>
                  <w:u w:val="single"/>
                </w:rPr>
                <w:t>Condensed Consolidated Statements of Operations for the Three</w:t>
              </w:r>
            </w:hyperlink>
            <w:hyperlink w:anchor="ib9d77f08fee24020b3be16e3b51cb523_88">
              <w:r>
                <w:rPr>
                  <w:rStyle w:val="InternetLink"/>
                  <w:rFonts w:ascii="Times New Roman;serif" w:hAnsi="Times New Roman;serif"/>
                  <w:b w:val="false"/>
                  <w:color w:val="000080"/>
                  <w:sz w:val="20"/>
                  <w:u w:val="single"/>
                </w:rPr>
                <w:t xml:space="preserve"> and Six </w:t>
              </w:r>
            </w:hyperlink>
            <w:hyperlink w:anchor="ib9d77f08fee24020b3be16e3b51cb523_88">
              <w:r>
                <w:rPr>
                  <w:rStyle w:val="InternetLink"/>
                  <w:rFonts w:ascii="Times New Roman;serif" w:hAnsi="Times New Roman;serif"/>
                  <w:b w:val="false"/>
                  <w:color w:val="000080"/>
                  <w:sz w:val="20"/>
                  <w:u w:val="single"/>
                </w:rPr>
                <w:t xml:space="preserve">Months Ended </w:t>
              </w:r>
            </w:hyperlink>
            <w:hyperlink w:anchor="ib9d77f08fee24020b3be16e3b51cb523_88">
              <w:r>
                <w:rPr>
                  <w:rStyle w:val="InternetLink"/>
                  <w:rFonts w:ascii="Times New Roman;serif" w:hAnsi="Times New Roman;serif"/>
                  <w:b w:val="false"/>
                  <w:color w:val="000080"/>
                  <w:sz w:val="20"/>
                  <w:u w:val="single"/>
                </w:rPr>
                <w:t>June 30</w:t>
              </w:r>
            </w:hyperlink>
            <w:hyperlink w:anchor="ib9d77f08fee24020b3be16e3b51cb523_88">
              <w:r>
                <w:rPr>
                  <w:rStyle w:val="InternetLink"/>
                  <w:rFonts w:ascii="Times New Roman;serif" w:hAnsi="Times New Roman;serif"/>
                  <w:b w:val="false"/>
                  <w:color w:val="000080"/>
                  <w:sz w:val="20"/>
                  <w:u w:val="single"/>
                </w:rPr>
                <w:t>, 2026 and 2025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88">
              <w:r>
                <w:rPr>
                  <w:rStyle w:val="InternetLink"/>
                  <w:rFonts w:ascii="Times New Roman;serif" w:hAnsi="Times New Roman;serif"/>
                  <w:b w:val="false"/>
                  <w:strike w:val="false"/>
                  <w:dstrike w:val="false"/>
                  <w:color w:val="000000"/>
                  <w:sz w:val="20"/>
                  <w:u w:val="none"/>
                  <w:effect w:val="none"/>
                </w:rPr>
                <w:t>3</w:t>
              </w:r>
            </w:hyperlink>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91">
              <w:r>
                <w:rPr>
                  <w:rStyle w:val="InternetLink"/>
                  <w:rFonts w:ascii="Times New Roman;serif" w:hAnsi="Times New Roman;serif"/>
                  <w:b w:val="false"/>
                  <w:color w:val="000080"/>
                  <w:sz w:val="20"/>
                  <w:u w:val="single"/>
                </w:rPr>
                <w:t>Condensed Consolidated Statements of Other Comprehensive Loss for the Three</w:t>
              </w:r>
            </w:hyperlink>
            <w:hyperlink w:anchor="ib9d77f08fee24020b3be16e3b51cb523_91">
              <w:r>
                <w:rPr>
                  <w:rStyle w:val="InternetLink"/>
                  <w:rFonts w:ascii="Times New Roman;serif" w:hAnsi="Times New Roman;serif"/>
                  <w:b w:val="false"/>
                  <w:color w:val="000080"/>
                  <w:sz w:val="20"/>
                  <w:u w:val="single"/>
                </w:rPr>
                <w:t xml:space="preserve"> and Six</w:t>
              </w:r>
            </w:hyperlink>
            <w:hyperlink w:anchor="ib9d77f08fee24020b3be16e3b51cb523_91">
              <w:r>
                <w:rPr>
                  <w:rStyle w:val="InternetLink"/>
                  <w:rFonts w:ascii="Times New Roman;serif" w:hAnsi="Times New Roman;serif"/>
                  <w:b w:val="false"/>
                  <w:color w:val="000080"/>
                  <w:sz w:val="20"/>
                  <w:u w:val="single"/>
                </w:rPr>
                <w:t xml:space="preserve"> </w:t>
              </w:r>
            </w:hyperlink>
            <w:hyperlink w:anchor="ib9d77f08fee24020b3be16e3b51cb523_91">
              <w:r>
                <w:rPr>
                  <w:rStyle w:val="InternetLink"/>
                  <w:rFonts w:ascii="Times New Roman;serif" w:hAnsi="Times New Roman;serif"/>
                  <w:b w:val="false"/>
                  <w:color w:val="000080"/>
                  <w:sz w:val="20"/>
                  <w:u w:val="single"/>
                </w:rPr>
                <w:t xml:space="preserve">Months Ended </w:t>
              </w:r>
            </w:hyperlink>
            <w:hyperlink w:anchor="ib9d77f08fee24020b3be16e3b51cb523_91">
              <w:r>
                <w:rPr>
                  <w:rStyle w:val="InternetLink"/>
                  <w:rFonts w:ascii="Times New Roman;serif" w:hAnsi="Times New Roman;serif"/>
                  <w:b w:val="false"/>
                  <w:color w:val="000080"/>
                  <w:sz w:val="20"/>
                  <w:u w:val="single"/>
                </w:rPr>
                <w:t>June 30, 202</w:t>
              </w:r>
            </w:hyperlink>
            <w:hyperlink w:anchor="ib9d77f08fee24020b3be16e3b51cb523_91">
              <w:r>
                <w:rPr>
                  <w:rStyle w:val="InternetLink"/>
                  <w:rFonts w:ascii="Times New Roman;serif" w:hAnsi="Times New Roman;serif"/>
                  <w:b w:val="false"/>
                  <w:color w:val="000080"/>
                  <w:sz w:val="20"/>
                  <w:u w:val="single"/>
                </w:rPr>
                <w:t>6</w:t>
              </w:r>
            </w:hyperlink>
            <w:hyperlink w:anchor="ib9d77f08fee24020b3be16e3b51cb523_91">
              <w:r>
                <w:rPr>
                  <w:rStyle w:val="InternetLink"/>
                  <w:rFonts w:ascii="Times New Roman;serif" w:hAnsi="Times New Roman;serif"/>
                  <w:b w:val="false"/>
                  <w:color w:val="000080"/>
                  <w:sz w:val="20"/>
                  <w:u w:val="single"/>
                </w:rPr>
                <w:t xml:space="preserve"> and 2025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91">
              <w:r>
                <w:rPr>
                  <w:rStyle w:val="InternetLink"/>
                  <w:rFonts w:ascii="Times New Roman;serif" w:hAnsi="Times New Roman;serif"/>
                  <w:b w:val="false"/>
                  <w:strike w:val="false"/>
                  <w:dstrike w:val="false"/>
                  <w:color w:val="000000"/>
                  <w:sz w:val="20"/>
                  <w:u w:val="none"/>
                  <w:effect w:val="none"/>
                </w:rPr>
                <w:t>4</w:t>
              </w:r>
            </w:hyperlink>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97">
              <w:r>
                <w:rPr>
                  <w:rStyle w:val="InternetLink"/>
                  <w:rFonts w:ascii="Times New Roman;serif" w:hAnsi="Times New Roman;serif"/>
                  <w:b w:val="false"/>
                  <w:color w:val="000080"/>
                  <w:sz w:val="20"/>
                  <w:u w:val="single"/>
                </w:rPr>
                <w:t>Condensed Consolidated Statements of Changes in Stockholders' Equity for the Three</w:t>
              </w:r>
            </w:hyperlink>
            <w:hyperlink w:anchor="ib9d77f08fee24020b3be16e3b51cb523_97">
              <w:r>
                <w:rPr>
                  <w:rStyle w:val="InternetLink"/>
                  <w:rFonts w:ascii="Times New Roman;serif" w:hAnsi="Times New Roman;serif"/>
                  <w:b w:val="false"/>
                  <w:color w:val="000080"/>
                  <w:sz w:val="20"/>
                  <w:u w:val="single"/>
                </w:rPr>
                <w:t xml:space="preserve"> and Six</w:t>
              </w:r>
            </w:hyperlink>
            <w:hyperlink w:anchor="ib9d77f08fee24020b3be16e3b51cb523_97">
              <w:r>
                <w:rPr>
                  <w:rStyle w:val="InternetLink"/>
                  <w:rFonts w:ascii="Times New Roman;serif" w:hAnsi="Times New Roman;serif"/>
                  <w:b w:val="false"/>
                  <w:color w:val="000080"/>
                  <w:sz w:val="20"/>
                  <w:u w:val="single"/>
                </w:rPr>
                <w:t xml:space="preserve"> Months Ended </w:t>
              </w:r>
            </w:hyperlink>
            <w:hyperlink w:anchor="ib9d77f08fee24020b3be16e3b51cb523_97">
              <w:r>
                <w:rPr>
                  <w:rStyle w:val="InternetLink"/>
                  <w:rFonts w:ascii="Times New Roman;serif" w:hAnsi="Times New Roman;serif"/>
                  <w:b w:val="false"/>
                  <w:color w:val="000080"/>
                  <w:sz w:val="20"/>
                  <w:u w:val="single"/>
                </w:rPr>
                <w:t>June</w:t>
              </w:r>
            </w:hyperlink>
            <w:hyperlink w:anchor="ib9d77f08fee24020b3be16e3b51cb523_97">
              <w:r>
                <w:rPr>
                  <w:rStyle w:val="InternetLink"/>
                  <w:rFonts w:ascii="Times New Roman;serif" w:hAnsi="Times New Roman;serif"/>
                  <w:b w:val="false"/>
                  <w:color w:val="000080"/>
                  <w:sz w:val="20"/>
                  <w:u w:val="single"/>
                </w:rPr>
                <w:t xml:space="preserve"> </w:t>
              </w:r>
            </w:hyperlink>
            <w:hyperlink w:anchor="ib9d77f08fee24020b3be16e3b51cb523_97">
              <w:r>
                <w:rPr>
                  <w:rStyle w:val="InternetLink"/>
                  <w:rFonts w:ascii="Times New Roman;serif" w:hAnsi="Times New Roman;serif"/>
                  <w:b w:val="false"/>
                  <w:color w:val="000080"/>
                  <w:sz w:val="20"/>
                  <w:u w:val="single"/>
                </w:rPr>
                <w:t>30</w:t>
              </w:r>
            </w:hyperlink>
            <w:hyperlink w:anchor="ib9d77f08fee24020b3be16e3b51cb523_97">
              <w:r>
                <w:rPr>
                  <w:rStyle w:val="InternetLink"/>
                  <w:rFonts w:ascii="Times New Roman;serif" w:hAnsi="Times New Roman;serif"/>
                  <w:b w:val="false"/>
                  <w:color w:val="000080"/>
                  <w:sz w:val="20"/>
                  <w:u w:val="single"/>
                </w:rPr>
                <w:t>, 2026 and 2025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97">
              <w:r>
                <w:rPr>
                  <w:rStyle w:val="InternetLink"/>
                  <w:rFonts w:ascii="Times New Roman;serif" w:hAnsi="Times New Roman;serif"/>
                  <w:b w:val="false"/>
                  <w:strike w:val="false"/>
                  <w:dstrike w:val="false"/>
                  <w:color w:val="000000"/>
                  <w:sz w:val="20"/>
                  <w:u w:val="none"/>
                  <w:effect w:val="none"/>
                </w:rPr>
                <w:t>5</w:t>
              </w:r>
            </w:hyperlink>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d77f08fee24020b3be16e3b51cb523_100">
              <w:r>
                <w:rPr>
                  <w:rStyle w:val="InternetLink"/>
                  <w:rFonts w:ascii="Times New Roman;serif" w:hAnsi="Times New Roman;serif"/>
                  <w:b w:val="false"/>
                  <w:color w:val="000080"/>
                  <w:sz w:val="20"/>
                  <w:u w:val="single"/>
                </w:rPr>
                <w:t xml:space="preserve">Condensed Consolidated Statements of Cash Flows for the </w:t>
              </w:r>
            </w:hyperlink>
            <w:hyperlink w:anchor="ib9d77f08fee24020b3be16e3b51cb523_100">
              <w:r>
                <w:rPr>
                  <w:rStyle w:val="InternetLink"/>
                  <w:rFonts w:ascii="Times New Roman;serif" w:hAnsi="Times New Roman;serif"/>
                  <w:b w:val="false"/>
                  <w:color w:val="000080"/>
                  <w:sz w:val="20"/>
                  <w:u w:val="single"/>
                </w:rPr>
                <w:t xml:space="preserve">Six </w:t>
              </w:r>
            </w:hyperlink>
            <w:hyperlink w:anchor="ib9d77f08fee24020b3be16e3b51cb523_100">
              <w:r>
                <w:rPr>
                  <w:rStyle w:val="InternetLink"/>
                  <w:rFonts w:ascii="Times New Roman;serif" w:hAnsi="Times New Roman;serif"/>
                  <w:b w:val="false"/>
                  <w:color w:val="000080"/>
                  <w:sz w:val="20"/>
                  <w:u w:val="single"/>
                </w:rPr>
                <w:t xml:space="preserve">Months Ended </w:t>
              </w:r>
            </w:hyperlink>
            <w:hyperlink w:anchor="ib9d77f08fee24020b3be16e3b51cb523_100">
              <w:r>
                <w:rPr>
                  <w:rStyle w:val="InternetLink"/>
                  <w:rFonts w:ascii="Times New Roman;serif" w:hAnsi="Times New Roman;serif"/>
                  <w:b w:val="false"/>
                  <w:color w:val="000080"/>
                  <w:sz w:val="20"/>
                  <w:u w:val="single"/>
                </w:rPr>
                <w:t>June 30</w:t>
              </w:r>
            </w:hyperlink>
            <w:hyperlink w:anchor="ib9d77f08fee24020b3be16e3b51cb523_100">
              <w:r>
                <w:rPr>
                  <w:rStyle w:val="InternetLink"/>
                  <w:rFonts w:ascii="Times New Roman;serif" w:hAnsi="Times New Roman;serif"/>
                  <w:b w:val="false"/>
                  <w:color w:val="000080"/>
                  <w:sz w:val="20"/>
                  <w:u w:val="single"/>
                </w:rPr>
                <w:t>, 2026 and 2025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100">
              <w:r>
                <w:rPr>
                  <w:rStyle w:val="InternetLink"/>
                  <w:rFonts w:ascii="Times New Roman;serif" w:hAnsi="Times New Roman;serif"/>
                  <w:b w:val="false"/>
                  <w:strike w:val="false"/>
                  <w:dstrike w:val="false"/>
                  <w:color w:val="000000"/>
                  <w:sz w:val="20"/>
                  <w:u w:val="none"/>
                  <w:effect w:val="none"/>
                </w:rPr>
                <w:t>6</w:t>
              </w:r>
            </w:hyperlink>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103">
              <w:r>
                <w:rPr>
                  <w:rStyle w:val="InternetLink"/>
                  <w:rFonts w:ascii="Times New Roman;serif" w:hAnsi="Times New Roman;serif"/>
                  <w:b w:val="false"/>
                  <w:color w:val="0000FF"/>
                  <w:sz w:val="20"/>
                  <w:u w:val="single"/>
                </w:rPr>
                <w:t>Notes to Condensed Consolidated Financial Statements (Unaudited</w:t>
              </w:r>
            </w:hyperlink>
            <w:r>
              <w:rPr>
                <w:rFonts w:ascii="Times New Roman;serif" w:hAnsi="Times New Roman;serif"/>
                <w:b w:val="false"/>
                <w:color w:val="000000"/>
                <w:sz w:val="20"/>
              </w:rPr>
              <w:t>)</w:t>
            </w:r>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103">
              <w:r>
                <w:rPr>
                  <w:rStyle w:val="InternetLink"/>
                  <w:rFonts w:ascii="Times New Roman;serif" w:hAnsi="Times New Roman;serif"/>
                  <w:b w:val="false"/>
                  <w:strike w:val="false"/>
                  <w:dstrike w:val="false"/>
                  <w:color w:val="000000"/>
                  <w:sz w:val="20"/>
                  <w:u w:val="none"/>
                  <w:effect w:val="none"/>
                </w:rPr>
                <w:t>7</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226">
              <w:r>
                <w:rPr>
                  <w:rStyle w:val="InternetLink"/>
                  <w:rFonts w:ascii="Times New Roman;serif" w:hAnsi="Times New Roman;serif"/>
                  <w:b w:val="false"/>
                  <w:color w:val="0000FF"/>
                  <w:sz w:val="20"/>
                  <w:u w:val="single"/>
                </w:rPr>
                <w:t>Item 2.</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22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226">
              <w:r>
                <w:rPr>
                  <w:rStyle w:val="InternetLink"/>
                  <w:rFonts w:ascii="Times New Roman;serif" w:hAnsi="Times New Roman;serif"/>
                  <w:b w:val="false"/>
                  <w:strike w:val="false"/>
                  <w:dstrike w:val="false"/>
                  <w:color w:val="000000"/>
                  <w:sz w:val="20"/>
                  <w:u w:val="none"/>
                  <w:effect w:val="none"/>
                </w:rPr>
                <w:t>16</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73">
              <w:r>
                <w:rPr>
                  <w:rStyle w:val="InternetLink"/>
                  <w:rFonts w:ascii="Times New Roman;serif" w:hAnsi="Times New Roman;serif"/>
                  <w:b w:val="false"/>
                  <w:color w:val="0000FF"/>
                  <w:sz w:val="20"/>
                  <w:u w:val="single"/>
                </w:rPr>
                <w:t>Item 3.</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73">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373">
              <w:r>
                <w:rPr>
                  <w:rStyle w:val="InternetLink"/>
                  <w:rFonts w:ascii="Times New Roman;serif" w:hAnsi="Times New Roman;serif"/>
                  <w:b w:val="false"/>
                  <w:strike w:val="false"/>
                  <w:dstrike w:val="false"/>
                  <w:color w:val="000000"/>
                  <w:sz w:val="20"/>
                  <w:u w:val="none"/>
                  <w:effect w:val="none"/>
                </w:rPr>
                <w:t>25</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76">
              <w:r>
                <w:rPr>
                  <w:rStyle w:val="InternetLink"/>
                  <w:rFonts w:ascii="Times New Roman;serif" w:hAnsi="Times New Roman;serif"/>
                  <w:b w:val="false"/>
                  <w:color w:val="0000FF"/>
                  <w:sz w:val="20"/>
                  <w:u w:val="single"/>
                </w:rPr>
                <w:t>Item 4.</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76">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376">
              <w:r>
                <w:rPr>
                  <w:rStyle w:val="InternetLink"/>
                  <w:rFonts w:ascii="Times New Roman;serif" w:hAnsi="Times New Roman;serif"/>
                  <w:b w:val="false"/>
                  <w:strike w:val="false"/>
                  <w:dstrike w:val="false"/>
                  <w:color w:val="000000"/>
                  <w:sz w:val="20"/>
                  <w:u w:val="none"/>
                  <w:effect w:val="none"/>
                </w:rPr>
                <w:t>25</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82">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85">
              <w:r>
                <w:rPr>
                  <w:rStyle w:val="InternetLink"/>
                  <w:rFonts w:ascii="Times New Roman;serif" w:hAnsi="Times New Roman;serif"/>
                  <w:b w:val="false"/>
                  <w:color w:val="0000FF"/>
                  <w:sz w:val="20"/>
                  <w:u w:val="single"/>
                </w:rPr>
                <w:t>Item 1.</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85">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385">
              <w:r>
                <w:rPr>
                  <w:rStyle w:val="InternetLink"/>
                  <w:rFonts w:ascii="Times New Roman;serif" w:hAnsi="Times New Roman;serif"/>
                  <w:b w:val="false"/>
                  <w:strike w:val="false"/>
                  <w:dstrike w:val="false"/>
                  <w:color w:val="000000"/>
                  <w:sz w:val="20"/>
                  <w:u w:val="none"/>
                  <w:effect w:val="none"/>
                </w:rPr>
                <w:t>28</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88">
              <w:r>
                <w:rPr>
                  <w:rStyle w:val="InternetLink"/>
                  <w:rFonts w:ascii="Times New Roman;serif" w:hAnsi="Times New Roman;serif"/>
                  <w:b w:val="false"/>
                  <w:color w:val="0000FF"/>
                  <w:sz w:val="20"/>
                  <w:u w:val="single"/>
                </w:rPr>
                <w:t>Item 1A.</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88">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388">
              <w:r>
                <w:rPr>
                  <w:rStyle w:val="InternetLink"/>
                  <w:rFonts w:ascii="Times New Roman;serif" w:hAnsi="Times New Roman;serif"/>
                  <w:b w:val="false"/>
                  <w:strike w:val="false"/>
                  <w:dstrike w:val="false"/>
                  <w:color w:val="000000"/>
                  <w:sz w:val="20"/>
                  <w:u w:val="none"/>
                  <w:effect w:val="none"/>
                </w:rPr>
                <w:t>28</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91">
              <w:r>
                <w:rPr>
                  <w:rStyle w:val="InternetLink"/>
                  <w:rFonts w:ascii="Times New Roman;serif" w:hAnsi="Times New Roman;serif"/>
                  <w:b w:val="false"/>
                  <w:color w:val="0000FF"/>
                  <w:sz w:val="20"/>
                  <w:u w:val="single"/>
                </w:rPr>
                <w:t>Item 2.</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91">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391">
              <w:r>
                <w:rPr>
                  <w:rStyle w:val="InternetLink"/>
                  <w:rFonts w:ascii="Times New Roman;serif" w:hAnsi="Times New Roman;serif"/>
                  <w:b w:val="false"/>
                  <w:strike w:val="false"/>
                  <w:dstrike w:val="false"/>
                  <w:color w:val="000000"/>
                  <w:sz w:val="20"/>
                  <w:u w:val="none"/>
                  <w:effect w:val="none"/>
                </w:rPr>
                <w:t>28</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94">
              <w:r>
                <w:rPr>
                  <w:rStyle w:val="InternetLink"/>
                  <w:rFonts w:ascii="Times New Roman;serif" w:hAnsi="Times New Roman;serif"/>
                  <w:b w:val="false"/>
                  <w:color w:val="0000FF"/>
                  <w:sz w:val="20"/>
                  <w:u w:val="single"/>
                </w:rPr>
                <w:t>Item 3.</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94">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394">
              <w:r>
                <w:rPr>
                  <w:rStyle w:val="InternetLink"/>
                  <w:rFonts w:ascii="Times New Roman;serif" w:hAnsi="Times New Roman;serif"/>
                  <w:b w:val="false"/>
                  <w:strike w:val="false"/>
                  <w:dstrike w:val="false"/>
                  <w:color w:val="000000"/>
                  <w:sz w:val="20"/>
                  <w:u w:val="none"/>
                  <w:effect w:val="none"/>
                </w:rPr>
                <w:t>28</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97">
              <w:r>
                <w:rPr>
                  <w:rStyle w:val="InternetLink"/>
                  <w:rFonts w:ascii="Times New Roman;serif" w:hAnsi="Times New Roman;serif"/>
                  <w:b w:val="false"/>
                  <w:color w:val="0000FF"/>
                  <w:sz w:val="20"/>
                  <w:u w:val="single"/>
                </w:rPr>
                <w:t>Item 4.</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397">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397">
              <w:r>
                <w:rPr>
                  <w:rStyle w:val="InternetLink"/>
                  <w:rFonts w:ascii="Times New Roman;serif" w:hAnsi="Times New Roman;serif"/>
                  <w:b w:val="false"/>
                  <w:strike w:val="false"/>
                  <w:dstrike w:val="false"/>
                  <w:color w:val="000000"/>
                  <w:sz w:val="20"/>
                  <w:u w:val="none"/>
                  <w:effect w:val="none"/>
                </w:rPr>
                <w:t>28</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400">
              <w:r>
                <w:rPr>
                  <w:rStyle w:val="InternetLink"/>
                  <w:rFonts w:ascii="Times New Roman;serif" w:hAnsi="Times New Roman;serif"/>
                  <w:b w:val="false"/>
                  <w:color w:val="0000FF"/>
                  <w:sz w:val="20"/>
                  <w:u w:val="single"/>
                </w:rPr>
                <w:t>Item 5.</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400">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400">
              <w:r>
                <w:rPr>
                  <w:rStyle w:val="InternetLink"/>
                  <w:rFonts w:ascii="Times New Roman;serif" w:hAnsi="Times New Roman;serif"/>
                  <w:b w:val="false"/>
                  <w:strike w:val="false"/>
                  <w:dstrike w:val="false"/>
                  <w:color w:val="000000"/>
                  <w:sz w:val="20"/>
                  <w:u w:val="none"/>
                  <w:effect w:val="none"/>
                </w:rPr>
                <w:t>28</w:t>
              </w:r>
            </w:hyperlink>
          </w:p>
        </w:tc>
      </w:tr>
      <w:tr>
        <w:trPr/>
        <w:tc>
          <w:tcPr>
            <w:tcW w:w="13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403">
              <w:r>
                <w:rPr>
                  <w:rStyle w:val="InternetLink"/>
                  <w:rFonts w:ascii="Times New Roman;serif" w:hAnsi="Times New Roman;serif"/>
                  <w:b w:val="false"/>
                  <w:color w:val="0000FF"/>
                  <w:sz w:val="20"/>
                  <w:u w:val="single"/>
                </w:rPr>
                <w:t>Item 6.</w:t>
              </w:r>
            </w:hyperlink>
          </w:p>
        </w:tc>
        <w:tc>
          <w:tcPr>
            <w:tcW w:w="82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403">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403">
              <w:r>
                <w:rPr>
                  <w:rStyle w:val="InternetLink"/>
                  <w:rFonts w:ascii="Times New Roman;serif" w:hAnsi="Times New Roman;serif"/>
                  <w:b w:val="false"/>
                  <w:strike w:val="false"/>
                  <w:dstrike w:val="false"/>
                  <w:color w:val="000000"/>
                  <w:sz w:val="20"/>
                  <w:u w:val="none"/>
                  <w:effect w:val="none"/>
                </w:rPr>
                <w:t>29</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b9d77f08fee24020b3be16e3b51cb523_406">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9d77f08fee24020b3be16e3b51cb523_406">
              <w:r>
                <w:rPr>
                  <w:rStyle w:val="InternetLink"/>
                  <w:rFonts w:ascii="Times New Roman;serif" w:hAnsi="Times New Roman;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83"/>
                        <w:jc w:val="center"/>
                        <w:rPr/>
                      </w:pPr>
                      <w:r>
                        <w:rPr/>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made statements in the sections titled “Risk Factors,” “Management’s Discussion and Analysis of Financial Condition and Results of Operations,” and in other sections of this Quarterly Report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for the year ended December 31, 2025. We qualify all of our forward-looking statements by these cautionary statements.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future results could be affected by a variety of other factors, including, but not limited to, inability to sell equity or other securities in the future at a time when we might otherwise wish to effect sales; inability to raise capital on commercially reasonable terms, if at all; the risk that any future financings may dilute our stockholders or restrict our business; failure to stabilize and grow same-center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recent regulatory action, and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laws governing the corporate practice of medicine or fee-splitting; changes in regulatory, macroeconomic conditions, including inflation and the threat of recession, economic and other conditions of the states and jurisdictions where our facilities are located; and business disruption or other losses from natural disasters, war, pandemics, terrorist acts or political unrest.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discussed many of these risks and uncertainties in the section titled “Item 1A. Risk Factors” of this Quarterly Report and in other filings we make from time to time with the U.S. Securities and Exchange Commission. There also may be other risks and uncertainties that are currently unknown to us or that we are unable to predict at this time.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believe the expectations reflected in the forward-looking statements are reasonable, we cannot guarantee future results, levels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and are inherently subject to change. We are under no duty and we assume no obligation to update any of the forward-looking statements, or to update the reasons actual results could differ materially from those anticipated in the forward-looking statements, after the date of this Quarterly Report or to conform our prior statements to actual results or revised expectations, except as required by law. Given these uncertainties, investors should not place undue reliance on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1485"/>
                <wp:effectExtent l="0" t="0" r="0" b="0"/>
                <wp:wrapNone/>
                <wp:docPr id="3" name="Frame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6"/>
        <w:gridCol w:w="2306"/>
        <w:gridCol w:w="2327"/>
        <w:gridCol w:w="211"/>
        <w:gridCol w:w="826"/>
        <w:gridCol w:w="109"/>
        <w:gridCol w:w="109"/>
        <w:gridCol w:w="109"/>
        <w:gridCol w:w="109"/>
        <w:gridCol w:w="211"/>
        <w:gridCol w:w="826"/>
        <w:gridCol w:w="156"/>
      </w:tblGrid>
      <w:tr>
        <w:trPr/>
        <w:tc>
          <w:tcPr>
            <w:tcW w:w="290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($000s, except for shares)</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27,496 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15,456 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operating lease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193,281 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34,949 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27,902 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shares authorized - 450,000,000; shares issued and outstanding - 71,518,820 and 64,542,461,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1485"/>
                <wp:effectExtent l="0" t="0" r="0" b="0"/>
                <wp:wrapNone/>
                <wp:docPr id="4" name="Frame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11"/>
        <w:gridCol w:w="1291"/>
        <w:gridCol w:w="1298"/>
        <w:gridCol w:w="244"/>
        <w:gridCol w:w="837"/>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09"/>
        <w:gridCol w:w="109"/>
        <w:gridCol w:w="155"/>
      </w:tblGrid>
      <w:tr>
        <w:trPr/>
        <w:tc>
          <w:tcPr>
            <w:tcW w:w="1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$000s, except for shares and per share figures)</w:t>
            </w:r>
          </w:p>
        </w:tc>
        <w:tc>
          <w:tcPr>
            <w:tcW w:w="11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(exclusive of 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on impairment of long-lived assets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42,929 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(Loss)/income from operations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240" w:after="283"/>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1485"/>
                <wp:effectExtent l="0" t="0" r="0" b="0"/>
                <wp:wrapNone/>
                <wp:docPr id="5" name="Frame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Other Comprehensive Loss (Unaudited)</w:t>
      </w:r>
    </w:p>
    <w:p>
      <w:pPr>
        <w:pStyle w:val="TextBody"/>
        <w:bidi w:val="0"/>
        <w:spacing w:before="0" w:after="0"/>
        <w:jc w:val="center"/>
        <w:rPr/>
      </w:pPr>
      <w:r>
        <w:rPr/>
      </w:r>
    </w:p>
    <w:p>
      <w:pPr>
        <w:pStyle w:val="TextBody"/>
        <w:bidi w:val="0"/>
        <w:spacing w:before="0" w:after="0"/>
        <w:jc w:val="center"/>
        <w:rPr/>
      </w:pPr>
      <w:r>
        <w:rPr/>
      </w:r>
    </w:p>
    <w:tbl>
      <w:tblPr>
        <w:tblW w:w="9488" w:type="dxa"/>
        <w:jc w:val="left"/>
        <w:tblInd w:w="0" w:type="dxa"/>
        <w:tblLayout w:type="fixed"/>
        <w:tblCellMar>
          <w:top w:w="28" w:type="dxa"/>
          <w:left w:w="28" w:type="dxa"/>
          <w:bottom w:w="28" w:type="dxa"/>
          <w:right w:w="28" w:type="dxa"/>
        </w:tblCellMar>
      </w:tblPr>
      <w:tblGrid>
        <w:gridCol w:w="1514"/>
        <w:gridCol w:w="1334"/>
        <w:gridCol w:w="1352"/>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09"/>
        <w:gridCol w:w="109"/>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1485"/>
                <wp:effectExtent l="0" t="0" r="0" b="0"/>
                <wp:wrapNone/>
                <wp:docPr id="6" name="Frame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tbl>
      <w:tblPr>
        <w:tblW w:w="10205" w:type="dxa"/>
        <w:jc w:val="center"/>
        <w:tblInd w:w="0" w:type="dxa"/>
        <w:tblLayout w:type="fixed"/>
        <w:tblCellMar>
          <w:top w:w="28" w:type="dxa"/>
          <w:left w:w="28" w:type="dxa"/>
          <w:bottom w:w="28" w:type="dxa"/>
          <w:right w:w="28" w:type="dxa"/>
        </w:tblCellMar>
      </w:tblPr>
      <w:tblGrid>
        <w:gridCol w:w="895"/>
        <w:gridCol w:w="384"/>
        <w:gridCol w:w="388"/>
        <w:gridCol w:w="109"/>
        <w:gridCol w:w="109"/>
        <w:gridCol w:w="109"/>
        <w:gridCol w:w="480"/>
        <w:gridCol w:w="481"/>
        <w:gridCol w:w="196"/>
        <w:gridCol w:w="109"/>
        <w:gridCol w:w="109"/>
        <w:gridCol w:w="109"/>
        <w:gridCol w:w="212"/>
        <w:gridCol w:w="359"/>
        <w:gridCol w:w="120"/>
        <w:gridCol w:w="109"/>
        <w:gridCol w:w="109"/>
        <w:gridCol w:w="109"/>
        <w:gridCol w:w="200"/>
        <w:gridCol w:w="752"/>
        <w:gridCol w:w="111"/>
        <w:gridCol w:w="109"/>
        <w:gridCol w:w="109"/>
        <w:gridCol w:w="109"/>
        <w:gridCol w:w="325"/>
        <w:gridCol w:w="948"/>
        <w:gridCol w:w="181"/>
        <w:gridCol w:w="109"/>
        <w:gridCol w:w="109"/>
        <w:gridCol w:w="109"/>
        <w:gridCol w:w="226"/>
        <w:gridCol w:w="766"/>
        <w:gridCol w:w="126"/>
        <w:gridCol w:w="109"/>
        <w:gridCol w:w="109"/>
        <w:gridCol w:w="109"/>
        <w:gridCol w:w="196"/>
        <w:gridCol w:w="736"/>
        <w:gridCol w:w="161"/>
      </w:tblGrid>
      <w:tr>
        <w:trPr/>
        <w:tc>
          <w:tcPr>
            <w:tcW w:w="89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($000s, except shares and per share figures)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58,369,138 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(28,904)</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withheld through vested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58,661,268 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108,525 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(31,751)</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76,231 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public offerings,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3,752,582 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62,436,670 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123,885 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(32,342)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90,055 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64,542,461 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public offerings,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5,894,209 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withheld through vested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70,545,681 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100,261 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public offerings,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973,139 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71,518,820 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149,300 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(44,080)</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104,832 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1485"/>
                <wp:effectExtent l="0" t="0" r="0" b="0"/>
                <wp:wrapNone/>
                <wp:docPr id="7" name="Frame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295" w:type="dxa"/>
        <w:jc w:val="left"/>
        <w:tblInd w:w="0" w:type="dxa"/>
        <w:tblLayout w:type="fixed"/>
        <w:tblCellMar>
          <w:top w:w="28" w:type="dxa"/>
          <w:left w:w="28" w:type="dxa"/>
          <w:bottom w:w="28" w:type="dxa"/>
          <w:right w:w="28" w:type="dxa"/>
        </w:tblCellMar>
      </w:tblPr>
      <w:tblGrid>
        <w:gridCol w:w="2320"/>
        <w:gridCol w:w="2041"/>
        <w:gridCol w:w="2074"/>
        <w:gridCol w:w="211"/>
        <w:gridCol w:w="721"/>
        <w:gridCol w:w="109"/>
        <w:gridCol w:w="109"/>
        <w:gridCol w:w="109"/>
        <w:gridCol w:w="109"/>
        <w:gridCol w:w="211"/>
        <w:gridCol w:w="691"/>
        <w:gridCol w:w="109"/>
        <w:gridCol w:w="109"/>
        <w:gridCol w:w="109"/>
        <w:gridCol w:w="109"/>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12"/>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amortization of debt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modification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public offerings,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through vested equity-based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1485"/>
                <wp:effectExtent l="0" t="0" r="0" b="0"/>
                <wp:wrapNone/>
                <wp:docPr id="8" name="Frame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ORGANIZATION AND SUMMARY OF KEY ACCOUNTING POLICIES</w:t>
      </w:r>
    </w:p>
    <w:p>
      <w:pPr>
        <w:pStyle w:val="TextBody"/>
        <w:bidi w:val="0"/>
        <w:spacing w:lineRule="auto" w:line="288" w:before="240" w:after="283"/>
        <w:jc w:val="both"/>
        <w:rPr/>
      </w:pPr>
      <w:r>
        <w:rPr>
          <w:rFonts w:ascii="Times New Roman;serif" w:hAnsi="Times New Roman;serif"/>
          <w:b w:val="false"/>
          <w:color w:val="000000"/>
          <w:sz w:val="20"/>
        </w:rPr>
        <w:t xml:space="preserve">AirSculpt Technologies, Inc. (“AirSculpt” or the "Company"), was formed as a Delaware corporation on June 30, 2021. The Company's revenues are concentrated in the specialty, minimally invasive liposuction market. The Company and its consolidated subsidiaries are referred to collectively in these condensed consolidated financial statements as “we,” “our,” and “us.” Solely for convenience, some of the copyrights, trade names and trademarks referred to in these condensed consolidated financial statements are listed without their </w:t>
      </w:r>
      <w:r>
        <w:rPr>
          <w:rFonts w:ascii="Times New Roman;serif" w:hAnsi="Times New Roman;serif"/>
          <w:b w:val="false"/>
          <w:color w:val="000000"/>
          <w:sz w:val="15"/>
        </w:rPr>
        <w:t>©</w:t>
      </w:r>
      <w:r>
        <w:rPr>
          <w:rFonts w:ascii="Times New Roman;serif" w:hAnsi="Times New Roman;serif"/>
          <w:b w:val="false"/>
          <w:color w:val="000000"/>
          <w:sz w:val="20"/>
        </w:rPr>
        <w:t xml:space="preserve">, </w:t>
      </w:r>
      <w:r>
        <w:rPr>
          <w:rFonts w:ascii="Times New Roman;serif" w:hAnsi="Times New Roman;serif"/>
          <w:b w:val="false"/>
          <w:color w:val="000000"/>
          <w:sz w:val="15"/>
        </w:rPr>
        <w:t>®</w:t>
      </w:r>
      <w:r>
        <w:rPr>
          <w:color w:val="000000"/>
        </w:rPr>
        <w:t xml:space="preserve"> </w:t>
      </w:r>
      <w:r>
        <w:rPr>
          <w:rFonts w:ascii="Times New Roman;serif" w:hAnsi="Times New Roman;serif"/>
          <w:b w:val="false"/>
          <w:color w:val="000000"/>
          <w:sz w:val="20"/>
        </w:rPr>
        <w:t>and ™ symbols, but we will assert, to the fullest extent under applicable law, our rights to our copyrights, trade names and trademarks.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through its wholly-owned subsidiaries, is a provider of practice management services to professional associations (“PAs”) located throughout the United States and Canada.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present the financial position and results of operations of the Company, its wholly-owned domestic and international subsidiaries, and its variable interest in the managed PAs in the United States (the "Domestic PAs"), which are under the control of the Company and are considered variable interest entities in which the Company is the primary beneficiary.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intercompany accounts and transactions have been eliminated in consolidation.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Interim Financial Statement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accompanying notes have been prepared in accordance with generally accepted accounting principles in the United States of America (“U.S. GAAP”).</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subsidiary in Canada. The only assets and liabilities held by the Domestic PAs included in the accompanying consolidated balance sheets are clinical related. The clinical assets and liabilities are not material to the Company as a whole.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Estimates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Concentration of Credit Risk</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original maturities of three months or less when purchased to be cash equivalents. The Company’s revenues are concentrated in the specialty, minimally invasive liposuction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cash balances at financial institutions which may at times exceed the amount covered by the Federal Deposit Insurance Corporation. The Company has not experienced any losses in such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Financing Costs,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$0.1 million and $0.1 million for the three months ended June 30, 2026 and 2025, respectively. Total amortization of deferred financing costs was approximately $0.3 million and $0.2 million for the six months ended June 30, 2026 and 2025, respectively. Amortization of loan costs and discounts is included as a component of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Long-Lived Assets</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impairment of long-lived assets in accordance with the provisions of the Financial Accounting Standards Board (“FASB”) Accounting Standards Codification (“ASC”) Topic 350, </w:t>
      </w:r>
      <w:r>
        <w:rPr>
          <w:rFonts w:ascii="Times New Roman;serif" w:hAnsi="Times New Roman;serif"/>
          <w:b w:val="false"/>
          <w:i/>
          <w:color w:val="000000"/>
          <w:sz w:val="20"/>
        </w:rPr>
        <w:t xml:space="preserve">Intangibles – Goodwill and Other </w:t>
      </w:r>
      <w:r>
        <w:rPr>
          <w:rFonts w:ascii="Times New Roman;serif" w:hAnsi="Times New Roman;serif"/>
          <w:b w:val="false"/>
          <w:color w:val="000000"/>
          <w:sz w:val="20"/>
        </w:rPr>
        <w:t xml:space="preserve">and Topic 360, </w:t>
      </w:r>
      <w:r>
        <w:rPr>
          <w:rFonts w:ascii="Times New Roman;serif" w:hAnsi="Times New Roman;serif"/>
          <w:b w:val="false"/>
          <w:i/>
          <w:color w:val="000000"/>
          <w:sz w:val="20"/>
        </w:rPr>
        <w:t>Impairment or Disposal of Long-Lived Assets</w:t>
      </w:r>
      <w:r>
        <w:rPr>
          <w:rFonts w:ascii="Times New Roman;serif" w:hAnsi="Times New Roman;serif"/>
          <w:b w:val="false"/>
          <w:color w:val="000000"/>
          <w:sz w:val="20"/>
        </w:rPr>
        <w:t xml:space="preserve">.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Total loss on long lived assets was approximately $0 and $0.1 million for the six months ended June 30, 2026 and 2025, respectively.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w:t>
      </w:r>
    </w:p>
    <w:p>
      <w:pPr>
        <w:pStyle w:val="TextBody"/>
        <w:bidi w:val="0"/>
        <w:spacing w:lineRule="auto" w:line="288" w:before="240" w:after="283"/>
        <w:jc w:val="both"/>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Measurements and Disclosure</w:t>
      </w:r>
      <w:r>
        <w:rPr>
          <w:rFonts w:ascii="Times New Roman;serif" w:hAnsi="Times New Roman;serif"/>
          <w:b w:val="false"/>
          <w:color w:val="000000"/>
          <w:sz w:val="20"/>
        </w:rPr>
        <w:t>s, defines fair value, establishes a framework for measuring fair value in accordance with U.S. GAAP, and expands disclosure requirements about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ASC Topic 820 defines three categories for the classification and measurement of assets and liabilities carried at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Observable market-based inputs or observable inputs that are corroborated by market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reflecting the reporting entity’s own assumptions.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of common stock is computed by dividing net loss for the three and six months ended June 30, 2026 and 2025 by the weighted-average number of shares of common stock outstanding during the same period. Diluted earnings per share of common stock is computed by dividing net loss for the three and six months ended June 30, 2026 and 2025 by the weighted-average number of shares of common stock adjusted to give effect to potentially dilutive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10" name="Frame1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Advertising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when the costs are incurred and are included as a component of selling, general and administrative costs. Advertising expenses were approximately $8.8 million and $7.3 million for the three months ended June 30, 2026 and 2025, respectively, and approximately $16.6 million and $14.5 million for the six months ended June 30, 2026 and 2025,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240" w:after="283"/>
        <w:jc w:val="both"/>
        <w:rPr/>
      </w:pPr>
      <w:r>
        <w:rPr>
          <w:rFonts w:ascii="Times New Roman;serif" w:hAnsi="Times New Roman;serif"/>
          <w:b w:val="false"/>
          <w:color w:val="000000"/>
          <w:sz w:val="20"/>
        </w:rPr>
        <w:t xml:space="preserve">The Company applies the provisions of ASC 740-10, </w:t>
      </w:r>
      <w:r>
        <w:rPr>
          <w:rFonts w:ascii="Times New Roman;serif" w:hAnsi="Times New Roman;serif"/>
          <w:b w:val="false"/>
          <w:i/>
          <w:color w:val="000000"/>
          <w:sz w:val="20"/>
        </w:rPr>
        <w:t>Accounting for Uncertain Tax Positions</w:t>
      </w:r>
      <w:r>
        <w:rPr>
          <w:color w:val="000000"/>
        </w:rPr>
        <w:t xml:space="preserve"> </w:t>
      </w:r>
      <w:r>
        <w:rPr>
          <w:rFonts w:ascii="Times New Roman;serif" w:hAnsi="Times New Roman;serif"/>
          <w:b w:val="false"/>
          <w:color w:val="000000"/>
          <w:sz w:val="20"/>
        </w:rPr>
        <w:t>(“ASC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June 30, 2026 or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effective tax rate of approximately 8.3% and 23.8% for the three months ended June 30, 2026 and 2025, respectively, and approximately 13.9% and 13.8% for the six months ended June 30, 2026 and 2025, respectively, inclusive of all applicable U.S. federal and state income taxes.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Accounting Pronouncements</w:t>
      </w:r>
    </w:p>
    <w:p>
      <w:pPr>
        <w:pStyle w:val="TextBody"/>
        <w:bidi w:val="0"/>
        <w:spacing w:lineRule="auto" w:line="288" w:before="160" w:after="1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which requires public business entities (PBEs) to disclose detailed breakdowns of specific expense captions (e.g., COGS, SG&amp;A) in annual and interim notes. It mandates tabular, disaggregated information—such as employee compensation, depreciation, and amortization—to improve transparency for investors. The ASU is effective for annual periods beginning after December 15, 2026 and interim period beginning after December 15, 2027. The Company is evaluating the impact of this ASU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GOODWILL AND INTANGIBLES,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review of goodwill impairment will be performed in October 2026. There were no triggering events during the three and six months ended June 30, 2026 and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goodwill of $81.7 million at June 30,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 June 30, 2026 and December 31, 2025 (in 000’s):</w:t>
      </w:r>
    </w:p>
    <w:tbl>
      <w:tblPr>
        <w:tblW w:w="8444" w:type="dxa"/>
        <w:jc w:val="left"/>
        <w:tblInd w:w="0" w:type="dxa"/>
        <w:tblLayout w:type="fixed"/>
        <w:tblCellMar>
          <w:top w:w="28" w:type="dxa"/>
          <w:left w:w="28" w:type="dxa"/>
          <w:bottom w:w="28" w:type="dxa"/>
          <w:right w:w="28" w:type="dxa"/>
        </w:tblCellMar>
      </w:tblPr>
      <w:tblGrid>
        <w:gridCol w:w="1711"/>
        <w:gridCol w:w="1505"/>
        <w:gridCol w:w="1509"/>
        <w:gridCol w:w="211"/>
        <w:gridCol w:w="721"/>
        <w:gridCol w:w="109"/>
        <w:gridCol w:w="109"/>
        <w:gridCol w:w="109"/>
        <w:gridCol w:w="109"/>
        <w:gridCol w:w="222"/>
        <w:gridCol w:w="759"/>
        <w:gridCol w:w="114"/>
        <w:gridCol w:w="109"/>
        <w:gridCol w:w="109"/>
        <w:gridCol w:w="109"/>
        <w:gridCol w:w="272"/>
        <w:gridCol w:w="272"/>
        <w:gridCol w:w="385"/>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know-how</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technology and know-how</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tradenames and trademarks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1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will be $4.8 million per year for each of the next five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11" name="Frame1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amortization expense on intangible assets was approximately $1.2 million for both of the three months ended June 30, 2026 and 2025 and $2.4 million for both of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property and equipment consists of the following (in 000’s):</w:t>
      </w:r>
    </w:p>
    <w:tbl>
      <w:tblPr>
        <w:tblW w:w="5237" w:type="dxa"/>
        <w:jc w:val="left"/>
        <w:tblInd w:w="0" w:type="dxa"/>
        <w:tblLayout w:type="fixed"/>
        <w:tblCellMar>
          <w:top w:w="28" w:type="dxa"/>
          <w:left w:w="28" w:type="dxa"/>
          <w:bottom w:w="28" w:type="dxa"/>
          <w:right w:w="28" w:type="dxa"/>
        </w:tblCellMar>
      </w:tblPr>
      <w:tblGrid>
        <w:gridCol w:w="989"/>
        <w:gridCol w:w="867"/>
        <w:gridCol w:w="874"/>
        <w:gridCol w:w="211"/>
        <w:gridCol w:w="721"/>
        <w:gridCol w:w="109"/>
        <w:gridCol w:w="109"/>
        <w:gridCol w:w="109"/>
        <w:gridCol w:w="109"/>
        <w:gridCol w:w="221"/>
        <w:gridCol w:w="757"/>
        <w:gridCol w:w="161"/>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equipment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13,076 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32,440 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(25,637)</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1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approximately $1.8 million and $2.1 million for the three months ended June 30, 2026 and 2025, respectively, and $3.6 million and $4.1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with an aggregate principal amount of up to $5.0 million. On September 29, 2023, the Company voluntarily pre-paid $10.0 million of the principal balance of the term loans under the Credit Agreement using cash on hand. During the quarter ended March 31, 2026,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entered into an amendment to the Credit Agreement (the "Third Amendment"). Under the terms of the Third Amendment, the parties thereto modify certain financial condition covenants made by the Company in the Credit Agreement,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revising the covenants listed above, the Third Amendment revised or added new terms such that (i) for outstanding loans, beginning on or about July 1, 2025, the applicable per annum margin would be increased to 3.75% or 4.75% for base rate or SOFR (as defined in the Credit Agreement), respectively, if the Company's total leverage ratio was equal to or greater than 3.00x, 3.50% or 4.50% for base rate or SOFR, respectively, if the Company's total leverage ratio was equal to or greater than 2.00x and less than 3.00x, and 3.25% or 4.25% for base rate or SOFR, respectively, if the Company's total leverage ratio was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Silicon Valley Bank ("SVB") for certain fees and expenses relating to the engagement of a financial advisor, and (vi) 100% of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12"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$10.0 million of any equity proceeds will be used to repay the term loan and revolving credit facility, subject to the following carve-outs (A) the first $3.0 million of equity proceeds; and (B) any equity proceeds received from Vesey Street Capital Partners, L.L.C., our private equity sponsor (“Sponsor”). In consideration for the Third Amendment, the Company paid a fee equal to 0.15% of the outstanding loans to consenting Lenders (as defined in the Credit Agreement) and a $0.125 million arrangement fee to SVB.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if the Company had not prepaid the term loans (excluding regularly scheduled amortization) by $10.0 million as of such date. On June 13, 2025, the Company made a $10.0 million principal payment on the term loans in accordance with the Third Amendment using proceeds from its underwritten public offering completed on June 11, 2025. The Limited Guarantee automatically terminated on March 12, 2026 following the prepayment of the term loans in an aggregate amount of $20.0 million since the date of the Limited Guarantee.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entered into a further amendment to the Credit Agreement (the "Fourth Amendment") to, among other things: (i) extend the maturity date of the term loan and revolving credit facility to November 15, 2027 (approximately a six-month extension from the previous May 11, 2027 maturity date); (ii) require the Company to make a $2.5 million payment to the Lenders upon signing of the Fourth Amendment; (iii) require the Company to make an additional $2.5 million payment on or before September 30, 2026; (iv) require that 50% of the net proceeds of any future equity issuances (other than issuances under our equity incentive plans) be applied to prepay the term loans, in addition to amounts otherwise required to be applied under the Credit Agreement; (v) require the Company to provide biweekly updates on a conference call with the Lenders with respect to the status of its efforts to cause the Discharge of Obligations (as defined in the Credit Agreement); and (vi) require the Company, if the Discharge of Obligations has not occurred by October 31, 2026, to retain one or more investment banks reasonably satisfactory to the Administrative Agent (as defined in the Credit Agreement) to cause the Discharge of Obligations to occur, whether by obtaining replacement debt financing or otherwise. The Company is evaluating if the amendment is a modification or extinguishment and has not completed the accounting for debt issuance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interest rate under the Credit Agreement was 8.39%.</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borrowings as of June 30, 2026 and December 31, 2025 were as follows (in 000’s):</w:t>
      </w:r>
    </w:p>
    <w:tbl>
      <w:tblPr>
        <w:tblW w:w="6436" w:type="dxa"/>
        <w:jc w:val="left"/>
        <w:tblInd w:w="0" w:type="dxa"/>
        <w:tblLayout w:type="fixed"/>
        <w:tblCellMar>
          <w:top w:w="28" w:type="dxa"/>
          <w:left w:w="28" w:type="dxa"/>
          <w:bottom w:w="28" w:type="dxa"/>
          <w:right w:w="28" w:type="dxa"/>
        </w:tblCellMar>
      </w:tblPr>
      <w:tblGrid>
        <w:gridCol w:w="1419"/>
        <w:gridCol w:w="1248"/>
        <w:gridCol w:w="1262"/>
        <w:gridCol w:w="211"/>
        <w:gridCol w:w="721"/>
        <w:gridCol w:w="109"/>
        <w:gridCol w:w="109"/>
        <w:gridCol w:w="109"/>
        <w:gridCol w:w="109"/>
        <w:gridCol w:w="221"/>
        <w:gridCol w:w="757"/>
        <w:gridCol w:w="161"/>
      </w:tblGrid>
      <w:tr>
        <w:trPr/>
        <w:tc>
          <w:tcPr>
            <w:tcW w:w="141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56,957 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discounts and issuance costs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56,045 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33,108 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50,585 </w:t>
            </w:r>
          </w:p>
        </w:tc>
        <w:tc>
          <w:tcPr>
            <w:tcW w:w="1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$5.0 million available on the revolving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scheduled future maturities of long-term debt as of June 30, 2026 is as follows (in 000’s):</w:t>
      </w:r>
    </w:p>
    <w:tbl>
      <w:tblPr>
        <w:tblW w:w="3440" w:type="dxa"/>
        <w:jc w:val="left"/>
        <w:tblInd w:w="0" w:type="dxa"/>
        <w:tblLayout w:type="fixed"/>
        <w:tblCellMar>
          <w:top w:w="28" w:type="dxa"/>
          <w:left w:w="28" w:type="dxa"/>
          <w:bottom w:w="28" w:type="dxa"/>
          <w:right w:w="28" w:type="dxa"/>
        </w:tblCellMar>
      </w:tblPr>
      <w:tblGrid>
        <w:gridCol w:w="853"/>
        <w:gridCol w:w="749"/>
        <w:gridCol w:w="752"/>
        <w:gridCol w:w="211"/>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borrowings under the Credit Agreement are cross collateralized by substantially all assets of the Company and are subject to certain restrictive covenants including quarterly total leverage ratio and fixed charge ratio requirements discussed above. The Company is in compliance with all covenants and has no letter of credit outstanding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13"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are primarily for real estate, including medical office suites and corporate offices. For the three months ended June 30, 2026 and 2025, the Company incurred rent expense of $1.7 million and $1.7 million, respectively, for its medical office suites. For the six months ended June 30, 2026 and 2025, the Company incurred rent expense of $3.4 million and $3.5 million, respectively, related to its medical office suites. The Company’s rent expense related to its medical office suites is classified in cost of services within the Company’s condensed consolidated statements of operations. The Company incurred rent expense of $66,000 and $64,000 for the three months ended June 30, 2026 and 2025, respectively, and $0.1 million and $0.2 million for the six months ended June 30, 2026 and 2025, respectively, related to the corporate offices which is classified in selling, general and administrative expenses. The Company currently does not have any finance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for the six months ended June 30, 2026 and 2025 (in 000’s):</w:t>
      </w:r>
    </w:p>
    <w:tbl>
      <w:tblPr>
        <w:tblW w:w="8326"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minimum rental payments under all non-cancellable operating lease agreements for the succeeding five years are as follows, excluding common area maintenance charges that may be required by the agreements (in 000’s):</w:t>
      </w:r>
    </w:p>
    <w:tbl>
      <w:tblPr>
        <w:tblW w:w="4220" w:type="dxa"/>
        <w:jc w:val="left"/>
        <w:tblInd w:w="0" w:type="dxa"/>
        <w:tblLayout w:type="fixed"/>
        <w:tblCellMar>
          <w:top w:w="28" w:type="dxa"/>
          <w:left w:w="28" w:type="dxa"/>
          <w:bottom w:w="28" w:type="dxa"/>
          <w:right w:w="28" w:type="dxa"/>
        </w:tblCellMar>
      </w:tblPr>
      <w:tblGrid>
        <w:gridCol w:w="1136"/>
        <w:gridCol w:w="997"/>
        <w:gridCol w:w="1001"/>
        <w:gridCol w:w="211"/>
        <w:gridCol w:w="721"/>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as of June 30,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32,806 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STOCKHOLDERS' EQUITY AND EQUITY-BASED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granted 1,661,921 and 2,103,098 restricted stock units ("RSUs") to executive officers and employees under the 2021 Equity Incentive Plan. During the three and six months ended June 30, 2025, the Company granted 175,782 and 1,064,083 RSU's, respectively. These RSUs are not considered outstanding until vested. These RSUs have a time-based vesting condition. These units will vest one-third per year over three years. Vesting and payment of these RSUs are generally subject to continuing service of the employee or non-employee director over the requisite vesting periods beginning one year from the date of grant to three years after the date of grant. The fair values of these RSUs were determined based on the closing price of the Company’s common stock on the trading date immediately prior to the grant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also granted 535,714 and 682,773 performance based stock units ("PSUs"), respectively, which have market-based vesting conditions. In the three and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4"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June 30, 2025, the Company granted 0 and 899,919 PSU's, respectively. The vesting of the PSUs is based on achievement of a total shareholder return relative to a specified peer group (“rTSR”) within the three year performance period. Based on the rTSR, the PSUs can settle in shares in a range from 0% to 200%. Additionally, during the three and six months ended June 30, 2025, our CEO was granted 0 and 220,836 PSUs, respectively, with vesting conditioned on the attainment of a 60-day volume weighted average price ("VWAP") in relation to the per share closing price on the date of grant. These awards are structured with one-fourth vesting at 125% VWAP, one-fourth vesting at 175% VWAP, one-fourth vesting at 200% VWAP, and the final one-fourth vesting at 225% VWAP. In addition to the achievement of the performance conditions, all PSUs are generally subject to the continuing service of the employee over the requisite vesting period from the earned date continuing through the settlement of the shares, subject to exceptions (in whole or in part) upon certain qualifying terminations of service, as provided in the applicable award agreement. For these PSUs, the shares settle in the first quarter of the year following the year in which the vesting criteria are met. The performance criterion is based on the Company’s actual performance condition results as compared to the targets.  These PSUs are not considered outstanding until settled. The fair values of PSUs with a market-based vesting condition were estimated using a Monte Carlo simulation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equity-based compensation expense of $0.9 million and $1.4 million for the three months ended June 30, 2026 and 2025, respectively, and $1.5 million and $2.6 million for the six months ended June 30, 2026 and 2025, respectively, in selling, general and administrative expenses on the condensed consolidated statements of operations. Forfeitures are recognized as incurred.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entered into a sales agreement (the “ATM Agreement”) with Leerink Partners LLC ("Leerink"), as sales agent, in connection with an at-the-market offering program under which the Company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No. 333-285825). The Company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the Company sold the following quantities of our common stock pursuant to the ATM Agreement for total net proceeds of approximately $5.0 million and $19.6 million, respectively:</w:t>
      </w:r>
    </w:p>
    <w:p>
      <w:pPr>
        <w:pStyle w:val="TextBody"/>
        <w:bidi w:val="0"/>
        <w:spacing w:before="0" w:after="0"/>
        <w:jc w:val="both"/>
        <w:rPr/>
      </w:pPr>
      <w:r>
        <w:rPr/>
      </w:r>
    </w:p>
    <w:tbl>
      <w:tblPr>
        <w:tblW w:w="3101" w:type="dxa"/>
        <w:jc w:val="left"/>
        <w:tblInd w:w="0" w:type="dxa"/>
        <w:tblLayout w:type="fixed"/>
        <w:tblCellMar>
          <w:top w:w="28" w:type="dxa"/>
          <w:left w:w="28" w:type="dxa"/>
          <w:bottom w:w="28" w:type="dxa"/>
          <w:right w:w="28" w:type="dxa"/>
        </w:tblCellMar>
      </w:tblPr>
      <w:tblGrid>
        <w:gridCol w:w="304"/>
        <w:gridCol w:w="266"/>
        <w:gridCol w:w="270"/>
        <w:gridCol w:w="109"/>
        <w:gridCol w:w="109"/>
        <w:gridCol w:w="109"/>
        <w:gridCol w:w="566"/>
        <w:gridCol w:w="566"/>
        <w:gridCol w:w="802"/>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(in thousands)</w:t>
            </w:r>
          </w:p>
        </w:tc>
      </w:tr>
      <w:tr>
        <w:trPr/>
        <w:tc>
          <w:tcPr>
            <w:tcW w:w="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10, 2026 the Company issued an additional 576,000 shares of common stock under the ATM Agreement, generating total net proceeds of approximately $2.4 million during the third quarter.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7 – EARNINGS PER SHARE</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Basic earnings per share of common stock is computed by dividing net loss for the three and six months ended June 30, 2026 and 2025 by the weighted-average number of shares of common stock outstanding during the same period. Diluted earnings per share of common stock is computed by dividing net loss for the three and six months ended June 30, 2026 and 2025 by the weighted-average number of shares of common stock adjusted to give effect to potentially dilutive securities</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loss per share of common stock is as follows (in 000’s except for shares and per share figures):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5"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34"/>
        <w:gridCol w:w="1612"/>
        <w:gridCol w:w="1625"/>
        <w:gridCol w:w="270"/>
        <w:gridCol w:w="811"/>
        <w:gridCol w:w="109"/>
        <w:gridCol w:w="309"/>
        <w:gridCol w:w="772"/>
        <w:gridCol w:w="109"/>
        <w:gridCol w:w="109"/>
        <w:gridCol w:w="109"/>
        <w:gridCol w:w="109"/>
        <w:gridCol w:w="270"/>
        <w:gridCol w:w="811"/>
        <w:gridCol w:w="109"/>
        <w:gridCol w:w="270"/>
        <w:gridCol w:w="811"/>
        <w:gridCol w:w="156"/>
      </w:tblGrid>
      <w:tr>
        <w:trPr/>
        <w:tc>
          <w:tcPr>
            <w:tcW w:w="183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71" w:type="dxa"/>
            <w:gridSpan w:val="3"/>
            <w:tcBorders>
              <w:top w:val="single" w:sz="6" w:space="0" w:color="FFFFFF"/>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 outstanding - basic and diluted</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number of potentially dilutive shares were excluded from the calculation of diluted loss per share because the effect of including such potentially dilutive shares would have been antidilutive.</w:t>
      </w:r>
    </w:p>
    <w:tbl>
      <w:tblPr>
        <w:tblW w:w="9051" w:type="dxa"/>
        <w:jc w:val="left"/>
        <w:tblInd w:w="0" w:type="dxa"/>
        <w:tblLayout w:type="fixed"/>
        <w:tblCellMar>
          <w:top w:w="28" w:type="dxa"/>
          <w:left w:w="28" w:type="dxa"/>
          <w:bottom w:w="28" w:type="dxa"/>
          <w:right w:w="28" w:type="dxa"/>
        </w:tblCellMar>
      </w:tblPr>
      <w:tblGrid>
        <w:gridCol w:w="1275"/>
        <w:gridCol w:w="1121"/>
        <w:gridCol w:w="1128"/>
        <w:gridCol w:w="681"/>
        <w:gridCol w:w="310"/>
        <w:gridCol w:w="310"/>
        <w:gridCol w:w="678"/>
        <w:gridCol w:w="310"/>
        <w:gridCol w:w="321"/>
        <w:gridCol w:w="109"/>
        <w:gridCol w:w="109"/>
        <w:gridCol w:w="109"/>
        <w:gridCol w:w="626"/>
        <w:gridCol w:w="350"/>
        <w:gridCol w:w="260"/>
        <w:gridCol w:w="642"/>
        <w:gridCol w:w="334"/>
        <w:gridCol w:w="378"/>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24" w:type="dxa"/>
            <w:gridSpan w:val="3"/>
            <w:tcBorders>
              <w:top w:val="single" w:sz="6" w:space="0" w:color="FFFFFF"/>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1,178,822 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1,363,449 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1,178,822 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1,363,449 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market-based stock units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922,997 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1,702,042 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922,997 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1,702,042 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income tax (benefit)/expense for the three months ended June 30, 2026 and 2025 was $(0.1) million and $(0.2) million, respectively, and the income tax (benefit)/expense for the six months ended June 30, 2026 and 2025 was $(0.6) million and $(0.6) million, respectively. The effective tax rate for the three months ended June 30, 2026 and 2025 was 8.3% and 23.8%, respectively. The effective tax rate for the six months ended June 30, 2026 and 2025 was 13.9% and 13.8%, respectively. The main drivers of the difference between the effective and statutory rate are non-deductible executive compensation under Section 162(m) of the Internal Revenue Code and also state taxes. There are no uncertain tax positions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Professional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and one reportable segment: direct medical procedure services. This segment is made up of facilities and medical staff that provide the Company’s patented AirSculpt® procedures to patients. The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6"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policies of the direct medical procedure services segment are the same as those presented in Note 1 - Organization and Summary of Key Accounting Policies. The Company’s chief operating decision maker (“CODM”) is the Company’s chief executive officer. The CODM reviews financial information presented on a consolidated basis for purposes of making operating decisions, assessing financial performance and allocating resources. The Company’s CODM reviews revenue, gross profit, Adjusted EBITDA and net loss. The CODM uses Adjusted EBITDA as the primary profit metric to evaluate income generated from operations in deciding where to spend additional marketing dollars or allocate additional resources. Gross profit is defined as revenues less cost of service incurred and Adjusted EBITDA is defined as net loss excluding depreciation and amortization, net interest expense, income tax benefit, restructuring and related severance costs, certain other non-recurring costs, and equity-based compensation. Segment information is presented below showing revenue, significant expenses and net loss (the closest GAAP measure to Adjusted EBITDA), in the same manner that the CODM reviews the operating results in assessing performance and allocating resources. </w:t>
      </w:r>
    </w:p>
    <w:tbl>
      <w:tblPr>
        <w:tblW w:w="10205" w:type="dxa"/>
        <w:jc w:val="left"/>
        <w:tblInd w:w="0" w:type="dxa"/>
        <w:tblLayout w:type="fixed"/>
        <w:tblCellMar>
          <w:top w:w="28" w:type="dxa"/>
          <w:left w:w="28" w:type="dxa"/>
          <w:bottom w:w="28" w:type="dxa"/>
          <w:right w:w="28" w:type="dxa"/>
        </w:tblCellMar>
      </w:tblPr>
      <w:tblGrid>
        <w:gridCol w:w="1650"/>
        <w:gridCol w:w="1360"/>
        <w:gridCol w:w="136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6"/>
      </w:tblGrid>
      <w:tr>
        <w:trPr/>
        <w:tc>
          <w:tcPr>
            <w:tcW w:w="16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42,900 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44,012 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82,289 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83,383 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Cost of service (exclusive of depreciation and amortization)</w:t>
            </w:r>
            <w:r>
              <w:rPr>
                <w:color w:val="000000"/>
              </w:rPr>
              <w:t xml:space="preserve"> </w:t>
            </w:r>
            <w:r>
              <w:rPr>
                <w:rFonts w:ascii="Times New Roman;serif" w:hAnsi="Times New Roman;serif"/>
                <w:b w:val="false"/>
                <w:color w:val="000000"/>
                <w:sz w:val="13"/>
              </w:rPr>
              <w:t>(1)</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17,201 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33,151 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selling, general, and administrative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disposal of long-lived assets </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42,929 </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43,226 </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84,120 </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from operations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D2EDFE"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09" w:type="dxa"/>
            <w:tcBorders>
              <w:top w:val="single" w:sz="6"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193,281 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193,281 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Cost of services includes the costs of physicians, nursing, supplies and rent directly related to the performance of procedures at the facility level.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ACCRUED AND OTHER CURRENT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accrued and other current liabilities consists of the following (in 000’s):</w:t>
      </w:r>
    </w:p>
    <w:tbl>
      <w:tblPr>
        <w:tblW w:w="5448" w:type="dxa"/>
        <w:jc w:val="left"/>
        <w:tblInd w:w="0" w:type="dxa"/>
        <w:tblLayout w:type="fixed"/>
        <w:tblCellMar>
          <w:top w:w="28" w:type="dxa"/>
          <w:left w:w="28" w:type="dxa"/>
          <w:bottom w:w="28" w:type="dxa"/>
          <w:right w:w="28" w:type="dxa"/>
        </w:tblCellMar>
      </w:tblPr>
      <w:tblGrid>
        <w:gridCol w:w="1100"/>
        <w:gridCol w:w="971"/>
        <w:gridCol w:w="974"/>
        <w:gridCol w:w="211"/>
        <w:gridCol w:w="616"/>
        <w:gridCol w:w="109"/>
        <w:gridCol w:w="109"/>
        <w:gridCol w:w="109"/>
        <w:gridCol w:w="109"/>
        <w:gridCol w:w="245"/>
        <w:gridCol w:w="716"/>
        <w:gridCol w:w="179"/>
      </w:tblGrid>
      <w:tr>
        <w:trPr/>
        <w:tc>
          <w:tcPr>
            <w:tcW w:w="110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payable</w:t>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Insurance premiums payable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1485"/>
                <wp:effectExtent l="0" t="0" r="0" b="0"/>
                <wp:wrapNone/>
                <wp:docPr id="17" name="Frame1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financial statements and related notes and other financial information appearing in our Annual Report on Form 10-K dated April 6, 2026 filed with the Securities and Exchange Commission (“SEC”) pursuant to Section 13 or 15(d) of the Securities Exchange Act of 1934 (the “Exchange Act”). This discussion and analysis contains forward-looking statements that involve risks, uncertainties and assumptions. See the section entitled "Cautionary Note Regarding Forward-Looking Statements" in this Quarterly Report on Form 10-Q. Our actual results could differ materially from those anticipated in the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section titled “Cautionary Note Regarding Forward-Looking Statements” in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Quarterly Report to the “Company,” “AirSculpt,” “we,” “us” and “our” refer to AirSculpt Technologies, Inc. and its consolidated subsidiaries and its related Professional Associations.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AirSculpt is an experienced national provider of body contouring procedures delivering a premium consumer experience. We provide custom body contouring using our proprietary AirSculpt® method that removes unwanted fat and tightens skin in a minimally invasive procedure, producing dramatic results. We deliver our AirSculpt® procedures through a nationwide footprint of 31 centers across 20 states and Canada as of August 10,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performed 3,376 and 6,458 cases, respectively, compared to 3,392 and 6,468 for the three and six months ended June 30, 2025, respectively. For the three and six months ended June 30, 2026, we generated approximately $42.9 million and $82.3 million of revenue, respectively, compared to $44.0 million and $83.4 million for the three and six months ended June 30, 2025, respectively. This represents an approximately 3% decline in revenue for the three months ended June 30, 2026 over the same period in the prior year and an approximately 1% decline in revenue for the six months ended June 30, 2026 over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Operational and Business Metrics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condensed consolidated financial statements, we use the following key operational and business metrics to evaluate our business, measure our performance, develop financial forecasts and make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Cases Performed and Revenue per Case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case volumes in the table below, which are used for calculating revenue per case, represent one patient visit although; a patient may have multiple areas treated during one visit. We believe this provides the best approach for assessing our revenue performance and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1485"/>
                <wp:effectExtent l="0" t="0" r="0" b="0"/>
                <wp:wrapNone/>
                <wp:docPr id="18" name="Frame1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Total Case and Revenue Metrics</w:t>
      </w:r>
    </w:p>
    <w:tbl>
      <w:tblPr>
        <w:tblW w:w="8240" w:type="dxa"/>
        <w:jc w:val="left"/>
        <w:tblInd w:w="0" w:type="dxa"/>
        <w:tblLayout w:type="fixed"/>
        <w:tblCellMar>
          <w:top w:w="28" w:type="dxa"/>
          <w:left w:w="28" w:type="dxa"/>
          <w:bottom w:w="28" w:type="dxa"/>
          <w:right w:w="28" w:type="dxa"/>
        </w:tblCellMar>
      </w:tblPr>
      <w:tblGrid>
        <w:gridCol w:w="1005"/>
        <w:gridCol w:w="883"/>
        <w:gridCol w:w="901"/>
        <w:gridCol w:w="211"/>
        <w:gridCol w:w="721"/>
        <w:gridCol w:w="271"/>
        <w:gridCol w:w="109"/>
        <w:gridCol w:w="109"/>
        <w:gridCol w:w="109"/>
        <w:gridCol w:w="211"/>
        <w:gridCol w:w="721"/>
        <w:gridCol w:w="109"/>
        <w:gridCol w:w="109"/>
        <w:gridCol w:w="109"/>
        <w:gridCol w:w="109"/>
        <w:gridCol w:w="316"/>
        <w:gridCol w:w="234"/>
        <w:gridCol w:w="442"/>
        <w:gridCol w:w="114"/>
        <w:gridCol w:w="114"/>
        <w:gridCol w:w="114"/>
        <w:gridCol w:w="280"/>
        <w:gridCol w:w="334"/>
        <w:gridCol w:w="342"/>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271"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w:t>
            </w:r>
          </w:p>
        </w:tc>
        <w:tc>
          <w:tcPr>
            <w:tcW w:w="34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12,707 </w:t>
            </w:r>
          </w:p>
        </w:tc>
        <w:tc>
          <w:tcPr>
            <w:tcW w:w="27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w:t>
            </w:r>
          </w:p>
        </w:tc>
        <w:tc>
          <w:tcPr>
            <w:tcW w:w="34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203"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4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Same-Center Case and Revenue Metrics</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Same-Center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define same-center case and revenue growth as the growth in each of our cases and revenue at facilities that were owned and operated during the three months ended June 30, 2026 and 2025, respectively. At facilities that were not owned or operated for the entirety of the prior year period, the current year period has been pro-rated to reflect only growth experienced during the portion of the three months ended June 30, 2026 in which such facilities were owned and operated during the three months ended June 30, 2025. We define same-center facilities and procedure rooms based on whether a facility was owned or operated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we define same-center case and revenue growth as the growth in each of our cases and revenue at facilities that were owned and operated during the six months ended June 30, 2026 and 2025, respectively. At facilities that were not owned or operated for the entirety of the prior year period, the current year period has been pro-rated to reflect only growth experienced during the portion of the six months ended June 30, 2026 in which such facilities were owned and operated during the six months ended June 30, 2025. We define same-center facilities and procedure rooms based on if a facility was owned or operated as of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03" w:type="dxa"/>
        <w:jc w:val="left"/>
        <w:tblInd w:w="0" w:type="dxa"/>
        <w:tblLayout w:type="fixed"/>
        <w:tblCellMar>
          <w:top w:w="28" w:type="dxa"/>
          <w:left w:w="28" w:type="dxa"/>
          <w:bottom w:w="28" w:type="dxa"/>
          <w:right w:w="28" w:type="dxa"/>
        </w:tblCellMar>
      </w:tblPr>
      <w:tblGrid>
        <w:gridCol w:w="1005"/>
        <w:gridCol w:w="883"/>
        <w:gridCol w:w="901"/>
        <w:gridCol w:w="211"/>
        <w:gridCol w:w="721"/>
        <w:gridCol w:w="271"/>
        <w:gridCol w:w="109"/>
        <w:gridCol w:w="109"/>
        <w:gridCol w:w="109"/>
        <w:gridCol w:w="211"/>
        <w:gridCol w:w="721"/>
        <w:gridCol w:w="109"/>
        <w:gridCol w:w="109"/>
        <w:gridCol w:w="109"/>
        <w:gridCol w:w="109"/>
        <w:gridCol w:w="211"/>
        <w:gridCol w:w="721"/>
        <w:gridCol w:w="271"/>
        <w:gridCol w:w="109"/>
        <w:gridCol w:w="109"/>
        <w:gridCol w:w="109"/>
        <w:gridCol w:w="211"/>
        <w:gridCol w:w="721"/>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271"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271"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54"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12,707 </w:t>
            </w:r>
          </w:p>
        </w:tc>
        <w:tc>
          <w:tcPr>
            <w:tcW w:w="27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27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203"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Measures—Adjusted EBITDA, Adjusted EBITDA Margin, Adjusted Net Income, and Adjusted Net Income per Share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generally accepted accounting principles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loss excluding depreciation and amortization, net interest expense, income tax benefit, restructuring and related severance costs, certain other non-recurring costs, unrealized (gain)/loss, and equity-based compensation.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1485"/>
                <wp:effectExtent l="0" t="0" r="0" b="0"/>
                <wp:wrapNone/>
                <wp:docPr id="19" name="Frame1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Net Income as net loss excluding restructuring and related severance costs, equity-based compensation, loss on disposal of long-lived assets, restructuring and related severance costs, certain other non-recurring costs, and the tax effect of these adjustments.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include Adjusted EBITDA and Adjusted Net Income because they are important measures which our management uses and believes investors should use to assess our operating performance. We consider Adjusted EBITDA and Adjusted Net Income to be important measures because they help illustrate underlying trends in our business and our historical operating performance on a more consistent basis. However, Adjusted EBITDA has limitations as an analytical tool including that it: (i) does not include results from equity-based compensation and (ii) does not reflect interest expense on our debt or the cash requirements necessary to service interest or principal payments. Similarly, Adjusted Net Income has limitations as an analytical tool because it does not include results from equity-based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uses, and believes investors should use to assess our operating performance. We consider Adjusted EBITDA Margin and Adjusted Net Income per Share to be important measures because they help illustrate underlying trends in our business and our historical operating performance on a more consistent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and Adjusted EBITDA Margin to net loss,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1450"/>
        <w:gridCol w:w="1271"/>
        <w:gridCol w:w="1277"/>
        <w:gridCol w:w="211"/>
        <w:gridCol w:w="688"/>
        <w:gridCol w:w="301"/>
        <w:gridCol w:w="109"/>
        <w:gridCol w:w="109"/>
        <w:gridCol w:w="109"/>
        <w:gridCol w:w="211"/>
        <w:gridCol w:w="631"/>
        <w:gridCol w:w="301"/>
        <w:gridCol w:w="109"/>
        <w:gridCol w:w="109"/>
        <w:gridCol w:w="109"/>
        <w:gridCol w:w="211"/>
        <w:gridCol w:w="688"/>
        <w:gridCol w:w="301"/>
        <w:gridCol w:w="109"/>
        <w:gridCol w:w="109"/>
        <w:gridCol w:w="109"/>
        <w:gridCol w:w="211"/>
        <w:gridCol w:w="688"/>
        <w:gridCol w:w="301"/>
        <w:gridCol w:w="109"/>
        <w:gridCol w:w="109"/>
        <w:gridCol w:w="109"/>
        <w:gridCol w:w="156"/>
      </w:tblGrid>
      <w:tr>
        <w:trPr/>
        <w:tc>
          <w:tcPr>
            <w:tcW w:w="145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6" w:type="dxa"/>
            <w:tcBorders/>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SOX compliance and other related costs</w:t>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disposal of long lived assets </w:t>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4,937</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5,835</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8,248</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9,590</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899"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3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720"/>
        <w:jc w:val="both"/>
        <w:rPr/>
      </w:pPr>
      <w:r>
        <w:rPr/>
      </w:r>
    </w:p>
    <w:p>
      <w:pPr>
        <w:pStyle w:val="TextBody"/>
        <w:bidi w:val="0"/>
        <w:spacing w:before="24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1485"/>
                <wp:effectExtent l="0" t="0" r="0" b="0"/>
                <wp:wrapNone/>
                <wp:docPr id="20" name="Frame2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Net Loss and Adjusted Net Loss per Share to net loss,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1443"/>
        <w:gridCol w:w="1267"/>
        <w:gridCol w:w="1272"/>
        <w:gridCol w:w="270"/>
        <w:gridCol w:w="811"/>
        <w:gridCol w:w="109"/>
        <w:gridCol w:w="109"/>
        <w:gridCol w:w="109"/>
        <w:gridCol w:w="109"/>
        <w:gridCol w:w="270"/>
        <w:gridCol w:w="811"/>
        <w:gridCol w:w="109"/>
        <w:gridCol w:w="109"/>
        <w:gridCol w:w="109"/>
        <w:gridCol w:w="109"/>
        <w:gridCol w:w="270"/>
        <w:gridCol w:w="811"/>
        <w:gridCol w:w="109"/>
        <w:gridCol w:w="109"/>
        <w:gridCol w:w="109"/>
        <w:gridCol w:w="109"/>
        <w:gridCol w:w="270"/>
        <w:gridCol w:w="811"/>
        <w:gridCol w:w="109"/>
        <w:gridCol w:w="109"/>
        <w:gridCol w:w="109"/>
        <w:gridCol w:w="109"/>
        <w:gridCol w:w="155"/>
      </w:tblGrid>
      <w:tr>
        <w:trPr/>
        <w:tc>
          <w:tcPr>
            <w:tcW w:w="14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5" w:type="dxa"/>
            <w:tcBorders/>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disposal of long-lived assets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Litigation settlements </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SOX compliance and other related costs</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(loss)</w:t>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w:t>
            </w:r>
            <w:r>
              <w:rPr>
                <w:color w:val="000000"/>
              </w:rPr>
              <w:t>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1,187</w:t>
            </w:r>
            <w:r>
              <w:rPr>
                <w:color w:val="000000"/>
              </w:rPr>
              <w:t>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Adjusted net loss per share of common stock </w:t>
            </w:r>
            <w:r>
              <w:rPr>
                <w:rFonts w:ascii="Times New Roman;serif" w:hAnsi="Times New Roman;serif"/>
                <w:b w:val="false"/>
                <w:color w:val="000000"/>
                <w:sz w:val="13"/>
              </w:rPr>
              <w:t>(1)</w:t>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70,981,004 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60,379,884 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720"/>
        <w:jc w:val="both"/>
        <w:rPr/>
      </w:pPr>
      <w:r>
        <w:rPr/>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(1)    Diluted Adjusted Net Loss Per Share is computed by dividing adjusted net income by the weighted-average number of shares of common stock outstanding adjusted for the dilutive effect of all potential shares of common stock.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160" w:after="283"/>
        <w:jc w:val="both"/>
        <w:rPr/>
      </w:pPr>
      <w:r>
        <w:rPr>
          <w:rFonts w:ascii="Times New Roman;serif" w:hAnsi="Times New Roman;serif"/>
          <w:b w:val="false"/>
          <w:color w:val="000000"/>
          <w:sz w:val="20"/>
        </w:rPr>
        <w:t>Our revenue is generated from AirSculpt</w:t>
      </w:r>
      <w:r>
        <w:rPr>
          <w:rFonts w:ascii="Times New Roman;serif" w:hAnsi="Times New Roman;serif"/>
          <w:b w:val="false"/>
          <w:color w:val="000000"/>
          <w:sz w:val="15"/>
        </w:rPr>
        <w:t>®</w:t>
      </w:r>
      <w:r>
        <w:rPr>
          <w:color w:val="000000"/>
        </w:rPr>
        <w:t xml:space="preserve"> </w:t>
      </w:r>
      <w:r>
        <w:rPr>
          <w:rFonts w:ascii="Times New Roman;serif" w:hAnsi="Times New Roman;serif"/>
          <w:b w:val="false"/>
          <w:color w:val="000000"/>
          <w:sz w:val="20"/>
        </w:rPr>
        <w:t>procedures, which incorporate certain patented technologies and techniques,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policy is to require full payment for services in advance of performing a procedure. Payments received for which services have yet to been performed for all reported periods are included in deferred revenue and patient deposits on our balance sheets.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Cost of Service (excluding depreciation and amortization)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service is comprised of all service and product costs related to the delivery of procedures, including but not limited to compensation to our physicians and clinical staff, medical supply costs, and facility-related rent expense.</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76" w:before="160" w:after="283"/>
        <w:jc w:val="both"/>
        <w:rPr/>
      </w:pPr>
      <w:r>
        <w:rPr>
          <w:rFonts w:ascii="Times New Roman;serif" w:hAnsi="Times New Roman;serif"/>
          <w:b w:val="false"/>
          <w:color w:val="000000"/>
          <w:sz w:val="20"/>
        </w:rPr>
        <w:t>Selling, general and administrative consists of marketing and advertising expenses we incur to market our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to potential patients and general and administrative costs, including rent for our corporate offices.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21" name="Frame2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Expenses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evaluate our selling expense as compared to growth in our sales volume and will invest accordingly to the extent we believe we can position ourselves for future growth without materially negatively impacting our Adjusted EBITDA Margins.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consists primarily of interest costs on our outstanding borrowings under our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notes summarize certain results from the statements of operations for each of the periods indicated and the changes between periods. The table also shows the percentage relationship to revenue for the periods indicated:</w:t>
      </w:r>
    </w:p>
    <w:tbl>
      <w:tblPr>
        <w:tblW w:w="8494" w:type="dxa"/>
        <w:jc w:val="left"/>
        <w:tblInd w:w="0" w:type="dxa"/>
        <w:tblLayout w:type="fixed"/>
        <w:tblCellMar>
          <w:top w:w="28" w:type="dxa"/>
          <w:left w:w="28" w:type="dxa"/>
          <w:bottom w:w="28" w:type="dxa"/>
          <w:right w:w="28" w:type="dxa"/>
        </w:tblCellMar>
      </w:tblPr>
      <w:tblGrid>
        <w:gridCol w:w="1251"/>
        <w:gridCol w:w="1090"/>
        <w:gridCol w:w="1003"/>
        <w:gridCol w:w="211"/>
        <w:gridCol w:w="721"/>
        <w:gridCol w:w="109"/>
        <w:gridCol w:w="109"/>
        <w:gridCol w:w="109"/>
        <w:gridCol w:w="109"/>
        <w:gridCol w:w="308"/>
        <w:gridCol w:w="308"/>
        <w:gridCol w:w="401"/>
        <w:gridCol w:w="109"/>
        <w:gridCol w:w="109"/>
        <w:gridCol w:w="109"/>
        <w:gridCol w:w="211"/>
        <w:gridCol w:w="721"/>
        <w:gridCol w:w="109"/>
        <w:gridCol w:w="109"/>
        <w:gridCol w:w="109"/>
        <w:gridCol w:w="109"/>
        <w:gridCol w:w="308"/>
        <w:gridCol w:w="308"/>
        <w:gridCol w:w="454"/>
      </w:tblGrid>
      <w:tr>
        <w:trPr/>
        <w:tc>
          <w:tcPr>
            <w:tcW w:w="125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42,900 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44,012 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4"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42,929 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4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43,226 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454"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54"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0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4"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Our revenue decreased $1.1 million, or 2.5%, compared to the same period in 2025. This decline was driven primarily by a 2.0% decrease in average selling price on a same-center basis, partially offset by a 1.0% increase in same-center case volume. Revenue in the prior-year period also benefited from the operations of the London clinic, which was closed as of December 31, 2025.</w:t>
      </w:r>
    </w:p>
    <w:p>
      <w:pPr>
        <w:pStyle w:val="TextBody"/>
        <w:bidi w:val="0"/>
        <w:spacing w:lineRule="auto" w:line="288" w:before="240" w:after="283"/>
        <w:jc w:val="both"/>
        <w:rPr/>
      </w:pPr>
      <w:r>
        <w:rPr>
          <w:rFonts w:ascii="Times New Roman;serif" w:hAnsi="Times New Roman;serif"/>
          <w:b w:val="false"/>
          <w:i/>
          <w:color w:val="000000"/>
          <w:sz w:val="20"/>
        </w:rPr>
        <w:t xml:space="preserve">Cost of Service— </w:t>
      </w:r>
      <w:r>
        <w:rPr>
          <w:rFonts w:ascii="Times New Roman;serif" w:hAnsi="Times New Roman;serif"/>
          <w:b w:val="false"/>
          <w:color w:val="000000"/>
          <w:sz w:val="20"/>
        </w:rPr>
        <w:t xml:space="preserve">Our cost of services decreased $0.6 million, or 3.7%, compared to the same period in 2025. The decrease is caused by efficiencies gained in personnel costs as compared to 2025. Cost of service was 38.6% and 39.1% as a percentage of revenue for the three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22" name="Frame2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Selling, general and administrative expenses increased $0.8 million, or 3.3%, for the three months ended June 30, 2026 compared to the same period in 2025. This increase is driven primarily by a $1.4 million increase in advertising expense, offset by a $0.4 million decrease in stock compensation expense, a $0.1 million decrease in travel expense, and a $.06 million decrease in office supplies expense. Selling, general and administrative expenses as a percent of revenue was 54.6% and 51.5% for the three months ended June 30,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Total selling expenses were approximately $11.7 million and $9.9 million for the three months ended June 30, 2026 and 2025, respectively. Our customer acquisition costs were approximately $3,467 and $2,905 per customer in the three months ended June 30, 2026 and 2025, respectively. Selling expenses as a percentage of revenue may fluctuate from quarter to quarter based on the timing and scope of our initiatives and the related impact to our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$11.7 million and $12.8 million for the three months ended June 30, 2026 and 2025, respectively. </w:t>
      </w:r>
    </w:p>
    <w:p>
      <w:pPr>
        <w:pStyle w:val="TextBody"/>
        <w:bidi w:val="0"/>
        <w:spacing w:lineRule="auto" w:line="288" w:before="240" w:after="283"/>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decreased to approximately $2.9 million for the three months ended June 30, 2026 compared to $3.2 million for the same period in 2025. This decrease is driven primarily by the net reduction of one clinic location and one office location during the three months ended June 30, 2026 as compared to the 2025 period.</w:t>
      </w:r>
    </w:p>
    <w:p>
      <w:pPr>
        <w:pStyle w:val="TextBody"/>
        <w:bidi w:val="0"/>
        <w:spacing w:lineRule="auto" w:line="288" w:before="240" w:after="283"/>
        <w:jc w:val="both"/>
        <w:rPr/>
      </w:pPr>
      <w:r>
        <w:rPr>
          <w:rFonts w:ascii="Times New Roman;serif" w:hAnsi="Times New Roman;serif"/>
          <w:b w:val="false"/>
          <w:i/>
          <w:color w:val="000000"/>
          <w:sz w:val="20"/>
        </w:rPr>
        <w:t xml:space="preserve">Interest Expense, net— </w:t>
      </w:r>
      <w:r>
        <w:rPr>
          <w:rFonts w:ascii="Times New Roman;serif" w:hAnsi="Times New Roman;serif"/>
          <w:b w:val="false"/>
          <w:color w:val="000000"/>
          <w:sz w:val="20"/>
        </w:rPr>
        <w:t>Interest expense was $1.0 million and $1.6 million for the three months ended June 30, 2026 and 2025, respectively. The $0.6 million decrease was related to principal prepayments which reduced the outstanding balance.</w:t>
      </w:r>
    </w:p>
    <w:p>
      <w:pPr>
        <w:pStyle w:val="TextBody"/>
        <w:bidi w:val="0"/>
        <w:spacing w:lineRule="auto" w:line="288" w:before="240" w:after="283"/>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Our effective tax rate was 8.3% and 23.8% for the three months ended June 30, 2026 and 2025, respectively. The main driver of the difference between the effective and statutory rate is non-deductible executive compensation under Section 162(m) of the Internal Revenue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notes summarize certain results from the statements of operations for each of the periods indicated and the changes between periods. The table also shows the percentage relationship to revenue for the periods indicated:</w:t>
      </w:r>
    </w:p>
    <w:tbl>
      <w:tblPr>
        <w:tblW w:w="9165" w:type="dxa"/>
        <w:jc w:val="left"/>
        <w:tblInd w:w="0" w:type="dxa"/>
        <w:tblLayout w:type="fixed"/>
        <w:tblCellMar>
          <w:top w:w="28" w:type="dxa"/>
          <w:left w:w="28" w:type="dxa"/>
          <w:bottom w:w="28" w:type="dxa"/>
          <w:right w:w="28" w:type="dxa"/>
        </w:tblCellMar>
      </w:tblPr>
      <w:tblGrid>
        <w:gridCol w:w="1251"/>
        <w:gridCol w:w="1090"/>
        <w:gridCol w:w="1003"/>
        <w:gridCol w:w="211"/>
        <w:gridCol w:w="721"/>
        <w:gridCol w:w="109"/>
        <w:gridCol w:w="109"/>
        <w:gridCol w:w="109"/>
        <w:gridCol w:w="109"/>
        <w:gridCol w:w="308"/>
        <w:gridCol w:w="308"/>
        <w:gridCol w:w="426"/>
        <w:gridCol w:w="109"/>
        <w:gridCol w:w="109"/>
        <w:gridCol w:w="109"/>
        <w:gridCol w:w="211"/>
        <w:gridCol w:w="721"/>
        <w:gridCol w:w="109"/>
        <w:gridCol w:w="109"/>
        <w:gridCol w:w="109"/>
        <w:gridCol w:w="109"/>
        <w:gridCol w:w="308"/>
        <w:gridCol w:w="308"/>
        <w:gridCol w:w="401"/>
        <w:gridCol w:w="109"/>
        <w:gridCol w:w="109"/>
        <w:gridCol w:w="109"/>
        <w:gridCol w:w="109"/>
        <w:gridCol w:w="109"/>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72" w:type="dxa"/>
            <w:gridSpan w:val="3"/>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 xml:space="preserve">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82,289 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6"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83,383 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84,120 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426"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4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loss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26"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09" w:type="dxa"/>
            <w:tcBorders>
              <w:top w:val="single" w:sz="8" w:space="0" w:color="000000"/>
            </w:tcBorders>
            <w:shd w:fill="D2EDF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01" w:type="dxa"/>
            <w:tcBorders>
              <w:top w:val="single" w:sz="8" w:space="0" w:color="000000"/>
            </w:tcBorders>
            <w:shd w:fill="D2EDFE"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26"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09"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1" w:type="dxa"/>
            <w:tcBorders>
              <w:top w:val="single" w:sz="8" w:space="0" w:color="000000"/>
              <w:bottom w:val="double" w:sz="8" w:space="0" w:color="000000"/>
            </w:tcBorders>
            <w:shd w:fill="D2EDFE"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23" name="Frame2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Revenue—</w:t>
      </w:r>
      <w:r>
        <w:rPr>
          <w:rFonts w:ascii="Times New Roman;serif" w:hAnsi="Times New Roman;serif"/>
          <w:b w:val="false"/>
          <w:color w:val="000000"/>
          <w:sz w:val="20"/>
        </w:rPr>
        <w:t>Our revenue decreased $1.1 million, or 1.3%, for the six months ended June 30, 2026 compared to the same period in 2025. This decline was driven primarily by a 1.1% decrease in average selling price on a same-center basis, partially offset by a 1.1% increase in same-center case volume. Revenue in the prior-year period also benefited from the operations of the London clinic, which was closed as of December 31, 2025.</w:t>
      </w:r>
    </w:p>
    <w:p>
      <w:pPr>
        <w:pStyle w:val="TextBody"/>
        <w:bidi w:val="0"/>
        <w:spacing w:lineRule="auto" w:line="288" w:before="240" w:after="283"/>
        <w:jc w:val="both"/>
        <w:rPr/>
      </w:pPr>
      <w:r>
        <w:rPr>
          <w:rFonts w:ascii="Times New Roman;serif" w:hAnsi="Times New Roman;serif"/>
          <w:b w:val="false"/>
          <w:i/>
          <w:color w:val="000000"/>
          <w:sz w:val="20"/>
        </w:rPr>
        <w:t>Cost of Service—</w:t>
      </w:r>
      <w:r>
        <w:rPr>
          <w:rFonts w:ascii="Times New Roman;serif" w:hAnsi="Times New Roman;serif"/>
          <w:b w:val="false"/>
          <w:color w:val="000000"/>
          <w:sz w:val="20"/>
        </w:rPr>
        <w:t xml:space="preserve">Our cost of service decreased $1.0 million, or 3.0%, for the six months ended June 30, 2026 compared to the six months ended June 30, 2025. The percentage decrease in cost of service is driven by the decrease in revenue when compared to the same period in 2025 due to the elimination of one center in the current period, as well as efficiencies gained in medical and supply costs. Cost of service was 39.1% and 39.8% as a percentage of revenue for the twelve months ended June 30, 2026 and 2025, respectively. The percentage decrease is primarily due to the decline in revenue and not being able to leverage certain fixed costs within cost of service such as rent and certain nursing costs. </w:t>
      </w:r>
    </w:p>
    <w:p>
      <w:pPr>
        <w:pStyle w:val="TextBody"/>
        <w:bidi w:val="0"/>
        <w:spacing w:lineRule="auto" w:line="288" w:before="240" w:after="283"/>
        <w:jc w:val="both"/>
        <w:rPr/>
      </w:pP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Selling, general and administrative expenses increased $1.6 million, or 3.5%, for the six months ended June 30, 2026 compared to the same period in 2025. This increase relates to a $2. million increase in advertising expense, a $0.5 million increase in payroll expenses, a $0.2 increase in professional service expenses offset by a $1.1 million decrease in stock compensation expense. Selling, general and administrative expenses as a percent of revenue were 55.9% and 53.3% for the six months ended June 30, 2026 and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for sales and marketing personnel. Total selling expenses were approximately $22.2 million and $19.5 million for the six months ended June 30, 2026 and 2025, respectively. Our customer acquisition costs were approximately $3,433 and $3,010 per customer in the six months ended June 30, 2026 and 2025, respectively. Additionally, selling expenses as a percentage of revenue may fluctuate from quarter to quarter based on the timing and scope of our initiatives and the related impact to our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employee-related expenses, including salaries and related costs (excluding physician and clinical costs included in cost of service), equity-based compensation, technology, operations, finance, legal, corporate office rent and human resources. General and administrative expense were approximately $23.8 million and $25.0 million for the six months ended June 30, 2026 and 2025, respectively.</w:t>
      </w:r>
    </w:p>
    <w:p>
      <w:pPr>
        <w:pStyle w:val="TextBody"/>
        <w:bidi w:val="0"/>
        <w:spacing w:lineRule="auto" w:line="288" w:before="240" w:after="283"/>
        <w:jc w:val="both"/>
        <w:rPr/>
      </w:pPr>
      <w:r>
        <w:rPr>
          <w:rFonts w:ascii="Times New Roman;serif" w:hAnsi="Times New Roman;serif"/>
          <w:b w:val="false"/>
          <w:i/>
          <w:color w:val="000000"/>
          <w:sz w:val="20"/>
        </w:rPr>
        <w:t>Depreciation and Amortization—</w:t>
      </w:r>
      <w:r>
        <w:rPr>
          <w:rFonts w:ascii="Times New Roman;serif" w:hAnsi="Times New Roman;serif"/>
          <w:b w:val="false"/>
          <w:color w:val="000000"/>
          <w:sz w:val="20"/>
        </w:rPr>
        <w:t>Depreciation and amortization decreased to approximately $6.0 million for the six months ended June 30, 2026 compared to $6.5 million for the same period in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net—Interest expense was $2.2 million and $3.2 million for the six months ended June 30, 2026 and 2025, respectively. </w:t>
      </w:r>
    </w:p>
    <w:p>
      <w:pPr>
        <w:pStyle w:val="TextBody"/>
        <w:bidi w:val="0"/>
        <w:spacing w:lineRule="auto" w:line="288" w:before="240" w:after="283"/>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 xml:space="preserve">Our effective tax rate was 13.9% and 13.8% for the six months ended June 30, 2026 and 2025, respectively. The main drivers of the difference between the effective and statutory rate are non-deductible executive compensation under Section 162(m) of the Internal Revenue Code and also state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principally rely on cash flows from operations as our primary source of liquidity and, if needed, up to $5.0 million in revolving loans under our revolving credit facility, subject to minimum liquidity draw requirements. In March 2025, we filed a Registration Statement on Form S-3 (File No. 333-285825) which covers the offer, issuance and sale, for an aggregate initial offering price not to exceed $100.0 million, of shares of common stock and preferred stock; debt securities; warrants to purchase common stock, preferred stock and/or debt securities; and units. We also commenced an at-the-market offering program, with Leerink Partners LLC (“Leerink”) acting as sales agent. This at-the-market offering program provides us with additional access to capital, as needed, subject to market conditions. During the quarter ended June 30, 2026, the Company sold approximately 973,000 shares of common stock through its at-the-market offering program for total net proceeds of approximately $5.0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uses of cash are for payroll, marketing and advertisements, rent, debt service, information technology and infrastructure, including our corporate office. Our cash flows are closely tied to the receipt of patient payments, and we have experienced revenue declines in the two most recent years due to a decline in overall cases performed. Our ability to improve operating results depends upon a significant number of factors, some of which are beyond our control. If we are unable to realize the anticipated savings or benefits of our growth strategies, or otherwise fail to implement those strategies successfully, the operating results and liquidity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1485"/>
                <wp:effectExtent l="0" t="0" r="0" b="0"/>
                <wp:wrapNone/>
                <wp:docPr id="24" name="Frame2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the cash expected to be generated from operations will be sufficient for our working capital requirements, liquidity obligations, and payments due under our existing credit facilities for at least the next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$18.8 million in cash and cash equivalents and an available amount of $5.0 million under our revolving credit facility. We did not have any letters of credit outstanding as of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we had $8.2 million in cash and cash equivalents and an available amount of $5.0 million under our revolving credit facility. We did not have any letters of credit outstanding as of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cash provided by (used for) operating activities, investing activities and financing activities for the periods indicated:</w:t>
      </w:r>
    </w:p>
    <w:tbl>
      <w:tblPr>
        <w:tblW w:w="7014" w:type="dxa"/>
        <w:jc w:val="left"/>
        <w:tblInd w:w="0" w:type="dxa"/>
        <w:tblLayout w:type="fixed"/>
        <w:tblCellMar>
          <w:top w:w="28" w:type="dxa"/>
          <w:left w:w="28" w:type="dxa"/>
          <w:bottom w:w="28" w:type="dxa"/>
          <w:right w:w="28" w:type="dxa"/>
        </w:tblCellMar>
      </w:tblPr>
      <w:tblGrid>
        <w:gridCol w:w="1563"/>
        <w:gridCol w:w="1371"/>
        <w:gridCol w:w="1400"/>
        <w:gridCol w:w="211"/>
        <w:gridCol w:w="616"/>
        <w:gridCol w:w="109"/>
        <w:gridCol w:w="109"/>
        <w:gridCol w:w="109"/>
        <w:gridCol w:w="109"/>
        <w:gridCol w:w="211"/>
        <w:gridCol w:w="616"/>
        <w:gridCol w:w="109"/>
        <w:gridCol w:w="109"/>
        <w:gridCol w:w="109"/>
        <w:gridCol w:w="109"/>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w:t>
            </w:r>
          </w:p>
        </w:tc>
        <w:tc>
          <w:tcPr>
            <w:tcW w:w="93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and cash equivalents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primary source of our operating cash flow is the collection of patient payments received prior to performing surgical procedures. For the six months ended June 30, 2026, our operating cash flow decreased by $1.8 million compared to the same period in 2025.</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and 2025 was $0.3 million and $2.2 million, respectively. Investing activities in the six months ended June 30, 2026 relate primarily to maintenance capital expenditures. Investing activities during the six months ended June 30, 2025 relate primarily to final payments on our White Plains, NY location that opened in December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June 30, 2026 was $6.6 million. During the six months ended June 30, 2026, we received net proceeds of $19.6 million from the at-the-market offering, made principal payments on our debt of $12.7 million and made payments of taxes withheld through vested equity-based compensation of $0.2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six months ended June 30, 2025 was $3.7 million. For the six months ended June 30, 2025, we received net proceeds of $14.0 million from an underwritten public offering and made principal payments on our debt of $12.0 million, payments for debt modification of $0.2 million and payments of taxes withheld through vested equity-based compensation of $0.1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entered into a sales agreement (the “ATM Agreement”) with Leerink, as sales agent, in connection with an at-the-market offering program under which the Company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No. 333-285825). The Company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Fourth Amendment, 50% of the net cash proceeds of any future issuance of our equity securities (other than issuances under our equity incentive plans) must be applied to prepay the term loans. As a result,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25" name="Frame2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half of the net proceeds we may raise under our at-the-market offering program will be available to fund our operations and other general corporate purposes, which reduces the liquidity otherwise available to us through equity issuances and may cause us to rely more heavily on cash generated from operations. The Fourth Amendment also requires us to make $5.0 million of mandatory term-loan payments in 2026 ($2.5 million paid upon signing and an additional $2.5 million payable on or before September 30,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the Company sold the following quantities of our common stock pursuant to the ATM Agreement for total net proceeds of approximately $5.0 million and $19.6 million:</w:t>
      </w:r>
    </w:p>
    <w:p>
      <w:pPr>
        <w:pStyle w:val="TextBody"/>
        <w:bidi w:val="0"/>
        <w:spacing w:before="0" w:after="0"/>
        <w:jc w:val="both"/>
        <w:rPr/>
      </w:pPr>
      <w:r>
        <w:rPr/>
      </w:r>
    </w:p>
    <w:tbl>
      <w:tblPr>
        <w:tblW w:w="3296"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566"/>
        <w:gridCol w:w="566"/>
        <w:gridCol w:w="802"/>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(in thousands)</w:t>
            </w:r>
          </w:p>
        </w:tc>
      </w:tr>
      <w:tr>
        <w:trPr/>
        <w:tc>
          <w:tcPr>
            <w:tcW w:w="1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YTD 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10, 2026 the Company issued an additional 576,000 shares of common stock under the ATM Agreement, generating total net proceeds of approximately $2.4 million during the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total indebtedness was $43.6 million and $56.0 million, which includes unamortized deferred financing costs and issuance discount of $0.6 million and $0.9 million as of June 30, 2026 and December 31,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with an aggregate principal amount of up to $5.0 million. On September 29, 2023, the Company voluntarily pre-paid $10.0 million of the principal balance of the term loans under the Credit Agreement using cash on hand. During the quarter-ended March 31, 2026,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entered into an amendment to the Credit Agreement (the "Third Amendment"). Under the terms of the Third Amendment, the parties thereto agreed to modify certain financial condition covenants made by the Company in the Credit Agreement,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revising the covenants listed above, the Third Amendment revised or added new terms such that (i) for outstanding loans, beginning on or about July 1, 2025, the applicable per annum margin would be increased to 3.75% or 4.75% for base rate or SOFR (as defined in the Credit Agreement), respectively, if the Company's total leverage ratio was equal to or greater than 3.00x, 3.50% or 4.50% for base rate or SOFR, respectively, if the Company's total leverage ratio was equal to or greater than 2.00x and less than 3.00x, and 3.25% or 4.25% for base rate or SOFR, respectively, if the Company's total leverage ratio was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Silicon Valley Bank ("SVB") for certain fees and expenses relating to the engagement of a financial advisor, and (vi) 100% of first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1485"/>
                <wp:effectExtent l="0" t="0" r="0" b="0"/>
                <wp:wrapNone/>
                <wp:docPr id="26" name="Frame2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million of any equity proceeds will be used to repay the term loan and revolving credit facility, subject to the following carve-outs (A) the first $3.0 million of equity proceeds (B) any equity proceeds received from Vesey Street Capital Partners, L.L.C., our private equity sponsor ("Sponsor"). In consideration for the Third Amendment, the Company paid a fee equal to 0.15% of the outstanding loans to consenting Lenders (as defined in the Credit Agreement) and a $0.125 million arrangement fee to Silicon Valley Bank.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in the Company had not prepaid the term loans (excluding regularly scheduled amortization) by $10.0 million as of such date. On June 13, 2025, the Company made a $10.0 million principal payment on the term loans in accordance with the Third Amendment using proceeds from its underwritten public offering completed on June 11, 2025. The Limited Guarantee automatically terminated on March 12, 2026 following the prepayment of the term loans in an aggregate amount of $20.0 million since the date of the Limited Guarantee.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entered into a further amendment to the Credit Agreement (the "Fourth Amendment") to, among other things: (i) extend the maturity date of the term loan and revolving credit facility to November 15, 2027 (approximately a six-month extension from the previous May 11, 2027 maturity date); (ii) require the Company to make a $2.5 million payment to the Lenders upon signing of the Fourth Amendment; (iii) require the Company to make an additional $2.5 million payment on or before September 30, 2026; (iv) require that 50% of the net proceeds of any future equity issuances (other than issuances under our equity incentive plans) be applied to prepay the term loans, in addition to amounts otherwise required to be applied under the Credit Agreement, (v) require the Company to provide biweekly updates on a conference call with the Lenders with respect to the status of its efforts to cause the Discharge of Obligations (as defined in the Credit Agreement); and (vi) require the Company, if the Discharge of Obligations has not occurred by October 31, 2026, to retain one or more investment banks reasonably satisfactory to the Administrative Agent (as defined in the Credit Agreement) to cause the Discharge of Obligations to occur, whether by obtaining replacement debt refinancing or otherwise. The Company is evaluating if the amendment is a modification or extinguishment and has not completed the accounting for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interest rate under the Credit Agreement was 8.39%.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significant accounting policies is disclosed in our Annual Report on Form 10-K for the year ended December 31, 2025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since the date of that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 the information required under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Management’s 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w:t>
        <w:noBreakHyphen/>
        <w:t>15(e) and 15d</w:t>
        <w:noBreakHyphen/>
        <w:t>15(e) under the Exchange Act)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principal executive officer and principal financial officer concluded that our disclosure controls and procedures were not effective as of June 30, 2026 due to the material weaknesses in our internal control over financial reporting described below, which were previously identified in our Annual Report on Form 10</w:t>
        <w:noBreakHyphen/>
        <w:t>K for the year ended December 31, 2025 and have not yet been remediated.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Material Weaknesses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1485"/>
                <wp:effectExtent l="0" t="0" r="0" b="0"/>
                <wp:wrapNone/>
                <wp:docPr id="27" name="Frame2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u w:val="single"/>
        </w:rPr>
        <w:t>•</w:t>
      </w:r>
      <w:r>
        <w:rPr>
          <w:rFonts w:ascii="Times New Roman;serif" w:hAnsi="Times New Roman;serif"/>
          <w:b w:val="false"/>
          <w:i/>
          <w:color w:val="000000"/>
          <w:sz w:val="20"/>
          <w:u w:val="single"/>
        </w:rPr>
        <w:t>General Accounting and Financial Reporting Processes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previously disclosed in our Form 10</w:t>
        <w:noBreakHyphen/>
        <w:t>K for the year ended December 31, 2025, management identified the following material weaknesses in internal control over financial reporting, each of which continued to exist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identified a material weakness in controls related to aspects of the Company’s general accounting and financial reporting processes, design and maintenance of formal accounting policies, procedures, and controls to achieve complete, accurate, and timely financial accounting, reporting, and disclosures, including controls over the preparation and review of account reconciliations.</w:t>
      </w:r>
    </w:p>
    <w:p>
      <w:pPr>
        <w:pStyle w:val="TextBody"/>
        <w:bidi w:val="0"/>
        <w:spacing w:lineRule="auto" w:line="288" w:before="240" w:after="283"/>
        <w:ind w:left="0" w:right="0" w:hanging="360"/>
        <w:jc w:val="left"/>
        <w:rPr/>
      </w:pPr>
      <w:r>
        <w:rPr>
          <w:color w:val="000000"/>
          <w:u w:val="single"/>
        </w:rPr>
        <w:t>•</w:t>
      </w:r>
      <w:r>
        <w:rPr>
          <w:rFonts w:ascii="Times New Roman;serif" w:hAnsi="Times New Roman;serif"/>
          <w:b w:val="false"/>
          <w:i/>
          <w:color w:val="000000"/>
          <w:sz w:val="20"/>
          <w:u w:val="single"/>
        </w:rPr>
        <w:t>Lease Accounting under ASC 842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also identified a weakness related to controls over the accounting for leases, specifically the subsequent measurement and recording of lease transactions under ASC 842. The control deficiency resulted in errors in the measurement and presentation of right</w:t>
        <w:noBreakHyphen/>
        <w:t>of</w:t>
        <w:noBreakHyphen/>
        <w:t>use assets and lease liabilities, which required revision of previously issued financial statements. The Company did not maintain a sufficient complement of personnel possessing the appropriate technical accounting competency, training, and experience to address, review, and record financial reporting transactions under U.S. GAAP.</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Remediation Efforts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has initiated remediation plans to address the material weaknesses described above. During the six months ended June 30, 2026, remediation efforts included, among other 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Enhancing controls over the review and approval of lease accounting, including subsequent measurement and periodic reassessment procedures;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Improving documentation and precision of controls related to complex accounting areas;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Engaging external accounting advisors to assist management in evaluating technical accounting matters, implementing enhanced controls, and providing additional support during the financial close and reporting process.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implementing and refining the above activities, we expect to continue to engage in additional activities in fiscal year 2026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evaluate the realignment of existing personnel and the addition of both internal and external resources to strengthen management’s review and documentation over internal control over financial reporting. As needed, we intend to hire qualified resources with the requisite background and knowledge to assist with accounting and financial reporting.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assess the specific training needs for newly hired and existing personnel and intend to deliver additional training programs designed to uphold our internal control standards.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review our current processes, procedures and systems to identify opportunities to enhance the design of our financial reporting controls.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assess the design and maintenance of formal accounting policies, procedures, and controls to achieve complete, accurate, and timely financial accounting, reporting, and disclosures, including controls over the preparation and review of account reconciliations.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report regularly to the audit committee on the progress and results of the remediation plan, including the identification, status, and resolution of internal control material weaknesses and deficiencies.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believes these actions are responsive to the identified material weaknesses; however, the remediation efforts are ongoing.</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Current Status of Remediation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1485"/>
                <wp:effectExtent l="0" t="0" r="0" b="0"/>
                <wp:wrapNone/>
                <wp:docPr id="28" name="Frame2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remediation actions described above had not been fully implemented and had not operated for a sufficient period of time to allow management to conclude that the material weaknesses have been fully remediated. Accordingly, the material weaknesses in internal control over financial reporting continued to exist as of the end of the period covered by this Quarterly Report on Form 10</w:t>
        <w:noBreakHyphen/>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remediation efforts described above, there were no changes in the Company’s internal control over financial reporting during the quarter ended June 30, 2026 that materially affected, or are reasonably likely to materially affect, internal control over financial reporting.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Limitations on the Effectiveness of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1485"/>
                <wp:effectExtent l="0" t="0" r="0" b="0"/>
                <wp:wrapNone/>
                <wp:docPr id="29" name="Frame2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entered into a further amendment to the Credit Agreement (the "Fourth Amendment") to, among other things: (i) extend the maturity date of the term loan and revolving credit facility to November 15, 2027 (approximately a six-month extension from the previous May 11, 2027 maturity date); (ii) require the Company to make a $2.5 million payment to the Lenders upon signing of the Fourth Amendment; (iii) require the Company to make an additional $2.5 million payment on or before September 30, 2026; (iv) require that 50% of the net proceeds of any future equity issuances (other than issuances under our equity incentive plans) be applied to prepay the term loans, in addition to amounts otherwise required to be applied under the Credit Agreement, (v) require the Company to provide biweekly updates on a conference call with the Lenders with respect to the status of its efforts to cause the Discharge of Obligations (as defined in the Credit Agreement); and (vi) require the Company, if the Discharge of Obligations has not occurred by October 31, 2026, to retain one or more investment banks reasonably satisfactory to the Administrative Agent (as defined in the Credit Agreement) to cause the Discharge of Obligations to occur, whether by obtaining replacement debt refinancing or otherwise. The Company is evaluating if the amendment is a modification or extinguishment and has not completed the accounting for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adopted or terminated any "Rule 10b5-1 trading arrangement" or "non-Rule 10b5-1 trading arrangement" (each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1485"/>
                <wp:effectExtent l="0" t="0" r="0" b="0"/>
                <wp:wrapNone/>
                <wp:docPr id="30" name="Frame3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5"/>
        <w:gridCol w:w="285"/>
        <w:gridCol w:w="286"/>
        <w:gridCol w:w="2820"/>
        <w:gridCol w:w="2678"/>
        <w:gridCol w:w="3811"/>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fourthamendment.htm">
              <w:r>
                <w:rPr>
                  <w:rStyle w:val="InternetLink"/>
                  <w:rFonts w:ascii="Times New Roman;serif" w:hAnsi="Times New Roman;serif"/>
                  <w:b w:val="false"/>
                  <w:color w:val="000000"/>
                  <w:sz w:val="20"/>
                  <w:u w:val="single"/>
                </w:rPr>
                <w:t>Fourth Amendment to Credit Agreement, dated August 7, 2026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116302026.htm">
              <w:r>
                <w:rPr>
                  <w:rStyle w:val="InternetLink"/>
                  <w:rFonts w:ascii="Times New Roman;serif" w:hAnsi="Times New Roman;serif"/>
                  <w:b w:val="false"/>
                  <w:color w:val="000000"/>
                  <w:sz w:val="20"/>
                  <w:u w:val="single"/>
                </w:rPr>
                <w:t>Certification of Principal Executive Officer Pursuant to Rules 13a-14(a) and 15d-14(a) under the Securities Exchange Act of 1934, as Adopted Pursuant to Section 302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126302026.htm">
              <w:r>
                <w:rPr>
                  <w:rStyle w:val="InternetLink"/>
                  <w:rFonts w:ascii="Times New Roman;serif" w:hAnsi="Times New Roman;serif"/>
                  <w:b w:val="false"/>
                  <w:color w:val="000000"/>
                  <w:sz w:val="20"/>
                  <w:u w:val="single"/>
                </w:rPr>
                <w:t>Certification of Principal Financial Officer Pursuant to Rules 13a-14(a) and 15d-14(a) under the Securities Exchange Act of 1934, as Adopted Pursuant to Section 302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216302026.htm">
              <w:r>
                <w:rPr>
                  <w:rStyle w:val="InternetLink"/>
                  <w:rFonts w:ascii="Times New Roman;serif" w:hAnsi="Times New Roman;serif"/>
                  <w:b w:val="false"/>
                  <w:color w:val="000000"/>
                  <w:sz w:val="20"/>
                  <w:u w:val="single"/>
                </w:rPr>
                <w:t>Certification of Principal Executive Officer Pursuant to 18 U.S.C. Section 1350, as Adopted Pursuant to Section 906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3226302026qsonly.htm">
              <w:r>
                <w:rPr>
                  <w:rStyle w:val="InternetLink"/>
                  <w:rFonts w:ascii="Times New Roman;serif" w:hAnsi="Times New Roman;serif"/>
                  <w:b w:val="false"/>
                  <w:color w:val="000000"/>
                  <w:sz w:val="20"/>
                  <w:u w:val="single"/>
                </w:rPr>
                <w:t>Certification of Principal Financial Officer Pursuant to 18 U.S.C. Section 1350, as Adopted Pursuant to Section 906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certifications attached as Exhibit 32.1 and Exhibit 32.2 that accompany this Quarterly Report on Form 10-Q are being furnished herewith and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b9d77f08fee24020b3be16e3b51cb523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67" w:type="dxa"/>
        <w:jc w:val="left"/>
        <w:tblInd w:w="0" w:type="dxa"/>
        <w:tblLayout w:type="fixed"/>
        <w:tblCellMar>
          <w:top w:w="28" w:type="dxa"/>
          <w:left w:w="28" w:type="dxa"/>
          <w:bottom w:w="28" w:type="dxa"/>
          <w:right w:w="28" w:type="dxa"/>
        </w:tblCellMar>
      </w:tblPr>
      <w:tblGrid>
        <w:gridCol w:w="124"/>
        <w:gridCol w:w="109"/>
        <w:gridCol w:w="109"/>
        <w:gridCol w:w="518"/>
        <w:gridCol w:w="518"/>
        <w:gridCol w:w="518"/>
        <w:gridCol w:w="1692"/>
        <w:gridCol w:w="1692"/>
        <w:gridCol w:w="17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AIRSCULPT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Arthur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Arthur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1485"/>
                <wp:effectExtent l="0" t="0" r="0" b="0"/>
                <wp:wrapNone/>
                <wp:docPr id="32" name="Frame3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FOURTH AMENDMENT TO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Fourth Amendment to Credit Agreement, dated as of August 7, 2026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by and among </w:t>
      </w:r>
      <w:r>
        <w:rPr>
          <w:rFonts w:ascii="Times New Roman;serif" w:hAnsi="Times New Roman;serif"/>
          <w:b/>
          <w:color w:val="000000"/>
          <w:sz w:val="22"/>
        </w:rPr>
        <w:t>AIRSCULPT TECHNOLOGIES, INC.</w:t>
      </w:r>
      <w:r>
        <w:rPr>
          <w:rFonts w:ascii="Times New Roman;serif" w:hAnsi="Times New Roman;serif"/>
          <w:b w:val="false"/>
          <w:color w:val="000000"/>
          <w:sz w:val="22"/>
        </w:rPr>
        <w:t>, a Delaware corporation (“</w:t>
      </w:r>
      <w:r>
        <w:rPr>
          <w:rFonts w:ascii="Times New Roman;serif" w:hAnsi="Times New Roman;serif"/>
          <w:b/>
          <w:i/>
          <w:color w:val="000000"/>
          <w:sz w:val="22"/>
        </w:rPr>
        <w:t>Holdings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EBS INTERMEDIATE PARENT LLC</w:t>
      </w:r>
      <w:r>
        <w:rPr>
          <w:rFonts w:ascii="Times New Roman;serif" w:hAnsi="Times New Roman;serif"/>
          <w:b w:val="false"/>
          <w:color w:val="000000"/>
          <w:sz w:val="22"/>
        </w:rPr>
        <w:t>, a Delaware limited liability company (“</w:t>
      </w:r>
      <w:r>
        <w:rPr>
          <w:rFonts w:ascii="Times New Roman;serif" w:hAnsi="Times New Roman;serif"/>
          <w:b/>
          <w:i/>
          <w:color w:val="000000"/>
          <w:sz w:val="22"/>
        </w:rPr>
        <w:t>Intermediate Holdings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EBS ENTERPRISES LLC</w:t>
      </w:r>
      <w:r>
        <w:rPr>
          <w:rFonts w:ascii="Times New Roman;serif" w:hAnsi="Times New Roman;serif"/>
          <w:b w:val="false"/>
          <w:color w:val="000000"/>
          <w:sz w:val="22"/>
        </w:rPr>
        <w:t>, a Delaware limited liability company (the “</w:t>
      </w:r>
      <w:r>
        <w:rPr>
          <w:rFonts w:ascii="Times New Roman;serif" w:hAnsi="Times New Roman;serif"/>
          <w:b/>
          <w:i/>
          <w:color w:val="000000"/>
          <w:sz w:val="22"/>
        </w:rPr>
        <w:t>Borrower</w:t>
      </w:r>
      <w:r>
        <w:rPr>
          <w:color w:val="000000"/>
        </w:rPr>
        <w:t>”</w:t>
      </w:r>
      <w:r>
        <w:rPr>
          <w:rFonts w:ascii="Times New Roman;serif" w:hAnsi="Times New Roman;serif"/>
          <w:b w:val="false"/>
          <w:color w:val="000000"/>
          <w:sz w:val="22"/>
        </w:rPr>
        <w:t xml:space="preserve">), the Lenders party hereto and </w:t>
      </w:r>
      <w:r>
        <w:rPr>
          <w:rFonts w:ascii="Times New Roman;serif" w:hAnsi="Times New Roman;serif"/>
          <w:b/>
          <w:color w:val="000000"/>
          <w:sz w:val="22"/>
        </w:rPr>
        <w:t xml:space="preserve">FIRST-CITIZENS BANK &amp; TRUST COMPANY </w:t>
      </w:r>
      <w:r>
        <w:rPr>
          <w:rFonts w:ascii="Times New Roman;serif" w:hAnsi="Times New Roman;serif"/>
          <w:b w:val="false"/>
          <w:color w:val="000000"/>
          <w:sz w:val="22"/>
        </w:rPr>
        <w:t>(“</w:t>
      </w:r>
      <w:r>
        <w:rPr>
          <w:rFonts w:ascii="Times New Roman;serif" w:hAnsi="Times New Roman;serif"/>
          <w:b/>
          <w:i/>
          <w:color w:val="000000"/>
          <w:sz w:val="22"/>
        </w:rPr>
        <w:t>FCB</w:t>
      </w:r>
      <w:r>
        <w:rPr>
          <w:color w:val="000000"/>
        </w:rPr>
        <w:t>”</w:t>
      </w:r>
      <w:r>
        <w:rPr>
          <w:rFonts w:ascii="Times New Roman;serif" w:hAnsi="Times New Roman;serif"/>
          <w:b w:val="false"/>
          <w:color w:val="000000"/>
          <w:sz w:val="22"/>
        </w:rPr>
        <w:t>), as Administrative Agent, Issuing Lender and Swingline Lender.</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parties hereto are party to that certain Credit Agreement, dated as of November 7, 2022 (as amended by that certain First Amendment and Limited Waiver to Credit Agreement, dated as of March 9, 2023, as amended by that certain Second Amendment to Credit Agreement, dated as of September 13, 2024, as amended by that certain Third Amendment to Credit Agreement, dated as of March 12, 2025, and as further amended, restated, amended and restated, modified or supplemented and in effect from time to time prior to the date hereof, the “</w:t>
      </w:r>
      <w:r>
        <w:rPr>
          <w:rFonts w:ascii="Times New Roman;serif" w:hAnsi="Times New Roman;serif"/>
          <w:b/>
          <w:i/>
          <w:color w:val="000000"/>
          <w:sz w:val="22"/>
        </w:rPr>
        <w:t>Credit Agreement</w:t>
      </w:r>
      <w:r>
        <w:rPr>
          <w:color w:val="000000"/>
        </w:rPr>
        <w:t>”</w:t>
      </w:r>
      <w:r>
        <w:rPr>
          <w:rFonts w:ascii="Times New Roman;serif" w:hAnsi="Times New Roman;serif"/>
          <w:b w:val="false"/>
          <w:color w:val="000000"/>
          <w:sz w:val="22"/>
        </w:rPr>
        <w:t>) by and among the Borrower, Holdings, Intermediate Holdings, the Administrative Agent, and the several banks and other financial institutions or entities from time to time party thereto. All capitalized terms used herein and not otherwise defined shall have the same meaning herein as in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pursuant to Section 10.1(a) of the Credit Agreement, Holdings, Intermediate Holdings, the Borrower, the undersigned Lenders (which constitute all of the Lenders as of the Fourth Amendment Effective Date) and the Administrative Agent have agreed to amend the Credit Agreement to effect such amendments to the Credit Agreement as set forth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each Lender under the Credit Agreement as of the Fourth Amendment Effective Date (collectively, the “</w:t>
      </w:r>
      <w:r>
        <w:rPr>
          <w:rFonts w:ascii="Times New Roman;serif" w:hAnsi="Times New Roman;serif"/>
          <w:b/>
          <w:i/>
          <w:color w:val="000000"/>
          <w:sz w:val="22"/>
        </w:rPr>
        <w:t>Existing Lenders</w:t>
      </w:r>
      <w:r>
        <w:rPr>
          <w:color w:val="000000"/>
        </w:rPr>
        <w:t>”</w:t>
      </w:r>
      <w:r>
        <w:rPr>
          <w:rFonts w:ascii="Times New Roman;serif" w:hAnsi="Times New Roman;serif"/>
          <w:b w:val="false"/>
          <w:color w:val="000000"/>
          <w:sz w:val="22"/>
        </w:rPr>
        <w:t>) that executes and delivers a “Consent” in the form attached hereto as Exhibit A (a “</w:t>
      </w:r>
      <w:r>
        <w:rPr>
          <w:rFonts w:ascii="Times New Roman;serif" w:hAnsi="Times New Roman;serif"/>
          <w:b/>
          <w:i/>
          <w:color w:val="000000"/>
          <w:sz w:val="22"/>
        </w:rPr>
        <w:t>Lender Consent</w:t>
      </w:r>
      <w:r>
        <w:rPr>
          <w:color w:val="000000"/>
        </w:rPr>
        <w:t>”</w:t>
      </w:r>
      <w:r>
        <w:rPr>
          <w:rFonts w:ascii="Times New Roman;serif" w:hAnsi="Times New Roman;serif"/>
          <w:b w:val="false"/>
          <w:color w:val="000000"/>
          <w:sz w:val="22"/>
        </w:rPr>
        <w:t>, and each such Lender, a “</w:t>
      </w:r>
      <w:r>
        <w:rPr>
          <w:rFonts w:ascii="Times New Roman;serif" w:hAnsi="Times New Roman;serif"/>
          <w:b/>
          <w:i/>
          <w:color w:val="000000"/>
          <w:sz w:val="22"/>
        </w:rPr>
        <w:t>Consenting Lender</w:t>
      </w:r>
      <w:r>
        <w:rPr>
          <w:color w:val="000000"/>
        </w:rPr>
        <w:t>”</w:t>
      </w:r>
      <w:r>
        <w:rPr>
          <w:rFonts w:ascii="Times New Roman;serif" w:hAnsi="Times New Roman;serif"/>
          <w:b w:val="false"/>
          <w:color w:val="000000"/>
          <w:sz w:val="22"/>
        </w:rPr>
        <w:t>) by 5:00 p.m. (New York City time), on August 6, 2026 (the “</w:t>
      </w:r>
      <w:r>
        <w:rPr>
          <w:rFonts w:ascii="Times New Roman;serif" w:hAnsi="Times New Roman;serif"/>
          <w:b/>
          <w:i/>
          <w:color w:val="000000"/>
          <w:sz w:val="22"/>
        </w:rPr>
        <w:t>Consent Deadline</w:t>
      </w:r>
      <w:r>
        <w:rPr>
          <w:color w:val="000000"/>
        </w:rPr>
        <w:t>”</w:t>
      </w:r>
      <w:r>
        <w:rPr>
          <w:rFonts w:ascii="Times New Roman;serif" w:hAnsi="Times New Roman;serif"/>
          <w:b w:val="false"/>
          <w:color w:val="000000"/>
          <w:sz w:val="22"/>
        </w:rPr>
        <w:t>) hereby agrees to the terms and conditions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WHEREAS, each Loan Party party hereto expects to realize substantial direct and indirect benefits as a result of this Agreement becoming effective and reaffirms in </w:t>
      </w:r>
      <w:r>
        <w:rPr>
          <w:rFonts w:ascii="Times New Roman;serif" w:hAnsi="Times New Roman;serif"/>
          <w:b w:val="false"/>
          <w:color w:val="000000"/>
          <w:sz w:val="22"/>
          <w:u w:val="single"/>
        </w:rPr>
        <w:t>Section 6(c)</w:t>
      </w:r>
      <w:r>
        <w:rPr>
          <w:color w:val="000000"/>
        </w:rPr>
        <w:t xml:space="preserve"> </w:t>
      </w:r>
      <w:r>
        <w:rPr>
          <w:rFonts w:ascii="Times New Roman;serif" w:hAnsi="Times New Roman;serif"/>
          <w:b w:val="false"/>
          <w:color w:val="000000"/>
          <w:sz w:val="22"/>
        </w:rPr>
        <w:t>of this Agreement its obligations under the Amended Credit Agreement (as defined below) and the other Loan Documents to which it is a party (the transactions described in the foregoing paragraphs, including entry into this Agreement and the payment of fees and expenses in connection herewith, are collectively referred to as the “</w:t>
      </w:r>
      <w:r>
        <w:rPr>
          <w:rFonts w:ascii="Times New Roman;serif" w:hAnsi="Times New Roman;serif"/>
          <w:b/>
          <w:i/>
          <w:color w:val="000000"/>
          <w:sz w:val="22"/>
        </w:rPr>
        <w:t>Fourth Amendment Transactions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Borrower has engaged FCB to act as sole lead arranger and bookrunner for this Agreement (the “</w:t>
      </w:r>
      <w:r>
        <w:rPr>
          <w:rFonts w:ascii="Times New Roman;serif" w:hAnsi="Times New Roman;serif"/>
          <w:b/>
          <w:i/>
          <w:color w:val="000000"/>
          <w:sz w:val="22"/>
        </w:rPr>
        <w:t>Lead Arranger</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amendments to the Credit Agreement set forth below are subject to the satisfaction of the conditions precedent to effectiveness referred to herein and shall become effective as provided 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for good and valuable consideration, the receipt and sufficiency of which is hereby acknowledged, the parties hereto agree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2100"/>
                <wp:effectExtent l="0" t="0" r="0" b="0"/>
                <wp:wrapNone/>
                <wp:docPr id="33" name="Frame3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to the Credit Agreement</w:t>
      </w:r>
      <w:r>
        <w:rPr>
          <w:rFonts w:ascii="Times New Roman;serif" w:hAnsi="Times New Roman;serif"/>
          <w:b w:val="false"/>
          <w:color w:val="000000"/>
          <w:sz w:val="22"/>
        </w:rPr>
        <w:t xml:space="preserve">. Subject to the satisfaction (or waiver by the Administrative Agent and the Lenders party hereto) of the conditions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of this Agreement, the Credit Agreement is hereby amended as follows (the Credit Agreement, as so amended, being referred to as the “</w:t>
      </w:r>
      <w:r>
        <w:rPr>
          <w:rFonts w:ascii="Times New Roman;serif" w:hAnsi="Times New Roman;serif"/>
          <w:b/>
          <w:i/>
          <w:color w:val="000000"/>
          <w:sz w:val="22"/>
        </w:rPr>
        <w:t>Amended Credit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(a)Section 1 of the Credit Agreement is hereby amended by restating the definitions of “Consolidated Fixed Charges” and “Maturity Date” as set forth below:</w:t>
      </w:r>
    </w:p>
    <w:p>
      <w:pPr>
        <w:pStyle w:val="TextBody"/>
        <w:bidi w:val="0"/>
        <w:spacing w:lineRule="auto" w:line="288" w:before="0" w:after="240"/>
        <w:jc w:val="both"/>
        <w:rPr/>
      </w:pPr>
      <w:r>
        <w:rPr>
          <w:color w:val="000000"/>
        </w:rPr>
        <w:t>“</w:t>
      </w:r>
      <w:r>
        <w:rPr>
          <w:rFonts w:ascii="Times New Roman;serif" w:hAnsi="Times New Roman;serif"/>
          <w:b/>
          <w:i/>
          <w:color w:val="000000"/>
          <w:sz w:val="22"/>
        </w:rPr>
        <w:t>Consolidated Fixed Charges</w:t>
      </w:r>
      <w:r>
        <w:rPr>
          <w:color w:val="000000"/>
        </w:rPr>
        <w:t xml:space="preserve">” </w:t>
      </w:r>
      <w:r>
        <w:rPr>
          <w:rFonts w:ascii="Times New Roman;serif" w:hAnsi="Times New Roman;serif"/>
          <w:b w:val="false"/>
          <w:color w:val="000000"/>
          <w:sz w:val="22"/>
        </w:rPr>
        <w:t xml:space="preserve">means, with respect to Holdings and its Subsidiaries for any period ending on any determination date, the </w:t>
      </w:r>
      <w:r>
        <w:rPr>
          <w:rFonts w:ascii="Times New Roman;serif" w:hAnsi="Times New Roman;serif"/>
          <w:b w:val="false"/>
          <w:color w:val="000000"/>
          <w:sz w:val="22"/>
          <w:u w:val="single"/>
        </w:rPr>
        <w:t>sum</w:t>
      </w:r>
      <w:r>
        <w:rPr>
          <w:color w:val="000000"/>
        </w:rPr>
        <w:t xml:space="preserve"> </w:t>
      </w:r>
      <w:r>
        <w:rPr>
          <w:rFonts w:ascii="Times New Roman;serif" w:hAnsi="Times New Roman;serif"/>
          <w:b w:val="false"/>
          <w:color w:val="000000"/>
          <w:sz w:val="22"/>
        </w:rPr>
        <w:t xml:space="preserve">(without duplication) of (a) Consolidated Interest Expense for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scheduled principal payments made during those Fiscal Quarters of the Borrower ending during the Fiscal Year in which the determination date occurs on account of principal of Indebtedness of Holdings and its Subsidiaries (including scheduled principal payments in respect of the Term Loans, but excluding (i) that certain Term Loan principal payment made pursuant to Section 2(i) of the Fourth Amendment, and (ii) the first $2,500,000 of principal payments made on September 30, 2026, pursuant to Section 2.3), provided that scheduled principal payments for the first four fiscal quarters ending after the Closing Date shall be annualized and calculated as follows: for the (A) first Fiscal Quarter following the Closing Date, the actual amount for such quarter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four, (B) second Fiscal Quarter following the Closing Date, the actual amount for such Fiscal Quarter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actual amount for the first Fiscal Quarter following the Closing Date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two, and (C) for the third Fiscal Quarter following the Closing Date, the actual amount for such Fiscal Quarter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actual amount for the first Fiscal Quarter following the Closing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actual amount for the second Fiscal Quarter following the Closing Date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four-thirds (4/3). For purposes of calculating Consolidated Fixed Charges for each Test Period that includes December 31, 2022, the Borrower shall be deemed to have made an amortization payment on December 31, 2022 in the amount of $531,250.</w:t>
      </w:r>
    </w:p>
    <w:p>
      <w:pPr>
        <w:pStyle w:val="TextBody"/>
        <w:bidi w:val="0"/>
        <w:spacing w:lineRule="auto" w:line="288" w:before="0" w:after="240"/>
        <w:jc w:val="both"/>
        <w:rPr/>
      </w:pPr>
      <w:r>
        <w:rPr>
          <w:color w:val="000000"/>
        </w:rPr>
        <w:t>“</w:t>
      </w:r>
      <w:r>
        <w:rPr>
          <w:rFonts w:ascii="Times New Roman;serif" w:hAnsi="Times New Roman;serif"/>
          <w:b/>
          <w:i/>
          <w:color w:val="000000"/>
          <w:sz w:val="22"/>
        </w:rPr>
        <w:t>Maturity Date</w:t>
      </w:r>
      <w:r>
        <w:rPr>
          <w:color w:val="000000"/>
        </w:rPr>
        <w:t xml:space="preserve">” </w:t>
      </w:r>
      <w:r>
        <w:rPr>
          <w:rFonts w:ascii="Times New Roman;serif" w:hAnsi="Times New Roman;serif"/>
          <w:b w:val="false"/>
          <w:color w:val="000000"/>
          <w:sz w:val="22"/>
        </w:rPr>
        <w:t>means November 15, 2027.</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(b)Section 1 of the Credit Agreement is hereby amended to add the following defination:</w:t>
      </w:r>
    </w:p>
    <w:p>
      <w:pPr>
        <w:pStyle w:val="TextBody"/>
        <w:bidi w:val="0"/>
        <w:spacing w:lineRule="auto" w:line="288" w:before="0" w:after="240"/>
        <w:jc w:val="both"/>
        <w:rPr/>
      </w:pPr>
      <w:r>
        <w:rPr>
          <w:color w:val="000000"/>
        </w:rPr>
        <w:t>“</w:t>
      </w:r>
      <w:r>
        <w:rPr>
          <w:rFonts w:ascii="Times New Roman;serif" w:hAnsi="Times New Roman;serif"/>
          <w:b/>
          <w:i/>
          <w:color w:val="000000"/>
          <w:sz w:val="22"/>
        </w:rPr>
        <w:t>Fourth Amendment</w:t>
      </w:r>
      <w:r>
        <w:rPr>
          <w:color w:val="000000"/>
        </w:rPr>
        <w:t xml:space="preserve">” </w:t>
      </w:r>
      <w:r>
        <w:rPr>
          <w:rFonts w:ascii="Times New Roman;serif" w:hAnsi="Times New Roman;serif"/>
          <w:b w:val="false"/>
          <w:color w:val="000000"/>
          <w:sz w:val="22"/>
        </w:rPr>
        <w:t>means that certain Fourth Amendment to Credit Agreement, dated as of August 7, 2026, among Holdings, Intermediate Holdings, the Borrower, the Lenders party thereto, and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(c)Section 2.3 of the Credit Agreement is hereby amended and restated in full as set forth below:</w:t>
      </w:r>
    </w:p>
    <w:p>
      <w:pPr>
        <w:pStyle w:val="TextBody"/>
        <w:bidi w:val="0"/>
        <w:spacing w:lineRule="auto" w:line="288" w:before="0" w:after="240"/>
        <w:jc w:val="both"/>
        <w:rPr/>
      </w:pPr>
      <w:r>
        <w:rPr>
          <w:color w:val="000000"/>
        </w:rPr>
        <w:t>“</w:t>
      </w:r>
      <w:r>
        <w:rPr>
          <w:rFonts w:ascii="Times New Roman;serif" w:hAnsi="Times New Roman;serif"/>
          <w:b/>
          <w:color w:val="000000"/>
          <w:sz w:val="22"/>
        </w:rPr>
        <w:t>2.3     Repayment of Term Loans.</w:t>
      </w:r>
      <w:r>
        <w:rPr>
          <w:color w:val="000000"/>
        </w:rPr>
        <w:t xml:space="preserve"> </w:t>
      </w:r>
      <w:r>
        <w:rPr>
          <w:rFonts w:ascii="Times New Roman;serif" w:hAnsi="Times New Roman;serif"/>
          <w:b w:val="false"/>
          <w:color w:val="000000"/>
          <w:sz w:val="22"/>
        </w:rPr>
        <w:t xml:space="preserve">Beginning on September 30, 2026, the Term Loans of each Term Lender shall be repaid in consecutive quarterly installments, each of which shall be in an amount equal to such Lender’s Term Percentage multiplied by the amount set forth below opposite such installment;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anything to the contrary in Section 2.18(b) or any other provision of this Agreement, (i) that certain Term Loan principal payment made pursuant to Section 2(i) of the Fourth Amendment in the amount of $2,500,000 and (ii) the portion of the installment due on September 30, 2026 in excess of $1,365,050.45 shall, in each case, be applied to reduce the outstanding principal amount of the Term Loans but shall not reduce, reallocate or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02285"/>
                <wp:effectExtent l="0" t="0" r="0" b="0"/>
                <wp:wrapNone/>
                <wp:docPr id="34" name="Frame3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otherwise affect the scheduled amortization installments set forth below. For the avoidance of doubt, the installment due on September 30, 2026 includes an additional $2,500,000 principal payment, and each scheduled amortization installment due thereafter shall remain payable in the amount set forth below.</w:t>
      </w:r>
    </w:p>
    <w:tbl>
      <w:tblPr>
        <w:tblW w:w="3808" w:type="dxa"/>
        <w:jc w:val="left"/>
        <w:tblInd w:w="0" w:type="dxa"/>
        <w:tblLayout w:type="fixed"/>
        <w:tblCellMar>
          <w:top w:w="28" w:type="dxa"/>
          <w:left w:w="28" w:type="dxa"/>
          <w:bottom w:w="28" w:type="dxa"/>
          <w:right w:w="28" w:type="dxa"/>
        </w:tblCellMar>
      </w:tblPr>
      <w:tblGrid>
        <w:gridCol w:w="728"/>
        <w:gridCol w:w="640"/>
        <w:gridCol w:w="641"/>
        <w:gridCol w:w="525"/>
        <w:gridCol w:w="525"/>
        <w:gridCol w:w="749"/>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Installment</w:t>
            </w:r>
          </w:p>
        </w:tc>
        <w:tc>
          <w:tcPr>
            <w:tcW w:w="17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Principal Amount</w:t>
            </w:r>
          </w:p>
        </w:tc>
      </w:tr>
      <w:tr>
        <w:trPr/>
        <w:tc>
          <w:tcPr>
            <w:tcW w:w="20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2026</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right"/>
              <w:rPr/>
            </w:pPr>
            <w:r>
              <w:rPr>
                <w:rFonts w:ascii="Times New Roman;serif" w:hAnsi="Times New Roman;serif"/>
                <w:b w:val="false"/>
                <w:color w:val="000000"/>
                <w:sz w:val="22"/>
              </w:rPr>
              <w:t>$3,865,050.45</w:t>
            </w:r>
            <w:r>
              <w:rPr>
                <w:color w:val="000000"/>
              </w:rPr>
              <w:t xml:space="preserve"> </w:t>
            </w:r>
          </w:p>
        </w:tc>
      </w:tr>
      <w:tr>
        <w:trPr/>
        <w:tc>
          <w:tcPr>
            <w:tcW w:w="20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right"/>
              <w:rPr/>
            </w:pPr>
            <w:r>
              <w:rPr>
                <w:rFonts w:ascii="Times New Roman;serif" w:hAnsi="Times New Roman;serif"/>
                <w:b w:val="false"/>
                <w:color w:val="000000"/>
                <w:sz w:val="22"/>
              </w:rPr>
              <w:t>$1,365,050.45</w:t>
            </w:r>
            <w:r>
              <w:rPr>
                <w:color w:val="000000"/>
              </w:rPr>
              <w:t xml:space="preserve"> </w:t>
            </w:r>
          </w:p>
        </w:tc>
      </w:tr>
      <w:tr>
        <w:trPr/>
        <w:tc>
          <w:tcPr>
            <w:tcW w:w="20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2027</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right"/>
              <w:rPr/>
            </w:pPr>
            <w:r>
              <w:rPr>
                <w:rFonts w:ascii="Times New Roman;serif" w:hAnsi="Times New Roman;serif"/>
                <w:b w:val="false"/>
                <w:color w:val="000000"/>
                <w:sz w:val="22"/>
              </w:rPr>
              <w:t>$1,365,050.45</w:t>
            </w:r>
            <w:r>
              <w:rPr>
                <w:color w:val="000000"/>
              </w:rPr>
              <w:t xml:space="preserve"> </w:t>
            </w:r>
          </w:p>
        </w:tc>
      </w:tr>
      <w:tr>
        <w:trPr/>
        <w:tc>
          <w:tcPr>
            <w:tcW w:w="20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2027</w:t>
            </w:r>
          </w:p>
        </w:tc>
        <w:tc>
          <w:tcPr>
            <w:tcW w:w="1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right"/>
              <w:rPr/>
            </w:pPr>
            <w:r>
              <w:rPr>
                <w:rFonts w:ascii="Times New Roman;serif" w:hAnsi="Times New Roman;serif"/>
                <w:b w:val="false"/>
                <w:color w:val="000000"/>
                <w:sz w:val="22"/>
              </w:rPr>
              <w:t>$1,365,050.45</w:t>
            </w:r>
            <w:r>
              <w:rPr>
                <w:color w:val="000000"/>
              </w:rPr>
              <w:t xml:space="preserve"> </w:t>
            </w:r>
          </w:p>
        </w:tc>
      </w:tr>
      <w:tr>
        <w:trPr/>
        <w:tc>
          <w:tcPr>
            <w:tcW w:w="200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2027</w:t>
            </w:r>
          </w:p>
        </w:tc>
        <w:tc>
          <w:tcPr>
            <w:tcW w:w="17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right"/>
              <w:rPr/>
            </w:pPr>
            <w:r>
              <w:rPr>
                <w:rFonts w:ascii="Times New Roman;serif" w:hAnsi="Times New Roman;serif"/>
                <w:b w:val="false"/>
                <w:color w:val="000000"/>
                <w:sz w:val="22"/>
              </w:rPr>
              <w:t>$1,365,050.45</w:t>
            </w:r>
            <w:r>
              <w:rPr>
                <w:color w:val="000000"/>
              </w:rPr>
              <w:t xml:space="preserve"> </w:t>
            </w:r>
          </w:p>
        </w:tc>
      </w:tr>
    </w:tbl>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To the extent not previously paid, all Term Loans shall be due and payable on the Maturity Date, together with accrued and unpaid interest on the principal amount to be paid to but excluding the date of payment.”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(d)Section 2.12 of the Credit Agreement is hereby amended to add the following Section 2.12(j) at the end thereof:</w:t>
      </w:r>
    </w:p>
    <w:p>
      <w:pPr>
        <w:pStyle w:val="TextBody"/>
        <w:bidi w:val="0"/>
        <w:spacing w:lineRule="auto" w:line="288" w:before="0" w:after="240"/>
        <w:jc w:val="both"/>
        <w:rPr/>
      </w:pPr>
      <w:r>
        <w:rPr>
          <w:color w:val="000000"/>
        </w:rPr>
        <w:t>“</w:t>
      </w:r>
      <w:r>
        <w:rPr>
          <w:rFonts w:ascii="Times New Roman;serif" w:hAnsi="Times New Roman;serif"/>
          <w:b w:val="false"/>
          <w:color w:val="000000"/>
          <w:sz w:val="22"/>
        </w:rPr>
        <w:t xml:space="preserve">(j) If any Capital Stock shall be issued by any Group Member or any capital contribution shall be received on account of the Capital Stock of any Group Member, an amount equal to 50% of the Net Cash Proceeds thereof shall be applied toward the prepayment of the Term Loans and other amounts as set forth in </w:t>
      </w:r>
      <w:r>
        <w:rPr>
          <w:rFonts w:ascii="Times New Roman;serif" w:hAnsi="Times New Roman;serif"/>
          <w:b w:val="false"/>
          <w:color w:val="000000"/>
          <w:sz w:val="22"/>
          <w:u w:val="single"/>
        </w:rPr>
        <w:t>Section 2.12(c)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prepayment under this </w:t>
      </w:r>
      <w:r>
        <w:rPr>
          <w:rFonts w:ascii="Times New Roman;serif" w:hAnsi="Times New Roman;serif"/>
          <w:b w:val="false"/>
          <w:color w:val="000000"/>
          <w:sz w:val="22"/>
          <w:u w:val="single"/>
        </w:rPr>
        <w:t>Section 2.12(j)</w:t>
      </w:r>
      <w:r>
        <w:rPr>
          <w:color w:val="000000"/>
        </w:rPr>
        <w:t xml:space="preserve"> </w:t>
      </w:r>
      <w:r>
        <w:rPr>
          <w:rFonts w:ascii="Times New Roman;serif" w:hAnsi="Times New Roman;serif"/>
          <w:b w:val="false"/>
          <w:color w:val="000000"/>
          <w:sz w:val="22"/>
        </w:rPr>
        <w:t xml:space="preserve">shall occur on the third Tuesday of every month (commencing on August 18, 2026), with respect to any such amounts received during the immediately preceding calendar month; </w:t>
      </w:r>
      <w:r>
        <w:rPr>
          <w:rFonts w:ascii="Times New Roman;serif" w:hAnsi="Times New Roman;serif"/>
          <w:b w:val="false"/>
          <w:color w:val="000000"/>
          <w:sz w:val="22"/>
          <w:u w:val="single"/>
        </w:rPr>
        <w:t>provided</w:t>
      </w:r>
      <w:r>
        <w:rPr>
          <w:rFonts w:ascii="Times New Roman;serif" w:hAnsi="Times New Roman;serif"/>
          <w:b w:val="false"/>
          <w:color w:val="000000"/>
          <w:sz w:val="22"/>
        </w:rPr>
        <w:t>, further, that the term “Net Cash Proceeds” as used in this Section 2.12(j) shall not include any proceeds from the issuance of Capital Stock to officers, directors, employees or consultants of any Group Member pursuant to an equity incentive plan approved by the board of directors of Holdings.”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(e)Section 6.3 of the Credit Agreement is hereby amended and restated in full as set forth below:</w:t>
      </w:r>
    </w:p>
    <w:p>
      <w:pPr>
        <w:pStyle w:val="TextBody"/>
        <w:bidi w:val="0"/>
        <w:spacing w:lineRule="auto" w:line="288" w:before="0" w:after="240"/>
        <w:jc w:val="both"/>
        <w:rPr/>
      </w:pPr>
      <w:r>
        <w:rPr>
          <w:color w:val="000000"/>
        </w:rPr>
        <w:t>“</w:t>
      </w:r>
      <w:r>
        <w:rPr>
          <w:rFonts w:ascii="Times New Roman;serif" w:hAnsi="Times New Roman;serif"/>
          <w:b/>
          <w:color w:val="000000"/>
          <w:sz w:val="22"/>
        </w:rPr>
        <w:t>6.3     Lender Calls.</w:t>
      </w:r>
      <w:r>
        <w:rPr>
          <w:color w:val="000000"/>
        </w:rPr>
        <w:t xml:space="preserve"> </w:t>
      </w:r>
      <w:r>
        <w:rPr>
          <w:rFonts w:ascii="Times New Roman;serif" w:hAnsi="Times New Roman;serif"/>
          <w:b w:val="false"/>
          <w:color w:val="000000"/>
          <w:sz w:val="22"/>
        </w:rPr>
        <w:t xml:space="preserve">Commencing on August 11, 2026, and thereafter on the Tuesday of every other week, the Borrower and the other Loan Parties (i) shall provide biweekly updates on a conference call with the Administrative Agent, the Lenders and/or their respective Representatives (as defined in </w:t>
      </w:r>
      <w:r>
        <w:rPr>
          <w:rFonts w:ascii="Times New Roman;serif" w:hAnsi="Times New Roman;serif"/>
          <w:b w:val="false"/>
          <w:color w:val="000000"/>
          <w:sz w:val="22"/>
          <w:u w:val="single"/>
        </w:rPr>
        <w:t>Section 6.20(b)</w:t>
      </w:r>
      <w:r>
        <w:rPr>
          <w:rFonts w:ascii="Times New Roman;serif" w:hAnsi="Times New Roman;serif"/>
          <w:b w:val="false"/>
          <w:color w:val="000000"/>
          <w:sz w:val="22"/>
        </w:rPr>
        <w:t xml:space="preserve">), at such time that is reasonably convenient for senior management, the Administrative Agent, the Lenders and such Representatives, to discuss the status of the Borrower’s efforts to cause the Discharge of Obligations to occur, whether by obtaining replacement debt financing or otherwise, and (ii) shall instruct the Borrower’s and the other Loan Parties’ employees, management and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02285"/>
                <wp:effectExtent l="0" t="0" r="0" b="0"/>
                <wp:wrapNone/>
                <wp:docPr id="35" name="Frame3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financial advisors to cooperate reasonably with the Administrative Agent, the Lenders and their respective Representatives in respect of clause (i) above.”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(f)Section 6 of the Credit Agreement is hereby amended to add the following </w:t>
      </w:r>
      <w:r>
        <w:rPr>
          <w:rFonts w:ascii="Times New Roman;serif" w:hAnsi="Times New Roman;serif"/>
          <w:b w:val="false"/>
          <w:color w:val="000000"/>
          <w:sz w:val="22"/>
          <w:u w:val="single"/>
        </w:rPr>
        <w:t>Section 6.21</w:t>
      </w:r>
      <w:r>
        <w:rPr>
          <w:color w:val="000000"/>
        </w:rPr>
        <w:t xml:space="preserve"> </w:t>
      </w:r>
      <w:r>
        <w:rPr>
          <w:rFonts w:ascii="Times New Roman;serif" w:hAnsi="Times New Roman;serif"/>
          <w:b w:val="false"/>
          <w:color w:val="000000"/>
          <w:sz w:val="22"/>
        </w:rPr>
        <w:t>at the end thereof:</w:t>
      </w:r>
    </w:p>
    <w:p>
      <w:pPr>
        <w:pStyle w:val="TextBody"/>
        <w:bidi w:val="0"/>
        <w:spacing w:lineRule="auto" w:line="288" w:before="0" w:after="240"/>
        <w:jc w:val="both"/>
        <w:rPr/>
      </w:pPr>
      <w:r>
        <w:rPr>
          <w:color w:val="000000"/>
        </w:rPr>
        <w:t>“</w:t>
      </w:r>
      <w:r>
        <w:rPr>
          <w:rFonts w:ascii="Times New Roman;serif" w:hAnsi="Times New Roman;serif"/>
          <w:b/>
          <w:color w:val="000000"/>
          <w:sz w:val="22"/>
        </w:rPr>
        <w:t>6.21 Investment Bank</w:t>
      </w:r>
      <w:r>
        <w:rPr>
          <w:rFonts w:ascii="Times New Roman;serif" w:hAnsi="Times New Roman;serif"/>
          <w:b w:val="false"/>
          <w:color w:val="000000"/>
          <w:sz w:val="22"/>
        </w:rPr>
        <w:t>. If the Discharge of Obligations has not occurred by October 31, 2026, the Borrower shall retain one or more investment banks reasonably satisfactory to the Administrative Agent and each Lender (which approval shall not be unreasonably withheld) to cause the Discharge of Obligations to occur, whether by obtaining replacement debt financing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Conditions Precedent to Effectiveness</w:t>
      </w:r>
      <w:r>
        <w:rPr>
          <w:rFonts w:ascii="Times New Roman;serif" w:hAnsi="Times New Roman;serif"/>
          <w:b w:val="false"/>
          <w:color w:val="000000"/>
          <w:sz w:val="22"/>
        </w:rPr>
        <w:t>. The effectiveness of this Agreement is subject only to the satisfaction (or waiver by the Administrative Agent and the Lenders party hereto) of the following conditions precedent (the date on which such conditions have been satisfied (or waiver by the Administrative Agent and the Lenders party hereto), the “</w:t>
      </w:r>
      <w:r>
        <w:rPr>
          <w:rFonts w:ascii="Times New Roman;serif" w:hAnsi="Times New Roman;serif"/>
          <w:b/>
          <w:i/>
          <w:color w:val="000000"/>
          <w:sz w:val="22"/>
        </w:rPr>
        <w:t>Fourth</w:t>
      </w:r>
      <w:r>
        <w:rPr>
          <w:color w:val="000000"/>
        </w:rPr>
        <w:t xml:space="preserve"> </w:t>
      </w:r>
      <w:r>
        <w:rPr>
          <w:rFonts w:ascii="Times New Roman;serif" w:hAnsi="Times New Roman;serif"/>
          <w:b/>
          <w:i/>
          <w:color w:val="000000"/>
          <w:sz w:val="22"/>
        </w:rPr>
        <w:t>Amendment Effective Date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Counterparts.</w:t>
      </w:r>
      <w:r>
        <w:rPr>
          <w:color w:val="000000"/>
        </w:rPr>
        <w:t xml:space="preserve"> </w:t>
      </w:r>
      <w:r>
        <w:rPr>
          <w:rFonts w:ascii="Times New Roman;serif" w:hAnsi="Times New Roman;serif"/>
          <w:b w:val="false"/>
          <w:color w:val="000000"/>
          <w:sz w:val="22"/>
        </w:rPr>
        <w:t>The Administrative Agent shall have received (i) counterparts of this Agreement that, when taken together, bear the signatures of Holdings, Intermediate Holdings, the Borrower and the Administrative Agent and (ii) from each Consenting Lender (which collectively constitute all of the Lenders as of the Fourth Amendment Effective Date), a Lender Consent (including by way of facsimile or other electronic transmissions) by the Consent Deadline, which delivery by the terms of each Lender Consent shall be deemed to be execution and delivery of this Agreement and constitute irrevocable and unconditional approval of the terms hereof and the Amended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Representations and Warranties</w:t>
      </w:r>
      <w:r>
        <w:rPr>
          <w:rFonts w:ascii="Times New Roman;serif" w:hAnsi="Times New Roman;serif"/>
          <w:b w:val="false"/>
          <w:color w:val="000000"/>
          <w:sz w:val="22"/>
        </w:rPr>
        <w:t>.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in all respects, as applicable, as of such earlier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color w:val="000000"/>
          <w:sz w:val="22"/>
        </w:rPr>
        <w:t>No Event of Default.</w:t>
      </w:r>
      <w:r>
        <w:rPr>
          <w:color w:val="000000"/>
        </w:rPr>
        <w:t xml:space="preserve"> </w:t>
      </w:r>
      <w:r>
        <w:rPr>
          <w:rFonts w:ascii="Times New Roman;serif" w:hAnsi="Times New Roman;serif"/>
          <w:b w:val="false"/>
          <w:color w:val="000000"/>
          <w:sz w:val="22"/>
        </w:rPr>
        <w:t>As of the Fourth Amendment Effective Date and immediately after giving effect to this Agreement and the Fourth Amendment Transactions, no Default or Event of Default shall have occurred and be continuing.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color w:val="000000"/>
          <w:sz w:val="22"/>
        </w:rPr>
        <w:t>Secretary’s or Managing Member’s Certificates; Certified Operating Documents; Good Standing Certificates.</w:t>
      </w:r>
      <w:r>
        <w:rPr>
          <w:color w:val="000000"/>
        </w:rPr>
        <w:t xml:space="preserve"> </w:t>
      </w:r>
      <w:r>
        <w:rPr>
          <w:rFonts w:ascii="Times New Roman;serif" w:hAnsi="Times New Roman;serif"/>
          <w:b w:val="false"/>
          <w:color w:val="000000"/>
          <w:sz w:val="22"/>
        </w:rPr>
        <w:t xml:space="preserve">The Administrative Agent shall have received (i) a certificate of each Loan Party, dated the Fourth Amendment Effective Date and executed by the Secretary, Managing Member or equivalent officer of such Loan Party, substantially in the form of Exhibit C to the Credit Agreement, with appropriate insertions and attachments, including (A) the Operating Documents of such Loan Party, or a certification that such Operating Documents have not changed since last delivered to Administrative Agent, and a certification that such documents are in full force and effect on and as of the Fourth Amendment Effective Date and no action for any amendment to such Operating Documents has been taken or is pending, (B) the relevant board resolutions or written consents of such Loan Party adopted by such Loan Party for the purposes of authorizing such Loan Party to enter into and perform this Agreement and (C) the names, titles, incumbency and signature specimens of those representatives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02285"/>
                <wp:effectExtent l="0" t="0" r="0" b="0"/>
                <wp:wrapNone/>
                <wp:docPr id="36" name="Frame3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Loan Party who have been authorized by such resolutions and/or written consents to execute Loan Documents on behalf of such Loan Party, and (ii) a long form good standing certificate for each Loan Party from its respective jurisdiction of organization.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color w:val="000000"/>
          <w:sz w:val="22"/>
        </w:rPr>
        <w:t>Responsible Officer’s Certificates.</w:t>
      </w:r>
      <w:r>
        <w:rPr>
          <w:color w:val="000000"/>
        </w:rPr>
        <w:t xml:space="preserve"> </w:t>
      </w:r>
      <w:r>
        <w:rPr>
          <w:rFonts w:ascii="Times New Roman;serif" w:hAnsi="Times New Roman;serif"/>
          <w:b w:val="false"/>
          <w:color w:val="000000"/>
          <w:sz w:val="22"/>
        </w:rPr>
        <w:t xml:space="preserve">The Administrative Agent shall have received a certificate of a Responsible Officer of the Borrower certifying that (A) the conditions set forth in </w:t>
      </w:r>
      <w:r>
        <w:rPr>
          <w:rFonts w:ascii="Times New Roman;serif" w:hAnsi="Times New Roman;serif"/>
          <w:b w:val="false"/>
          <w:color w:val="000000"/>
          <w:sz w:val="22"/>
          <w:u w:val="single"/>
        </w:rPr>
        <w:t>Sections 2(b)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of this Agreement have been satisfied</w:t>
      </w:r>
      <w:r>
        <w:rPr>
          <w:color w:val="000000"/>
        </w:rPr>
        <w:t xml:space="preserve"> </w:t>
      </w:r>
      <w:r>
        <w:rPr>
          <w:rFonts w:ascii="Times New Roman;serif" w:hAnsi="Times New Roman;serif"/>
          <w:b w:val="false"/>
          <w:color w:val="000000"/>
          <w:sz w:val="22"/>
        </w:rPr>
        <w:t>and (B) there has been no event or circumstance since December 31, 2025, that has had or that could reasonably be expected to have, either individually or in the aggregate,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color w:val="000000"/>
          <w:sz w:val="22"/>
        </w:rPr>
        <w:t>Patriot Act, Etc</w:t>
      </w:r>
      <w:r>
        <w:rPr>
          <w:rFonts w:ascii="Times New Roman;serif" w:hAnsi="Times New Roman;serif"/>
          <w:b w:val="false"/>
          <w:color w:val="000000"/>
          <w:sz w:val="22"/>
        </w:rPr>
        <w:t>. The Administrative Agent and each Lender shall have received, prior to the Fourth Amendment Effective Date, all documentation and other information requested to comply with applicable “know your customer” and anti-money-laundering rules and regulations, including the Patriot Act, and a properly completed and signed IRS Form W-8 or W-9, as applicable, for each Loan Party. To the extent any Loan Party qualifies as a “legal entity customer” under the Beneficial Ownership Regulation, the Administrative Agent shall have received a Beneficial Ownership Certification in relation to such Loan Party, to the extent reasonably requested in advance of the Fourth Amendment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color w:val="000000"/>
          <w:sz w:val="22"/>
        </w:rPr>
        <w:t>Fees</w:t>
      </w:r>
      <w:r>
        <w:rPr>
          <w:rFonts w:ascii="Times New Roman;serif" w:hAnsi="Times New Roman;serif"/>
          <w:b w:val="false"/>
          <w:color w:val="000000"/>
          <w:sz w:val="22"/>
        </w:rPr>
        <w:t>. The Lenders, the Lead Arranger and the Administrative Agent shall have received all fees required to be paid on or prior to the Fourth Amendment Effective Date (including pursuant to any letter agreement as has separately been agreed by Holdings and any of the Consenting Lenders and the Lead Arranger), and all reasonable and documented fees and expenses for which invoices have been presented (including the reasonable and documented fees and expenses of legal counsel to the Administrative Agent) for payment on or before the Fourth Amendment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color w:val="000000"/>
          <w:sz w:val="22"/>
        </w:rPr>
        <w:t>No Material Adverse Effect</w:t>
      </w:r>
      <w:r>
        <w:rPr>
          <w:rFonts w:ascii="Times New Roman;serif" w:hAnsi="Times New Roman;serif"/>
          <w:b w:val="false"/>
          <w:color w:val="000000"/>
          <w:sz w:val="22"/>
        </w:rPr>
        <w:t>. There shall not have occurred since December 31, 2025 any event or condition that has had or could be reasonably expected to have, individually or in the aggregate,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color w:val="000000"/>
          <w:sz w:val="22"/>
        </w:rPr>
        <w:t>Term Loan Payment</w:t>
      </w:r>
      <w:r>
        <w:rPr>
          <w:rFonts w:ascii="Times New Roman;serif" w:hAnsi="Times New Roman;serif"/>
          <w:b w:val="false"/>
          <w:color w:val="000000"/>
          <w:sz w:val="22"/>
        </w:rPr>
        <w:t>. The Borrower shall have irrevocably prepaid, on a pro rata basis among the Consenting Lenders, a principal amount of Term Loans outstanding on the Fourth Amendment Effective Date equal to $2,500,000.</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In order to induce the other parties hereto to enter into this Agreement, to induce Lenders to consent to amend the Credit Agreement in the manner provided herein, each Loan Party represents and warrants to each Lender and the Administrative Agent that, after giving effect to this Agreement: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representations and warranties set forth in Section 4 of the Credit Agreement are true and correct in all material respects on and as of the date hereof to the same extent as if made on and as of the date hereof, except to the extent such representations and warranties specifically relate to an earlier date, in which case such representations and warranties shall have been true and correct in all material respects on and as of such earlier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 Default or Event of Default has occurred and is continuing or would result from the execution, delivery and performance of this Agreement;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(c)each Loan Party has the power and authority, and the legal right, to make, deliver and perform this Agreement. Each Loan Party has taken all necessary organizational action to authorize the execution, delivery and performance of this Agreement. No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02285"/>
                <wp:effectExtent l="0" t="0" r="0" b="0"/>
                <wp:wrapNone/>
                <wp:docPr id="37" name="Frame3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Approval or consent or authorization of, filing with, notice to or other act by or in respect of, any other Person is required in connection with the execution, delivery, performance, validity or enforceability of this Agreement. This Agreement has been duly executed and delivered on behalf of each Loan Party. This Agreement constitutes a legal, valid and binding obligation of each Loan Party,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Governing Law; Submission to Jurisdiction; Waivers</w:t>
      </w:r>
      <w:r>
        <w:rPr>
          <w:rFonts w:ascii="Times New Roman;serif" w:hAnsi="Times New Roman;serif"/>
          <w:b w:val="false"/>
          <w:color w:val="000000"/>
          <w:sz w:val="22"/>
        </w:rPr>
        <w:t xml:space="preserve">. The provisions of Sections 10.13 and 10.14 of the Credit Agreement are hereby incorporated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Counterpart Execution</w:t>
      </w:r>
      <w:r>
        <w:rPr>
          <w:rFonts w:ascii="Times New Roman;serif" w:hAnsi="Times New Roman;serif"/>
          <w:b w:val="false"/>
          <w:color w:val="000000"/>
          <w:sz w:val="22"/>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 manually executed counterpart hereof. A set of the copies of this Agreement signed by all the parties shall be lodged with the Borrower and the Administrative Agent.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Effect on Loan Documents; Limitation of Amendment; Reaffirmation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terms, provisions and conditions of the Credit Agreement and each of the other Loan Documents, as amended hereby, shall be and remain in full force and effect in accordance with their respective terms and hereby are ratified and confirmed in all respects. The execution, delivery, and performance of this Agreement shall not operate, except as expressly set forth herein, as a modification or waiver of any right, power, or remedy of the Administrative Agent or any Lender under the Credit Agreement or any other Loan Document. Nothing herein shall be deemed to entitle the Borrower to a further consent to, or a further waiver, amendment, modification or other change of, any of the terms, conditions, obligations, covenants or agreements contained in the Credit Agreement or any other Loan Document in similar or different circumstances or excuse any non-compliance with the Loan Documents.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(b)Each of the Borrower, Holdings and Intermediate Holdings hereby agrees and acknowledges that the Lenders require and will require strict performance by the Loan Parties of all of their respective obligations, agreements and covenants contained in the Credit Agreement and the other Loan Documents, and no inaction or action regarding any Default or Event of Default is intended to be or shall be a waiver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(c)Each of the Borrower, Holdings and Intermediate Holdings, in its respective capacity as debtor, grantor, mortgagor, pledgor, guarantor, assignor, or in any other similar capacity in which such Loan Party grants liens, pledges or security interests in its property or otherwise acts as accommodation party, guarantor or indemnitor, as the case may be, hereby (i) ratifies and reaffirms all of its payment and performance obligations, contingent or otherwise, under each of the Loan Documents to which it is a party (after giving effect hereto) and (ii) to the extent such Loan Party granted liens on or security interests in or pledges over any of its property pursuant to any such Loan Document as security for or otherwise guaranteed the Obligations under or with respect to the Loan Documents, ratifies and reaffirms such guarantee and grant of security interests, liens and pledges and confirms and agrees that such guarantee includes, and such security interests, pledges and liens hereafter secure, all of the Obligations.  The execution of this Agreement shall not operate as a waiver of any right, power or remedy of the Administrative Agent or the Lenders, constitute a waiver of any provision of any of the Loan Documents or serve to effect a novation of the Obligations. Nothing implied in this Agreement or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02285"/>
                <wp:effectExtent l="0" t="0" r="0" b="0"/>
                <wp:wrapNone/>
                <wp:docPr id="38" name="Frame38"/>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 any other document contemplated hereby shall be construed as a release or other discharge of any of the Loan Parties under any Loan Document from any of its obligations and liabilities as a borrower, guarantor or pledgor under any of the Loan Documents.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(d)Upon and after the date hereof,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Credit Agreement as hereby amended.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(e)To the extent that any terms and conditions in any of the Loan Documents shall contradict or be in conflict with any terms or conditions of the Credit Agreement as hereby amended, such terms and conditions are hereby deemed modified or amended accordingly to reflect the terms and conditions of the Credit Agreement as hereby amended.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(f)The parties hereto acknowledge and agree that this Agreement constitutes a “Loan Document” for all purposes of the Amended Credit Agreement and the other Loan Documents (it being understood that this Agreement may be amended or waived solely by the parties hereto in accordance with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Expenses and Indemnity</w:t>
      </w:r>
      <w:r>
        <w:rPr>
          <w:rFonts w:ascii="Times New Roman;serif" w:hAnsi="Times New Roman;serif"/>
          <w:b w:val="false"/>
          <w:color w:val="000000"/>
          <w:sz w:val="22"/>
        </w:rPr>
        <w:t>. The Borrower agrees to pay all reasonable out-of-pocket costs and expenses incurred by the Administrative Agent in connection with this Agreement and any other documents prepared in connection herewith, in each case to the extent required by Section 10.5 of the Credit Agreement. The Borrower hereby confirms that the indemnification provisions set forth in Section 10.5 of the Credit Agreement shall apply to this Agreement and such losses, claims, damages, liabilities, costs and expenses (as more fully set forth therein as applicable) which may arise herefrom or in connection herewith.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Amendments; Headings; Severability</w:t>
      </w:r>
      <w:r>
        <w:rPr>
          <w:rFonts w:ascii="Times New Roman;serif" w:hAnsi="Times New Roman;serif"/>
          <w:b w:val="false"/>
          <w:color w:val="000000"/>
          <w:sz w:val="22"/>
        </w:rPr>
        <w:t>. This Agreement may not be amended nor may any provision hereof be waived except pursuant to a writing signed by Holdings, Intermediate Holdings, the Borrower and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02285"/>
                <wp:effectExtent l="0" t="0" r="0" b="0"/>
                <wp:wrapNone/>
                <wp:docPr id="39" name="Frame39"/>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duly executed and delivered by their proper and duly authorized officers as of the day and year first above written.</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AIRSCULPT TECHNOLOGIES,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Holdings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Name: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Title: </w:t>
      </w:r>
      <w:r>
        <w:rPr>
          <w:color w:val="000000"/>
          <w:u w:val="single"/>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EBS INTERMEDIATE PARENT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Intermediate Holdings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Name: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Title: </w:t>
      </w:r>
      <w:r>
        <w:rPr>
          <w:color w:val="000000"/>
          <w:u w:val="single"/>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EBS ENTERPRISES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the Borrower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Name: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Title: </w:t>
      </w:r>
      <w:r>
        <w:rPr>
          <w:color w:val="000000"/>
          <w:u w:val="single"/>
        </w:rPr>
        <w:t>    </w:t>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Fourth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Fourth Amendment to Credit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2"/>
        </w:rPr>
        <w:t>FIRST-CITIZENS BANK &amp; TRUST COMPANY</w:t>
      </w:r>
      <w:r>
        <w:rPr>
          <w:rFonts w:ascii="Times New Roman;serif" w:hAnsi="Times New Roman;serif"/>
          <w:b w:val="false"/>
          <w:color w:val="000000"/>
          <w:sz w:val="22"/>
        </w:rPr>
        <w:t>, as the Administrative Agent, Issuing Lender, Swingline Lender, and a Lender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b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Name: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2"/>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Fourth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Fourth Amendment to Credit Agreement]</w:t>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480"/>
        <w:jc w:val="center"/>
        <w:rPr>
          <w:rFonts w:ascii="Times New Roman;serif" w:hAnsi="Times New Roman;serif"/>
          <w:b/>
          <w:color w:val="000000"/>
          <w:sz w:val="22"/>
          <w:u w:val="single"/>
        </w:rPr>
      </w:pPr>
      <w:r>
        <w:rPr>
          <w:rFonts w:ascii="Times New Roman;serif" w:hAnsi="Times New Roman;serif"/>
          <w:b/>
          <w:color w:val="000000"/>
          <w:sz w:val="22"/>
          <w:u w:val="single"/>
        </w:rPr>
        <w:t>CONSENT TO FOURTH AMENDMENT</w:t>
      </w:r>
    </w:p>
    <w:p>
      <w:pPr>
        <w:pStyle w:val="TextBody"/>
        <w:bidi w:val="0"/>
        <w:spacing w:lineRule="auto" w:line="288" w:before="0" w:after="120"/>
        <w:jc w:val="both"/>
        <w:rPr/>
      </w:pPr>
      <w:r>
        <w:rPr>
          <w:rFonts w:ascii="Times New Roman;serif" w:hAnsi="Times New Roman;serif"/>
          <w:b w:val="false"/>
          <w:color w:val="000000"/>
          <w:sz w:val="22"/>
        </w:rPr>
        <w:t>CONSENT (this “</w:t>
      </w:r>
      <w:r>
        <w:rPr>
          <w:rFonts w:ascii="Times New Roman;serif" w:hAnsi="Times New Roman;serif"/>
          <w:b/>
          <w:i/>
          <w:color w:val="000000"/>
          <w:sz w:val="22"/>
        </w:rPr>
        <w:t>Consent</w:t>
      </w:r>
      <w:r>
        <w:rPr>
          <w:color w:val="000000"/>
        </w:rPr>
        <w:t>”</w:t>
      </w:r>
      <w:r>
        <w:rPr>
          <w:rFonts w:ascii="Times New Roman;serif" w:hAnsi="Times New Roman;serif"/>
          <w:b w:val="false"/>
          <w:color w:val="000000"/>
          <w:sz w:val="22"/>
        </w:rPr>
        <w:t>) to Fourth Amendment to Credit Agreement, dated as of August 7, 2026 (the “</w:t>
      </w:r>
      <w:r>
        <w:rPr>
          <w:rFonts w:ascii="Times New Roman;serif" w:hAnsi="Times New Roman;serif"/>
          <w:b/>
          <w:i/>
          <w:color w:val="000000"/>
          <w:sz w:val="22"/>
        </w:rPr>
        <w:t>Amendment</w:t>
      </w:r>
      <w:r>
        <w:rPr>
          <w:color w:val="000000"/>
        </w:rPr>
        <w:t>”</w:t>
      </w:r>
      <w:r>
        <w:rPr>
          <w:rFonts w:ascii="Times New Roman;serif" w:hAnsi="Times New Roman;serif"/>
          <w:b w:val="false"/>
          <w:color w:val="000000"/>
          <w:sz w:val="22"/>
        </w:rPr>
        <w:t>), by and among AIRSCULPT TECHNOLOGIES, INC., a Delaware corporation (“</w:t>
      </w:r>
      <w:r>
        <w:rPr>
          <w:rFonts w:ascii="Times New Roman;serif" w:hAnsi="Times New Roman;serif"/>
          <w:b/>
          <w:i/>
          <w:color w:val="000000"/>
          <w:sz w:val="22"/>
        </w:rPr>
        <w:t>Holdings</w:t>
      </w:r>
      <w:r>
        <w:rPr>
          <w:color w:val="000000"/>
        </w:rPr>
        <w:t>”</w:t>
      </w:r>
      <w:r>
        <w:rPr>
          <w:rFonts w:ascii="Times New Roman;serif" w:hAnsi="Times New Roman;serif"/>
          <w:b w:val="false"/>
          <w:color w:val="000000"/>
          <w:sz w:val="22"/>
        </w:rPr>
        <w:t>), EBS INTERMEDIATE PARENT LLC, a Delaware limited liability company (“</w:t>
      </w:r>
      <w:r>
        <w:rPr>
          <w:rFonts w:ascii="Times New Roman;serif" w:hAnsi="Times New Roman;serif"/>
          <w:b/>
          <w:i/>
          <w:color w:val="000000"/>
          <w:sz w:val="22"/>
        </w:rPr>
        <w:t>Intermediate Holdings</w:t>
      </w:r>
      <w:r>
        <w:rPr>
          <w:color w:val="000000"/>
        </w:rPr>
        <w:t>”</w:t>
      </w:r>
      <w:r>
        <w:rPr>
          <w:rFonts w:ascii="Times New Roman;serif" w:hAnsi="Times New Roman;serif"/>
          <w:b w:val="false"/>
          <w:color w:val="000000"/>
          <w:sz w:val="22"/>
        </w:rPr>
        <w:t>), EBS ENTERPRISES LLC, a Delaware limited liability company (the “</w:t>
      </w:r>
      <w:r>
        <w:rPr>
          <w:rFonts w:ascii="Times New Roman;serif" w:hAnsi="Times New Roman;serif"/>
          <w:b/>
          <w:i/>
          <w:color w:val="000000"/>
          <w:sz w:val="22"/>
        </w:rPr>
        <w:t>Borrower</w:t>
      </w:r>
      <w:r>
        <w:rPr>
          <w:color w:val="000000"/>
        </w:rPr>
        <w:t>”</w:t>
      </w:r>
      <w:r>
        <w:rPr>
          <w:rFonts w:ascii="Times New Roman;serif" w:hAnsi="Times New Roman;serif"/>
          <w:b w:val="false"/>
          <w:color w:val="000000"/>
          <w:sz w:val="22"/>
        </w:rPr>
        <w:t>), the Lenders party hereto and FIRST-CITIZENS BANK &amp; TRUST COMPANY (“</w:t>
      </w:r>
      <w:r>
        <w:rPr>
          <w:rFonts w:ascii="Times New Roman;serif" w:hAnsi="Times New Roman;serif"/>
          <w:b/>
          <w:i/>
          <w:color w:val="000000"/>
          <w:sz w:val="22"/>
        </w:rPr>
        <w:t>FCB</w:t>
      </w:r>
      <w:r>
        <w:rPr>
          <w:color w:val="000000"/>
        </w:rPr>
        <w:t>”</w:t>
      </w:r>
      <w:r>
        <w:rPr>
          <w:rFonts w:ascii="Times New Roman;serif" w:hAnsi="Times New Roman;serif"/>
          <w:b w:val="false"/>
          <w:color w:val="000000"/>
          <w:sz w:val="22"/>
        </w:rPr>
        <w:t>), as Administrative Agent, Issuing Lender and Swingline Lender. Unless otherwise defined herein, terms defined in the Amendment and used herein shall have the meanings given to them in the Amendment.</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u w:val="single"/>
              </w:rPr>
              <w:t>Consent</w:t>
            </w:r>
            <w:r>
              <w:rPr>
                <w:rFonts w:ascii="Times New Roman;serif" w:hAnsi="Times New Roman;serif"/>
                <w:b/>
                <w:color w:val="000000"/>
                <w:sz w:val="20"/>
              </w:rPr>
              <w:t>:</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executing the accompanying signature page, the undersigned Lender hereby irrevocably and unconditionally approves of and consents to the Amendment with respect to all Loans and/or Commitments held by such Lender.</w:t>
            </w:r>
          </w:p>
        </w:tc>
      </w:tr>
    </w:tbl>
    <w:p>
      <w:pPr>
        <w:pStyle w:val="TextBody"/>
        <w:bidi w:val="0"/>
        <w:spacing w:before="0" w:after="0"/>
        <w:jc w:val="both"/>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10" w:type="dxa"/>
        <w:jc w:val="left"/>
        <w:tblInd w:w="0" w:type="dxa"/>
        <w:tblLayout w:type="fixed"/>
        <w:tblCellMar>
          <w:top w:w="28" w:type="dxa"/>
          <w:left w:w="28" w:type="dxa"/>
          <w:bottom w:w="28" w:type="dxa"/>
          <w:right w:w="28" w:type="dxa"/>
        </w:tblCellMar>
      </w:tblPr>
      <w:tblGrid>
        <w:gridCol w:w="2277"/>
        <w:gridCol w:w="2002"/>
        <w:gridCol w:w="2831"/>
      </w:tblGrid>
      <w:tr>
        <w:trPr/>
        <w:tc>
          <w:tcPr>
            <w:tcW w:w="227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283"/>
              <w:jc w:val="both"/>
              <w:rPr/>
            </w:pPr>
            <w:r>
              <w:rPr>
                <w:rFonts w:ascii="Times New Roman;serif" w:hAnsi="Times New Roman;serif"/>
                <w:b/>
                <w:color w:val="000000"/>
                <w:sz w:val="20"/>
              </w:rPr>
              <w:t>Name of Lender</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____________________________________________________</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w:t>
            </w:r>
          </w:p>
          <w:p>
            <w:pPr>
              <w:pStyle w:val="TableContents"/>
              <w:bidi w:val="0"/>
              <w:spacing w:lineRule="auto" w:line="288" w:before="0" w:after="0"/>
              <w:jc w:val="both"/>
              <w:rPr/>
            </w:pPr>
            <w:r>
              <w:rPr>
                <w:color w:val="000000"/>
                <w:u w:val="single"/>
              </w:rPr>
              <w:t>    </w:t>
            </w:r>
            <w:r>
              <w:rPr>
                <w:rFonts w:ascii="Times New Roman;serif" w:hAnsi="Times New Roman;serif"/>
                <w:b w:val="false"/>
                <w:color w:val="000000"/>
                <w:sz w:val="20"/>
                <w:u w:val="single"/>
              </w:rPr>
              <w:br/>
            </w:r>
            <w:r>
              <w:rPr>
                <w:rFonts w:ascii="Times New Roman;serif" w:hAnsi="Times New Roman;serif"/>
                <w:b w:val="false"/>
                <w:color w:val="000000"/>
                <w:sz w:val="20"/>
              </w:rPr>
              <w:t>Name:</w:t>
              <w:br/>
              <w:t>Title:</w:t>
            </w:r>
          </w:p>
        </w:tc>
      </w:tr>
      <w:tr>
        <w:trPr/>
        <w:tc>
          <w:tcPr>
            <w:tcW w:w="7110" w:type="dxa"/>
            <w:gridSpan w:val="3"/>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before="120" w:after="283"/>
              <w:jc w:val="both"/>
              <w:rPr/>
            </w:pPr>
            <w:r>
              <w:rPr/>
            </w:r>
          </w:p>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any institution requiring a second signature line:</w:t>
            </w:r>
          </w:p>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by</w:t>
            </w:r>
          </w:p>
          <w:p>
            <w:pPr>
              <w:pStyle w:val="TableContents"/>
              <w:bidi w:val="0"/>
              <w:spacing w:lineRule="auto" w:line="288" w:before="0" w:after="0"/>
              <w:jc w:val="both"/>
              <w:rPr/>
            </w:pPr>
            <w:r>
              <w:rPr>
                <w:color w:val="000000"/>
                <w:u w:val="single"/>
              </w:rPr>
              <w:t>    </w:t>
            </w:r>
            <w:r>
              <w:rPr>
                <w:rFonts w:ascii="Times New Roman;serif" w:hAnsi="Times New Roman;serif"/>
                <w:b w:val="false"/>
                <w:color w:val="000000"/>
                <w:sz w:val="20"/>
                <w:u w:val="single"/>
              </w:rPr>
              <w:br/>
            </w:r>
            <w:r>
              <w:rPr>
                <w:rFonts w:ascii="Times New Roman;serif" w:hAnsi="Times New Roman;serif"/>
                <w:b w:val="false"/>
                <w:color w:val="000000"/>
                <w:sz w:val="20"/>
              </w:rPr>
              <w:t>Name:</w:t>
              <w:br/>
              <w:t>Title:</w:t>
            </w:r>
          </w:p>
        </w:tc>
      </w:tr>
    </w:tbl>
    <w:p>
      <w:pPr>
        <w:pStyle w:val="TextBody"/>
        <w:bidi w:val="0"/>
        <w:spacing w:before="0" w:after="240"/>
        <w:ind w:left="0" w:right="0" w:firstLine="720"/>
        <w:jc w:val="both"/>
        <w:rPr/>
      </w:pPr>
      <w:r>
        <w:rPr/>
      </w:r>
    </w:p>
    <w:p>
      <w:pPr>
        <w:pStyle w:val="TextBody"/>
        <w:bidi w:val="0"/>
        <w:spacing w:before="0" w:after="0"/>
        <w:ind w:left="0" w:right="0" w:firstLine="144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ind w:left="0" w:right="0" w:hanging="36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2100"/>
                <wp:effectExtent l="0" t="0" r="0" b="0"/>
                <wp:wrapNone/>
                <wp:docPr id="42" name="Frame4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|US-DOCS\174367042.9||</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Yogi Jashnani,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98" w:type="dxa"/>
        <w:jc w:val="left"/>
        <w:tblInd w:w="0" w:type="dxa"/>
        <w:tblLayout w:type="fixed"/>
        <w:tblCellMar>
          <w:top w:w="28" w:type="dxa"/>
          <w:left w:w="28" w:type="dxa"/>
          <w:bottom w:w="28" w:type="dxa"/>
          <w:right w:w="28" w:type="dxa"/>
        </w:tblCellMar>
      </w:tblPr>
      <w:tblGrid>
        <w:gridCol w:w="705"/>
        <w:gridCol w:w="621"/>
        <w:gridCol w:w="624"/>
        <w:gridCol w:w="393"/>
        <w:gridCol w:w="393"/>
        <w:gridCol w:w="393"/>
        <w:gridCol w:w="600"/>
        <w:gridCol w:w="600"/>
        <w:gridCol w:w="86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Michael Arthur,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39" w:type="dxa"/>
        <w:jc w:val="left"/>
        <w:tblInd w:w="0" w:type="dxa"/>
        <w:tblLayout w:type="fixed"/>
        <w:tblCellMar>
          <w:top w:w="28" w:type="dxa"/>
          <w:left w:w="28" w:type="dxa"/>
          <w:bottom w:w="28" w:type="dxa"/>
          <w:right w:w="28" w:type="dxa"/>
        </w:tblCellMar>
      </w:tblPr>
      <w:tblGrid>
        <w:gridCol w:w="705"/>
        <w:gridCol w:w="621"/>
        <w:gridCol w:w="624"/>
        <w:gridCol w:w="393"/>
        <w:gridCol w:w="393"/>
        <w:gridCol w:w="393"/>
        <w:gridCol w:w="583"/>
        <w:gridCol w:w="583"/>
        <w:gridCol w:w="8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Michael Arthur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Michael Arthur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AirSculpt Technologies, Inc. (the “Company”) on Form 10-Q for the period ended June 30, 2026, as filed with the Securities and Exchange Commission on the date hereof (the “Report”), the undersigned certifies, pursuant to 18 U.S.C. Sec. 1350, as adopted pursuant to Section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442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604"/>
        <w:gridCol w:w="604"/>
        <w:gridCol w:w="86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AirSculpt Technologies, Inc. (the “Company”) on Form 10-Q for the period ended June 30, 2026, as filed with the Securities and Exchange Commission on the date hereof (the “Report”), the undersigned certifies, pursuant to 18 U.S.C. Sec. 1350, as adopted pursuant to Section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43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589"/>
        <w:gridCol w:w="589"/>
        <w:gridCol w:w="83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/s/ Michael Arthur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Arthur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20602</Words>
  <Characters>113004</Characters>
  <CharactersWithSpaces>132450</CharactersWithSpaces>
  <Paragraphs>1977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