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quarterly period ended June 30, 2024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001-40973</w:t>
      </w:r>
    </w:p>
    <w:p>
      <w:pPr>
        <w:spacing w:after="0" w:line="102"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20"/>
                <w:szCs w:val="20"/>
                <w:b w:val="1"/>
                <w:bCs w:val="1"/>
                <w:color w:val="auto"/>
                <w:w w:val="98"/>
              </w:rPr>
              <w:t>AirSculpt Technologies, Inc.</w:t>
            </w:r>
          </w:p>
        </w:tc>
        <w:tc>
          <w:tcPr>
            <w:tcW w:w="1480" w:type="dxa"/>
            <w:vAlign w:val="bottom"/>
          </w:tcPr>
          <w:p>
            <w:pPr>
              <w:spacing w:after="0"/>
              <w:rPr>
                <w:sz w:val="21"/>
                <w:szCs w:val="21"/>
                <w:color w:val="auto"/>
              </w:rPr>
            </w:pPr>
          </w:p>
        </w:tc>
      </w:tr>
      <w:tr>
        <w:trPr>
          <w:trHeight w:val="210"/>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480" w:type="dxa"/>
            <w:vAlign w:val="bottom"/>
          </w:tcPr>
          <w:p>
            <w:pPr>
              <w:spacing w:after="0"/>
              <w:rPr>
                <w:sz w:val="18"/>
                <w:szCs w:val="18"/>
                <w:color w:val="auto"/>
              </w:rPr>
            </w:pPr>
          </w:p>
        </w:tc>
      </w:tr>
      <w:tr>
        <w:trPr>
          <w:trHeight w:val="351"/>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87-1471855</w:t>
            </w:r>
          </w:p>
        </w:tc>
      </w:tr>
      <w:tr>
        <w:trPr>
          <w:trHeight w:val="235"/>
        </w:trPr>
        <w:tc>
          <w:tcPr>
            <w:tcW w:w="6080" w:type="dxa"/>
            <w:vAlign w:val="bottom"/>
          </w:tcPr>
          <w:p>
            <w:pPr>
              <w:jc w:val="center"/>
              <w:ind w:right="3437"/>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86"/>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w w:val="9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(786) 709-9690</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03"/>
        </w:trPr>
        <w:tc>
          <w:tcPr>
            <w:tcW w:w="1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96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200" w:lineRule="exact"/>
        <w:rPr>
          <w:sz w:val="24"/>
          <w:szCs w:val="24"/>
          <w:color w:val="auto"/>
        </w:rPr>
      </w:pPr>
    </w:p>
    <w:p>
      <w:pPr>
        <w:spacing w:after="0" w:line="251"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1"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140" w:type="dxa"/>
        <w:tblCellMar>
          <w:top w:w="0" w:type="dxa"/>
          <w:left w:w="0" w:type="dxa"/>
          <w:bottom w:w="0" w:type="dxa"/>
          <w:right w:w="0" w:type="dxa"/>
        </w:tblCellMar>
      </w:tblPr>
      <w:tr>
        <w:trPr>
          <w:trHeight w:val="210"/>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6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4" w:lineRule="exact"/>
        <w:rPr>
          <w:sz w:val="24"/>
          <w:szCs w:val="24"/>
          <w:color w:val="auto"/>
        </w:rPr>
      </w:pPr>
    </w:p>
    <w:p>
      <w:pPr>
        <w:ind w:right="29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57,592,078 shares of common stock outstanding as of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100" w:type="dxa"/>
            <w:vAlign w:val="bottom"/>
            <w:gridSpan w:val="9"/>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tcBorders>
              <w:top w:val="single" w:sz="8" w:color="0000FF"/>
            </w:tcBorders>
            <w:gridSpan w:val="4"/>
          </w:tcPr>
          <w:p>
            <w:pPr>
              <w:spacing w:after="0"/>
              <w:rPr>
                <w:sz w:val="24"/>
                <w:szCs w:val="24"/>
                <w:color w:val="auto"/>
              </w:rPr>
            </w:pPr>
          </w:p>
        </w:tc>
        <w:tc>
          <w:tcPr>
            <w:tcW w:w="20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(Unaudited) and December 31,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Other Comprehensive (Loss)/Income for the Three and Six Months Ended June 30, 2024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8"/>
              </w:rPr>
              <w:t>and 2023 (Unaudited)</w:t>
            </w:r>
          </w:p>
        </w:tc>
        <w:tc>
          <w:tcPr>
            <w:tcW w:w="7680" w:type="dxa"/>
            <w:vAlign w:val="bottom"/>
            <w:tcBorders>
              <w:top w:val="single" w:sz="8" w:color="0000FF"/>
            </w:tcBorders>
            <w:gridSpan w:val="11"/>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2024 and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2023 (Unaudited)</w:t>
            </w:r>
          </w:p>
        </w:tc>
        <w:tc>
          <w:tcPr>
            <w:tcW w:w="7960" w:type="dxa"/>
            <w:vAlign w:val="bottom"/>
            <w:tcBorders>
              <w:top w:val="single" w:sz="8" w:color="0000FF"/>
            </w:tcBorders>
            <w:gridSpan w:val="13"/>
          </w:tcPr>
          <w:p>
            <w:pPr>
              <w:spacing w:after="0"/>
              <w:rPr>
                <w:sz w:val="15"/>
                <w:szCs w:val="15"/>
                <w:color w:val="auto"/>
              </w:rPr>
            </w:pPr>
          </w:p>
        </w:tc>
        <w:tc>
          <w:tcPr>
            <w:tcW w:w="180" w:type="dxa"/>
            <w:vAlign w:val="bottom"/>
            <w:gridSpan w:val="2"/>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 (Unaudited)</w:t>
            </w:r>
          </w:p>
        </w:tc>
        <w:tc>
          <w:tcPr>
            <w:tcW w:w="1140" w:type="dxa"/>
            <w:vAlign w:val="bottom"/>
            <w:gridSpan w:val="4"/>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r>
              <w:rPr>
                <w:rFonts w:ascii="Times New Roman" w:cs="Times New Roman" w:eastAsia="Times New Roman" w:hAnsi="Times New Roman"/>
                <w:sz w:val="18"/>
                <w:szCs w:val="18"/>
                <w:color w:val="000000"/>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tcBorders>
              <w:left w:val="single" w:sz="8" w:color="0000FF"/>
            </w:tcBorders>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20"/>
                <w:szCs w:val="20"/>
                <w:color w:val="auto"/>
              </w:rPr>
            </w:pP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80" w:type="dxa"/>
            <w:vAlign w:val="bottom"/>
            <w:tcBorders>
              <w:top w:val="single" w:sz="8" w:color="0000FF"/>
            </w:tcBorders>
            <w:gridSpan w:val="2"/>
          </w:tcPr>
          <w:p>
            <w:pPr>
              <w:spacing w:after="0"/>
              <w:rPr>
                <w:sz w:val="20"/>
                <w:szCs w:val="20"/>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60" w:type="dxa"/>
            <w:vAlign w:val="bottom"/>
            <w:gridSpan w:val="11"/>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1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6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the sections titled “Management’s Discussion and Analysis of Financial Condition and Results of Operations,” “Quantitative and Qualitative Disclosures About Market Risk”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including those factors discussed in the section titled “Risk Factors” in our Annual Report on Form 10-K. We qualify all of our forward-looking statements by these cautionary statements.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future results could be affected by a variety of other factors, including, but not limited to, failure to open and operate new centers in a timely and cost-effective manner; inability to open new centers due to rising interest rates and increased operating expenses due to rising inflation; increased competition in the weight loss and obesity solutions market, including</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factors discussed in the section titled “Item 1A. Risk Factors” in our Annual Report on Form 10-K could cause our results to differ materially from those expressed in the forward-looking statements made in this Quarterly Report on Form 10-Q and in other filings we make from time to time with the U.S. Securities and Exchange Commission. There also may be other risks and uncertainties that are currently unknown to us or that we are unable to predict at this time.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 forward-looking statements, or to update the reasons actual results could differ materially from those anticipated in the forward-looking statements, after the date of this Quarterly Report on Form 10-Q to conform our prior statements to actual results or revised expectations, except as required by law. Given these uncertainties, investors should not place undue reliance on these forward-looking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for shares)</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0" w:type="dxa"/>
            <w:vAlign w:val="bottom"/>
          </w:tcPr>
          <w:p>
            <w:pPr>
              <w:spacing w:after="0"/>
              <w:rPr>
                <w:sz w:val="1"/>
                <w:szCs w:val="1"/>
                <w:color w:val="auto"/>
              </w:rPr>
            </w:pP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210,110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204,019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9)</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shares authorized - 450,000,000; shares issued and outstanding - 57,574,244</w:t>
            </w: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57,355,676, respectively</w:t>
            </w:r>
          </w:p>
        </w:tc>
        <w:tc>
          <w:tcPr>
            <w:tcW w:w="2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103,898</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83,992</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210,110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204,019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$000s, except for shares and per share figures)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101,516</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 (exclusive of depreciation and amortization)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37,969</w:t>
            </w:r>
          </w:p>
        </w:tc>
        <w:tc>
          <w:tcPr>
            <w:tcW w:w="0" w:type="dxa"/>
            <w:vAlign w:val="bottom"/>
          </w:tcPr>
          <w:p>
            <w:pPr>
              <w:spacing w:after="0"/>
              <w:rPr>
                <w:sz w:val="1"/>
                <w:szCs w:val="1"/>
                <w:color w:val="auto"/>
              </w:rPr>
            </w:pP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51,775</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94,392</w:t>
            </w: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Pre-tax net (loss)/income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57"/>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per share of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56,753,498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57,489,466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56,599,291</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58,511,766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58,066,133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58,095,736</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hanging="652"/>
        <w:spacing w:after="0" w:line="281" w:lineRule="auto"/>
        <w:tabs>
          <w:tab w:leader="none" w:pos="3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Other Comprehensive (Loss)/Income (Unaudited)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(loss)/income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3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2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
                <w:szCs w:val="2"/>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
                <w:szCs w:val="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($000s, except shares and per share figures)</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56,181,689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w:t>
            </w:r>
          </w:p>
        </w:tc>
        <w:tc>
          <w:tcPr>
            <w:tcW w:w="0" w:type="dxa"/>
            <w:vAlign w:val="bottom"/>
          </w:tcPr>
          <w:p>
            <w:pPr>
              <w:spacing w:after="0"/>
              <w:rPr>
                <w:sz w:val="1"/>
                <w:szCs w:val="1"/>
                <w:color w:val="auto"/>
              </w:rPr>
            </w:pPr>
          </w:p>
        </w:tc>
      </w:tr>
      <w:tr>
        <w:trPr>
          <w:trHeight w:val="176"/>
        </w:trPr>
        <w:tc>
          <w:tcPr>
            <w:tcW w:w="34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Issuance of common stock through unit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56,711,260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0" w:type="dxa"/>
            <w:vAlign w:val="bottom"/>
          </w:tcPr>
          <w:p>
            <w:pPr>
              <w:spacing w:after="0"/>
              <w:rPr>
                <w:sz w:val="1"/>
                <w:szCs w:val="1"/>
                <w:color w:val="auto"/>
              </w:rPr>
            </w:pPr>
          </w:p>
        </w:tc>
      </w:tr>
      <w:tr>
        <w:trPr>
          <w:trHeight w:val="176"/>
        </w:trPr>
        <w:tc>
          <w:tcPr>
            <w:tcW w:w="34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Issuance of common stock through unit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29"/>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1"/>
        </w:trPr>
        <w:tc>
          <w:tcPr>
            <w:tcW w:w="3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56,784,968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94,836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81,472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57,355,676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83,992</w:t>
            </w:r>
          </w:p>
        </w:tc>
        <w:tc>
          <w:tcPr>
            <w:tcW w:w="0" w:type="dxa"/>
            <w:vAlign w:val="bottom"/>
          </w:tcPr>
          <w:p>
            <w:pPr>
              <w:spacing w:after="0"/>
              <w:rPr>
                <w:sz w:val="1"/>
                <w:szCs w:val="1"/>
                <w:color w:val="auto"/>
              </w:rPr>
            </w:pPr>
          </w:p>
        </w:tc>
      </w:tr>
      <w:tr>
        <w:trPr>
          <w:trHeight w:val="175"/>
        </w:trPr>
        <w:tc>
          <w:tcPr>
            <w:tcW w:w="34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Issuance of common stock through unit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Payment of taxes withheld through vested</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57,537,393</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Issuance of common stock through unit</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57,574,244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102,078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85,014</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3"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on term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member</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taxes withheld through vested 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activity</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50"/>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108"/>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information: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 names and trademarks.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present the financial position and results of operations of the Company, its wholly-owned domestic and international subsidiaries, and its variable interest in the managed PAs in the United States ("Domestic PAs"), which are under the control of the Company and are considered variable interest entities in which the Company is the primary beneficiary.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variable interest in the Domestic PAs where it has a long-term and unilateral controlling financial interest over their assets and operations. The Company has the ability to direct the activities that most significantly affect the Domestic PAs’ economic performance via the MSAs and related agreements. The Company is a practice management service organization and does not engage in the practice of medicine. These services are provided by licensed professionals at each of the Domestic PAs. Certain key features of the MSAs and related agreements enable the Company to assign the member interests of certain of the Domestic PAs to another member designated by the Company (i.e., “nominee shareholder”) for a nominal value in certain circumstances at the Company’s sole discretion. The MSA does not allow the Company to be involved in, or provide guidance on, the clinical operations of the Domestic PAs. The Company consolidates the Domestic PAs into the financial statements. All of the Company’s revenue is earned from services provided by the Domestic PAs and its wholly-owned foreign subsidiaries in the United Kingdom and Canada. The only assets and liabilities held by the Domestic PAs included in the accompanying consolidated balance sheets are clinical related. The clinical assets and liabilities are not material to the Company as a whole.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Estimates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Concentration of Credit Risk</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The Company’s revenues are concentrated in the specialty, minimally invasive liposuction market.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cash balances at financial institutions which may at times exceed the amount covered by the Federal Deposit Insurance Corporation. The Company has not experienced any losses in such accounts.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are not contingent upon any criteria. The Company recognizes revenue based on the expected transaction price which is reduced for financing fees.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policy is to require payment for services in advance. Payments received for services that have yet to be performed as of June 30, 2024 and December 31, 2023 are included in deferred revenue and patient deposits. All of the deferred revenue and patient deposits as of December 31, 2023 were recognized in revenue during the six months ended June 30,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revenue from international locations was $1.8 million and $1.4 million, respectively, and net loss from international operations was $0.2 million and $0.7 million, respectively. For the six months ended June 30, 2024 and 2023, revenue from international locations was $3.2 million and $2.5 million, respectively, and net loss from international operations was $0.8 million and $0.9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Service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doctors, nurses and clinical staff, supply costs, and facility rent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Costs, Net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$0.1 million and $0.3 million for the three months ended June 30, 2024 and 2023, respectively. Total amortization of deferred financing costs was approximately $0.2 million and $0.5 million for the six months ended June 30, 2024 and 2023, respectively. Amortization of loan costs and discounts is included as a component of interest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impairment of long-lived assets in accordance with the provisions of the Financial Accounting Standards Board (“FASB”) Accounting Standards Codification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and Topic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and six months ended June 30, 2024 and 2023.</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(loss)/income for the three and six months ended June 30, 2024 and 2023 by the weighted-average number of shares of common stock outstanding during the same period. Diluted earnings per share of common stock is computed by dividing net (loss)/income for the three and six months ended June 30, 2024 and 2023 by the weighted-average number of shares of common stock adjusted to give effect to potentially dilutive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in the period when the costs are incurred and are included as a component of selling, general and administrative costs. Advertising expenses were approximately $11.0 million and $6.9 million for the three months ended June 30, 2024 and 2023, respectively, and approximately $19.4 million and $12.9 million for the six months ended June 30,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which the statute of limitations remained open and determined that there are no uncertain tax positions as of June 30, 2024 or December 31, 2023. The Company is not subject to U.S. federal tax examination prior to 2021, when it was formed.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effective tax rate of approximately 50.6% and 48.8% for the three months ended June 30, 2024 and 2023, respectively, and approximately 5.4% and 49.6% for the six months ended June 30, 2024 and 2023, respectively, inclusive of all applicable U.S. federal and state income taxes.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requires enhanced disclosures of significant segment expenses. The ASU is effective for annual periods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2023 and interim periods beginning after December 15, 2024. The amendments in this ASU must be applied retrospectively to all periods presented and early adoption is permitted. The Company is evaluating the impact of this ASU on its consolidated financial statements.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establishes new requirements for the categorization and disaggregation of information in the rate reconciliation as well as for disaggregation of income taxes paid. The ASU is effective for annual periods beginning after December 15, 2024 and interim periods beginning after December 15, 2025. The amendments in this ASU may be applied prospectively or retrospectively to all periods presented and early adoption is permitted. The Company is evaluating the impact of this ASU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GOODWILL AND INTANGIBLES,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review of goodwill impairment will be performed in October 2024. There were no triggering events during the three and six months ended June 30,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$81.7 million at June 30, 2024 and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June 30, 2024 and December 31, 2023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know-how</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7"/>
        </w:trPr>
        <w:tc>
          <w:tcPr>
            <w:tcW w:w="6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5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technology and know-how</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w:t>
            </w:r>
          </w:p>
        </w:tc>
        <w:tc>
          <w:tcPr>
            <w:tcW w:w="1580" w:type="dxa"/>
            <w:vAlign w:val="bottom"/>
          </w:tcPr>
          <w:p>
            <w:pPr>
              <w:spacing w:after="0"/>
              <w:rPr>
                <w:sz w:val="21"/>
                <w:szCs w:val="2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tradenames and trademarks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580" w:type="dxa"/>
            <w:vAlign w:val="bottom"/>
            <w:shd w:val="clear" w:color="auto" w:fill="CCEEFF"/>
          </w:tcPr>
          <w:p>
            <w:pPr>
              <w:spacing w:after="0"/>
              <w:rPr>
                <w:sz w:val="22"/>
                <w:szCs w:val="22"/>
                <w:color w:val="auto"/>
              </w:rPr>
            </w:pPr>
          </w:p>
        </w:tc>
      </w:tr>
      <w:tr>
        <w:trPr>
          <w:trHeight w:val="257"/>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158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will be $4.8 million per year for each of the next five fiscal years.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Aggregate amortization expense on intangible assets was approximately $1.2 million for both of the three months ended June 30, 2024 and 2023 and $2.4 million for both of the six months ended June 30, 2024 and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property and equipment consists of the following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$1.7 million and $1.3 million for the three months ended June 30, 2024 and 2023, respectively, and $3.3 million and $2.5 million for the six months ended June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June 30, 2024, the interest rate was 7.83%.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borrowings as of June 30, 2024 and December 31, 2023 were as follows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71,813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70,728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67,540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June 30, 2024 and December 31, 2023, the Company had $5.0 million available on the revolving credit facility.</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future maturities of long-term debt as of June 30, 2024 is as follows (in 000’s):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60,125</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71,813</w:t>
            </w:r>
          </w:p>
        </w:tc>
      </w:tr>
      <w:tr>
        <w:trPr>
          <w:trHeight w:val="20"/>
        </w:trPr>
        <w:tc>
          <w:tcPr>
            <w:tcW w:w="8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June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primarily for real estate, including medical office suites and corporate offices. For the three months ended June 30, 2024 and 2023, the Company incurred rent expense of $1.6 million and $1.4 million, respectively, for its medical office suites. For the six months ended June 30, 2024 and 2023, the Company incurred rent expense of $3.1 million and $2.9 million, respectively, related to its medical office suites. The Company’s rent expense related to its medical office suites is classified in cost of services within the Company’s condensed consolidated statements of operations. The Company incurred rent expense of $91,000 and $91,000 for the three months ended June 30, 2024 and 2023, respectively, and $182,000 and $182,000 for the six months ended June 30, 2024 and 2023, respectively, related to the corporate offices which is classified in selling, general and administrative expenses. The Company currently does not have any finance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for the six months ended June 30, 2024 and 2023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4"/>
                <w:szCs w:val="14"/>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893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w:t>
            </w:r>
          </w:p>
        </w:tc>
      </w:tr>
      <w:tr>
        <w:trPr>
          <w:trHeight w:val="25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44,350</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w:t>
            </w:r>
          </w:p>
        </w:tc>
      </w:tr>
      <w:tr>
        <w:trPr>
          <w:trHeight w:val="257"/>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29,731</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granted 104,348 and 515,804 restricted stock units ("RSUs"), respectively, to executive officers and employees under the 2021 Equity Incentive Plan. During the three and six months ended June 30, 2023, the Company granted 158,306 and 767,261 RSUs, respectively. These RSUs are not considered outstanding until vested. These RSUs have a time-based vesting condition. These units will vest 1/3 per year over three years. Vesting and payment of these RSUs are generally subject to continuing service of the employee or non-employee director over the ratable vesting periods beginning one year from the date of grant to three years after the date of</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grant. The fair values of these RSUs were determined based on the closing price of the Company’s common stock on the trading date immediately prior to the grant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granted — and 407,688 performance based stock units ("PSUs"), respectively, which have market-based vesting conditions. In the three and six months ended June 30, 2023, the Company granted 89,258 and 674,876 PSUs, respectively, which have market-based vesting conditions. The vesting is based on achievement of a total shareholder return relative to a specified peer group (“rTSR”). Based on the rTSR, the awards can settle in shares in a range from 0% to 200%.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fair values of PSUs with a market-based vesting condition were estimated using a Monte Carlo simulation model.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IPO, on November 4, 2021 the Company previously granted PSUs with performance-based vesting conditions to certain employees. The performance-based conditions include PSUs that can vest upon achieving specified stock price performance targets (the "Price Targets"), and the remaining PSUs can vest upon achieving a revenue performance target in any trailing twelve month period up to December 31, 2024 (the "Revenue Target"). During the three months ended March 31, 2024, the Company reassessed the probability of achieving the Revenue Target and determined such achievement is improbable based on current facts and circumstances. As a result, the Company recorded a $10.4 million cumulative reversal of stock compensation expense related to the unvested PSUs attributable to the Revenue Target in the three months ended March 31,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equity-based compensation expense of $4.9 million and $4.6 million for the three months ended June 30, 2024 and 2023, respectively, and $(1.9) million and $9.0 million for the six months ended June 30, 2024 and 2023, respectively, in selling, general and administrative expenses on the condensed consolidated statements of operations. Forfeitures are recognized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dividends of approximately $14.0 thousand and $206.0 thousand for the six months ended June 30,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(loss)/income by the weighted-average number of shares of common stock outstanding during the same period. Diluted earnings per share of common stock is computed by dividing net (loss)/income by the weighted-average number of shares of common stock adjusted to give effect to potentially dilutive securities. Where the inclusion of potentially dilutive shares would be antidilutive, diluted loss per share equals basic loss per share.</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(loss)/income per share of common stock is as follows (in 000’s except for shares and per share figures):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0"/>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19"/>
                <w:szCs w:val="19"/>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56,753,498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57,489,466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56,599,291</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1,758,268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576,667</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1,496,445</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58,511,766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58,066,133</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58,095,736</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share of common stock outstanding -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-1070610</wp:posOffset>
            </wp:positionV>
            <wp:extent cx="3300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9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1,544,923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738,437</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1,341,790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791,716</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market-based stock units</w:t>
            </w: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2,680,748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1,971,274</w:t>
            </w:r>
          </w:p>
        </w:tc>
        <w:tc>
          <w:tcPr>
            <w:tcW w:w="80" w:type="dxa"/>
            <w:vAlign w:val="bottom"/>
          </w:tcPr>
          <w:p>
            <w:pPr>
              <w:spacing w:after="0"/>
              <w:rPr>
                <w:sz w:val="20"/>
                <w:szCs w:val="20"/>
                <w:color w:val="auto"/>
              </w:rPr>
            </w:pP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2,201,151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3300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income tax (benefit)/expense for the three months ended June 30, 2024 and 2023 was $(3.3) million and $1.7 million, respectively, and the income tax (benefit)/expense for the six months ended June 30, 2024 and 2023 was $0.2 million and $1.7 million, respectively. The effective tax rate for the three months ended June 30, 2024 and 2023 was 50.6% and 48.8%, respectively. The effective tax rate for the six months ended June 30, 2024 and 2023 was 5.4% and 49.6%, respectively. The main driver of the difference between the effective and statutory rate is non-deductible executive compensation under Section 162(m) of the Internal Revenue Code. There are no uncertain tax positions as of June 30, 2024 or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Liability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officer. The CODM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(loss)/income excluding depreciation and amortization, net interest (benefit)/expense, income tax expense, restructuring and related severance costs, (gain)/loss on disposal of long-lived assets, and equity-based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Company entered into a settlement agreement to resolve litigation with the estate of a former patient (the “Plaintiff”) in which the patient passed away a few days after undergoing a procedure at one of the Company’s facilities. Under the terms of the settlement, the Company agreed to pay $2.0 million. The settlement amount has been fully accrued and is reflected in the financial statements under accrued and other current liabilities as of June 30, 2024. This settlement is fully within the limits of the Company’s insurance coverage and thus would have no effect on net income in the three or six months ended June 30, 2024. The Company has accrued a separate receivable for insurance proceeds of $2.0 million, included in the prepaid expenses and other current assets on the balance sheet as of June 30, 2024.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does not expect any further financial obligations related to this matter. The settlement resolved all claims against the Company, and the litigation has been dismissed.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8, 2024, Todd Magazine stepped down from his role as Chief Executive Officer of AirSculpt Technologies, Inc., effective as of August 8, 2024.</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2024, Mr. Magazine entered into a Transition Services Agreement (the “Transition Services Agreement”) with the Company, which provides for the severance benefits specified in Section 7.2 of his employment agreement with the Company (previously attached as Exhibit 10.1 to the Company’s Current Report on Form 8-K filed with the U.S. Securities and Exchange Commission (the “SEC”) on January 6, 2023). In addition, in consideration for the provision by Mr. Magazine of consulting services to the Company through December 31, 2024, and for his acknowledgement that the Employee Covenants Agreement between him and the Company, dated as of January 30, 2023, remains binding on him through the Consulting Term (as defined in the Transition Services Agreement), a total of 75,000 restricted stock units of the Company previously granted to Mr. Magazine, which are unvested and would otherwise be forfeited, will remain outstanding and will vest on January 1,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stepping down from his role as Chief Executive Officer of the Company, Mr. Magazine resigned from his position as a member of the board of directors of the Company (the “Board”), effective as of August 8,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8, 2024, the Board appointed Dennis Dean, the Company’s Chief Financial Officer, as the Interim Chief Executive Officer of the Company, effective as of August 8,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his capacity as Interim Chief Executive Officer of the Company, Mr. Dean will succeed to Mr. Magazine as the principal executive officer of the Company, while maintaining his position as the principal financial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March 10, 2023 filed with the Securities and Exchange Commission (“SEC”) pursuant to Section 13 or 15(d) of the Securities Exchange Act of 1934 (the “Exchange Act”). This discussion and analysis contains forward-looking statements that involve risk, uncertainties and assumptions. See the section entitled “Cautionary Note Regarding Forward-Looking Statements” in this Quarterly Report on Form 10-Q. Our actual results could differ materially from those anticipated in the forward-looking statements.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Quarterly Report on Form 10-Q to the “Company,” “AirSculpt,” “we,” “us” and “our” refer to AirSculpt Technologies, Inc. and its consolidated subsidiaries and the Professional Associations.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AirSculpt is an experienced, fast-growing national provider of body contouring procedures delivering a premium consumer experience. We provide custom body contouring using our proprietary AirSculpt® method that removes unwanted fat and tightens skin in a minimally invasive procedure, producing dramatic results. We opened a new center in Kansas City, KS in July 2024. We deliver our AirSculpt® procedures through a growing nationwide footprint of 28 centers across 19 states, Canada and the United Kingdom as of August 9,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we performed 3,949 and 7,695 cases, respectively, compared to 4,186 and 7,826 for the three and six months ended June 30, 2023, respectively. For the three and six months ended June 30, 2024, we generated approximately $51.0 million and $98.6 million of revenue, respectively, compared to $55.7 million and $101.5 million for the three and six months ended June 30, 2023, respectively. This represents approximately 8% decline in revenue for the three months ended June 30, 2024 over the same period in prior year and approximately 3% decline in revenue for the six months ended June 30, 2024 over the same period in prior year.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Cases Performed and Revenue per Case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Case and Revenue Metrics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6"/>
        </w:trPr>
        <w:tc>
          <w:tcPr>
            <w:tcW w:w="4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7,695</w:t>
            </w:r>
          </w:p>
        </w:tc>
        <w:tc>
          <w:tcPr>
            <w:tcW w:w="100" w:type="dxa"/>
            <w:vAlign w:val="bottom"/>
            <w:shd w:val="clear" w:color="auto" w:fill="D2EDFE"/>
          </w:tcPr>
          <w:p>
            <w:pPr>
              <w:spacing w:after="0"/>
              <w:rPr>
                <w:sz w:val="19"/>
                <w:szCs w:val="19"/>
                <w:color w:val="auto"/>
              </w:rPr>
            </w:pPr>
          </w:p>
        </w:tc>
        <w:tc>
          <w:tcPr>
            <w:tcW w:w="520" w:type="dxa"/>
            <w:vAlign w:val="bottom"/>
            <w:shd w:val="clear" w:color="auto" w:fill="D2EDFE"/>
          </w:tcPr>
          <w:p>
            <w:pPr>
              <w:spacing w:after="0"/>
              <w:rPr>
                <w:sz w:val="19"/>
                <w:szCs w:val="19"/>
                <w:color w:val="auto"/>
              </w:rPr>
            </w:pPr>
          </w:p>
        </w:tc>
        <w:tc>
          <w:tcPr>
            <w:tcW w:w="92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7,826</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12,916</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12,817</w:t>
            </w:r>
          </w:p>
        </w:tc>
        <w:tc>
          <w:tcPr>
            <w:tcW w:w="100" w:type="dxa"/>
            <w:vAlign w:val="bottom"/>
            <w:shd w:val="clear" w:color="auto" w:fill="D2EDFE"/>
          </w:tcPr>
          <w:p>
            <w:pPr>
              <w:spacing w:after="0"/>
              <w:rPr>
                <w:sz w:val="19"/>
                <w:szCs w:val="19"/>
                <w:color w:val="auto"/>
              </w:rPr>
            </w:pPr>
          </w:p>
        </w:tc>
        <w:tc>
          <w:tcPr>
            <w:tcW w:w="520" w:type="dxa"/>
            <w:vAlign w:val="bottom"/>
            <w:shd w:val="clear" w:color="auto" w:fill="D2EDF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12,972</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2EDFE"/>
          </w:tcPr>
          <w:p>
            <w:pPr>
              <w:spacing w:after="0"/>
              <w:rPr>
                <w:sz w:val="19"/>
                <w:szCs w:val="19"/>
                <w:color w:val="auto"/>
              </w:rPr>
            </w:pPr>
          </w:p>
        </w:tc>
        <w:tc>
          <w:tcPr>
            <w:tcW w:w="52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 Case and Revenue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Same-Center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and 2023, we define same-center case and revenue growth as the growth in each of our cases and revenue at facilities that were owned and operated during the three months ended June 30, 2024 and 2023, respectively. At facilities that were not owned or operated for the entirety of the prior year period, the current year period has been pro-rated to reflect only growth experienced during the portion of the three months ended June 30, 2024 in which such facilities were owned and operated during the three months ended June 30, 2023. We define same-center facilities and procedure rooms based on if a facility was owned or operated as of June 30,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and 2023, we define same-center case and revenue growth as the growth in each of our cases and revenue at facilities that were owned and operated during the six months ended June 30, 2024 and 2023, respectively. At facilities that were not owned or operated for the entirety of the prior year period, the current year period has been pro-rated to reflect only growth experienced during the portion of the six months ended June 30, 2024 in which such facilities were owned and operated during the six months ended June 30, 2023.We define same-center facilities and procedure rooms based on if a facility was owned or operated as of June 30,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r>
      <w:tr>
        <w:trPr>
          <w:trHeight w:val="195"/>
        </w:trPr>
        <w:tc>
          <w:tcPr>
            <w:tcW w:w="4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4880" w:type="dxa"/>
            <w:vAlign w:val="bottom"/>
            <w:tcBorders>
              <w:bottom w:val="single" w:sz="8" w:color="D2EDF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D2EDF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3,598</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7,826</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12,836</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12,741</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12,972</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same-store revenue decline is primarily attributed to weaker than expected performance across the broader aesthetic and consumer retail industries, particularly related to customers that are more price sensitive.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Measures—Adjusted EBITDA, Adjusted EBITDA Margin, Adjusted Net Income, and Adjusted Net Income per Share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(loss)/income excluding depreciation and amortization, net interest expense, income tax (benefit)/expense, restructuring and related severance costs, (gain)/loss on disposal of long-lived assets, and equity-based compensation.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Net Income as net (loss)/income excluding restructuring and related severance costs, (gain)/loss on disposal of long-lived assets, equity-based compensation and the tax effect of these adjustments.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because it does not include results from equity-based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and Adjusted EBITDA Margin to net (loss)/income, the most directly comparable GAAP financial measure: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94"/>
        </w:trPr>
        <w:tc>
          <w:tcPr>
            <w:tcW w:w="4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96"/>
        </w:trPr>
        <w:tc>
          <w:tcPr>
            <w:tcW w:w="468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6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D2EDFE"/>
          </w:tcPr>
          <w:p>
            <w:pPr>
              <w:jc w:val="right"/>
              <w:ind w:right="115"/>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1,762</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68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8,991</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3,305</w:t>
            </w:r>
          </w:p>
        </w:tc>
      </w:tr>
      <w:tr>
        <w:trPr>
          <w:trHeight w:val="230"/>
        </w:trPr>
        <w:tc>
          <w:tcPr>
            <w:tcW w:w="46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4,850</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38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46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3,626</w:t>
            </w:r>
          </w:p>
        </w:tc>
      </w:tr>
      <w:tr>
        <w:trPr>
          <w:trHeight w:val="229"/>
        </w:trPr>
        <w:tc>
          <w:tcPr>
            <w:tcW w:w="468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Borders>
              <w:bottom w:val="single" w:sz="8" w:color="D2EDFE"/>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D2EDF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D2EDF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1,736</w:t>
            </w:r>
          </w:p>
        </w:tc>
      </w:tr>
      <w:tr>
        <w:trPr>
          <w:trHeight w:val="223"/>
        </w:trPr>
        <w:tc>
          <w:tcPr>
            <w:tcW w:w="46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6,868</w:t>
            </w:r>
          </w:p>
        </w:tc>
        <w:tc>
          <w:tcPr>
            <w:tcW w:w="100" w:type="dxa"/>
            <w:vAlign w:val="bottom"/>
            <w:shd w:val="clear" w:color="auto" w:fill="D2EDFE"/>
          </w:tcPr>
          <w:p>
            <w:pPr>
              <w:spacing w:after="0"/>
              <w:rPr>
                <w:sz w:val="19"/>
                <w:szCs w:val="19"/>
                <w:color w:val="auto"/>
              </w:rPr>
            </w:pPr>
          </w:p>
        </w:tc>
        <w:tc>
          <w:tcPr>
            <w:tcW w:w="620" w:type="dxa"/>
            <w:vAlign w:val="bottom"/>
            <w:tcBorders>
              <w:bottom w:val="single" w:sz="8" w:color="auto"/>
            </w:tcBorders>
            <w:shd w:val="clear" w:color="auto" w:fill="D2EDFE"/>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14,612</w:t>
            </w:r>
          </w:p>
        </w:tc>
        <w:tc>
          <w:tcPr>
            <w:tcW w:w="100" w:type="dxa"/>
            <w:vAlign w:val="bottom"/>
            <w:shd w:val="clear" w:color="auto" w:fill="D2EDFE"/>
          </w:tcPr>
          <w:p>
            <w:pPr>
              <w:spacing w:after="0"/>
              <w:rPr>
                <w:sz w:val="19"/>
                <w:szCs w:val="19"/>
                <w:color w:val="auto"/>
              </w:rPr>
            </w:pPr>
          </w:p>
        </w:tc>
        <w:tc>
          <w:tcPr>
            <w:tcW w:w="380" w:type="dxa"/>
            <w:vAlign w:val="bottom"/>
            <w:tcBorders>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14,205</w:t>
            </w:r>
          </w:p>
        </w:tc>
        <w:tc>
          <w:tcPr>
            <w:tcW w:w="200" w:type="dxa"/>
            <w:vAlign w:val="bottom"/>
            <w:tcBorders>
              <w:bottom w:val="single" w:sz="8" w:color="auto"/>
            </w:tcBorders>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tcBorders>
              <w:bottom w:val="single" w:sz="8" w:color="auto"/>
            </w:tcBorders>
            <w:shd w:val="clear" w:color="auto" w:fill="D2EDFE"/>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24,068</w:t>
            </w:r>
          </w:p>
        </w:tc>
      </w:tr>
      <w:tr>
        <w:trPr>
          <w:trHeight w:val="232"/>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14.4 %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23.7 %</w:t>
            </w:r>
          </w:p>
        </w:tc>
      </w:tr>
    </w:tbl>
    <w:p>
      <w:pPr>
        <w:spacing w:after="0" w:line="279" w:lineRule="exact"/>
        <w:rPr>
          <w:sz w:val="20"/>
          <w:szCs w:val="20"/>
          <w:color w:val="auto"/>
        </w:rPr>
      </w:pPr>
    </w:p>
    <w:p>
      <w:pPr>
        <w:ind w:left="660" w:hanging="652"/>
        <w:spacing w:after="0" w:line="271" w:lineRule="auto"/>
        <w:tabs>
          <w:tab w:leader="none" w:pos="34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200" w:lineRule="exact"/>
        <w:rPr>
          <w:sz w:val="20"/>
          <w:szCs w:val="20"/>
          <w:color w:val="auto"/>
        </w:rPr>
      </w:pPr>
    </w:p>
    <w:p>
      <w:pPr>
        <w:spacing w:after="0" w:line="3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pre-opening de novo and relocation costs were $0.1 million and $0.8 million, respectively. For the six months ended June 30, 2024 and 2023, pre-opening de novo and relocation costs were $0.2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reconciles Adjusted Net Income and Adjusted Net Income per Share to net (loss)/income, the most directly comparable GAAP financial measure: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4"/>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02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0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02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4,850</w:t>
            </w: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29"/>
        </w:trPr>
        <w:tc>
          <w:tcPr>
            <w:tcW w:w="50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502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D2EDF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D2EDF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3"/>
        </w:trPr>
        <w:tc>
          <w:tcPr>
            <w:tcW w:w="50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5,140</w:t>
            </w:r>
          </w:p>
        </w:tc>
        <w:tc>
          <w:tcPr>
            <w:tcW w:w="100" w:type="dxa"/>
            <w:vAlign w:val="bottom"/>
            <w:shd w:val="clear" w:color="auto" w:fill="D2EDFE"/>
          </w:tcPr>
          <w:p>
            <w:pPr>
              <w:spacing w:after="0"/>
              <w:rPr>
                <w:sz w:val="19"/>
                <w:szCs w:val="19"/>
                <w:color w:val="auto"/>
              </w:rPr>
            </w:pPr>
          </w:p>
        </w:tc>
        <w:tc>
          <w:tcPr>
            <w:tcW w:w="400" w:type="dxa"/>
            <w:vAlign w:val="bottom"/>
            <w:tcBorders>
              <w:bottom w:val="single" w:sz="8" w:color="auto"/>
            </w:tcBorders>
            <w:shd w:val="clear" w:color="auto" w:fill="D2EDFE"/>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7,643</w:t>
            </w:r>
          </w:p>
        </w:tc>
        <w:tc>
          <w:tcPr>
            <w:tcW w:w="100" w:type="dxa"/>
            <w:vAlign w:val="bottom"/>
            <w:shd w:val="clear" w:color="auto" w:fill="D2EDFE"/>
          </w:tcPr>
          <w:p>
            <w:pPr>
              <w:spacing w:after="0"/>
              <w:rPr>
                <w:sz w:val="19"/>
                <w:szCs w:val="19"/>
                <w:color w:val="auto"/>
              </w:rPr>
            </w:pP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7,020</w:t>
            </w:r>
          </w:p>
        </w:tc>
        <w:tc>
          <w:tcPr>
            <w:tcW w:w="100" w:type="dxa"/>
            <w:vAlign w:val="bottom"/>
            <w:shd w:val="clear" w:color="auto" w:fill="D2EDFE"/>
          </w:tcPr>
          <w:p>
            <w:pPr>
              <w:spacing w:after="0"/>
              <w:rPr>
                <w:sz w:val="19"/>
                <w:szCs w:val="19"/>
                <w:color w:val="auto"/>
              </w:rPr>
            </w:pPr>
          </w:p>
        </w:tc>
        <w:tc>
          <w:tcPr>
            <w:tcW w:w="560" w:type="dxa"/>
            <w:vAlign w:val="bottom"/>
            <w:tcBorders>
              <w:bottom w:val="single" w:sz="8" w:color="auto"/>
            </w:tcBorders>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8,387</w:t>
            </w:r>
          </w:p>
        </w:tc>
      </w:tr>
      <w:tr>
        <w:trPr>
          <w:trHeight w:val="250"/>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0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per share of common stock </w:t>
            </w:r>
            <w:r>
              <w:rPr>
                <w:rFonts w:ascii="Times New Roman" w:cs="Times New Roman" w:eastAsia="Times New Roman" w:hAnsi="Times New Roman"/>
                <w:sz w:val="23"/>
                <w:szCs w:val="23"/>
                <w:color w:val="auto"/>
                <w:vertAlign w:val="superscript"/>
              </w:rPr>
              <w:t>(2)</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400" w:type="dxa"/>
            <w:vAlign w:val="bottom"/>
            <w:shd w:val="clear" w:color="auto" w:fill="D2EDFE"/>
          </w:tcPr>
          <w:p>
            <w:pPr>
              <w:spacing w:after="0"/>
              <w:rPr>
                <w:sz w:val="23"/>
                <w:szCs w:val="23"/>
                <w:color w:val="auto"/>
              </w:rPr>
            </w:pPr>
          </w:p>
        </w:tc>
        <w:tc>
          <w:tcPr>
            <w:tcW w:w="108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560" w:type="dxa"/>
            <w:vAlign w:val="bottom"/>
            <w:shd w:val="clear" w:color="auto" w:fill="D2EDFE"/>
          </w:tcPr>
          <w:p>
            <w:pPr>
              <w:spacing w:after="0"/>
              <w:rPr>
                <w:sz w:val="23"/>
                <w:szCs w:val="23"/>
                <w:color w:val="auto"/>
              </w:rPr>
            </w:pPr>
          </w:p>
        </w:tc>
        <w:tc>
          <w:tcPr>
            <w:tcW w:w="920" w:type="dxa"/>
            <w:vAlign w:val="bottom"/>
            <w:shd w:val="clear" w:color="auto" w:fill="D2EDFE"/>
          </w:tcPr>
          <w:p>
            <w:pPr>
              <w:spacing w:after="0"/>
              <w:rPr>
                <w:sz w:val="23"/>
                <w:szCs w:val="23"/>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7"/>
        </w:trPr>
        <w:tc>
          <w:tcPr>
            <w:tcW w:w="502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D2EDFE"/>
          </w:tcPr>
          <w:p>
            <w:pPr>
              <w:spacing w:after="0"/>
              <w:rPr>
                <w:sz w:val="24"/>
                <w:szCs w:val="24"/>
                <w:color w:val="auto"/>
              </w:rPr>
            </w:pPr>
          </w:p>
        </w:tc>
        <w:tc>
          <w:tcPr>
            <w:tcW w:w="400" w:type="dxa"/>
            <w:vAlign w:val="bottom"/>
            <w:shd w:val="clear" w:color="auto" w:fill="D2EDFE"/>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D2EDFE"/>
          </w:tcPr>
          <w:p>
            <w:pPr>
              <w:spacing w:after="0"/>
              <w:rPr>
                <w:sz w:val="24"/>
                <w:szCs w:val="24"/>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D2EDFE"/>
          </w:tcPr>
          <w:p>
            <w:pPr>
              <w:spacing w:after="0"/>
              <w:rPr>
                <w:sz w:val="24"/>
                <w:szCs w:val="24"/>
                <w:color w:val="auto"/>
              </w:rPr>
            </w:pPr>
          </w:p>
        </w:tc>
        <w:tc>
          <w:tcPr>
            <w:tcW w:w="560" w:type="dxa"/>
            <w:vAlign w:val="bottom"/>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2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100" w:type="dxa"/>
            <w:vAlign w:val="bottom"/>
            <w:shd w:val="clear" w:color="auto" w:fill="D2EDFE"/>
          </w:tcPr>
          <w:p>
            <w:pPr>
              <w:spacing w:after="0"/>
              <w:rPr>
                <w:sz w:val="23"/>
                <w:szCs w:val="23"/>
                <w:color w:val="auto"/>
              </w:rPr>
            </w:pPr>
          </w:p>
        </w:tc>
        <w:tc>
          <w:tcPr>
            <w:tcW w:w="400" w:type="dxa"/>
            <w:vAlign w:val="bottom"/>
            <w:shd w:val="clear" w:color="auto" w:fill="D2EDFE"/>
          </w:tcPr>
          <w:p>
            <w:pPr>
              <w:spacing w:after="0"/>
              <w:rPr>
                <w:sz w:val="23"/>
                <w:szCs w:val="23"/>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56,753,498</w:t>
            </w: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57,489,466</w:t>
            </w:r>
          </w:p>
        </w:tc>
        <w:tc>
          <w:tcPr>
            <w:tcW w:w="100" w:type="dxa"/>
            <w:vAlign w:val="bottom"/>
            <w:shd w:val="clear" w:color="auto" w:fill="D2EDFE"/>
          </w:tcPr>
          <w:p>
            <w:pPr>
              <w:spacing w:after="0"/>
              <w:rPr>
                <w:sz w:val="23"/>
                <w:szCs w:val="23"/>
                <w:color w:val="auto"/>
              </w:rPr>
            </w:pPr>
          </w:p>
        </w:tc>
        <w:tc>
          <w:tcPr>
            <w:tcW w:w="560" w:type="dxa"/>
            <w:vAlign w:val="bottom"/>
            <w:shd w:val="clear" w:color="auto" w:fill="D2EDFE"/>
          </w:tcPr>
          <w:p>
            <w:pPr>
              <w:spacing w:after="0"/>
              <w:rPr>
                <w:sz w:val="23"/>
                <w:szCs w:val="23"/>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56,599,291</w:t>
            </w:r>
          </w:p>
        </w:tc>
      </w:tr>
      <w:tr>
        <w:trPr>
          <w:trHeight w:val="257"/>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57,990,621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58,511,766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58,066,133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58,095,736</w:t>
            </w:r>
          </w:p>
        </w:tc>
      </w:tr>
    </w:tbl>
    <w:p>
      <w:pPr>
        <w:spacing w:after="0" w:line="301" w:lineRule="exact"/>
        <w:rPr>
          <w:sz w:val="20"/>
          <w:szCs w:val="20"/>
          <w:color w:val="auto"/>
        </w:rPr>
      </w:pPr>
    </w:p>
    <w:p>
      <w:pPr>
        <w:ind w:left="660" w:hanging="652"/>
        <w:spacing w:after="0" w:line="281" w:lineRule="auto"/>
        <w:tabs>
          <w:tab w:leader="none" w:pos="34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77" w:lineRule="exact"/>
        <w:rPr>
          <w:rFonts w:ascii="Times New Roman" w:cs="Times New Roman" w:eastAsia="Times New Roman" w:hAnsi="Times New Roman"/>
          <w:sz w:val="14"/>
          <w:szCs w:val="14"/>
          <w:color w:val="auto"/>
        </w:rPr>
      </w:pPr>
    </w:p>
    <w:p>
      <w:pPr>
        <w:ind w:left="660" w:hanging="652"/>
        <w:spacing w:after="0" w:line="282" w:lineRule="auto"/>
        <w:tabs>
          <w:tab w:leader="none" w:pos="32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is generated from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policy is to require full payment for services in advance of performing a procedure. Payments received for which services have yet to been performed for all reported periods are included in deferred revenue and patient deposits on our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(excluding depreciation and amortization)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our physicians and clinical staff, medical supply costs, and facility-related rent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consists of marketing and advertising expenses we incur to market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to potential patients and general and administrative costs, including rent for our corporate offices.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Expenses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Our advertising costs include both national and site-based advertising used to generate greater awareness and engagement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spacing w:after="0" w:line="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generally expect our selling expenses to increase as we continue to grow our brand and expand our national footprint. We evaluate our selling expense as compared to growth in our sales volume and will invest accordingly to the extent we believe we can increase our growth without materially negatively impacting our Adjusted EBITDA Margins.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We expect our general and administrative expenses to increase over time due to the additional legal, accounting, insurance, investor relations and other costs that we will continue to incur as a public company. We also expect increases from other costs associated with continuing to grow our business. As we continue to expand the number of centers and procedures rooms, we anticipate general and administrative expenses to decrease as a percentage of revenue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costs on our outstanding borrowings under our debt.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9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7"/>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jc w:val="right"/>
              <w:ind w:right="575"/>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88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D2EDF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51,004</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55,703</w:t>
            </w:r>
          </w:p>
        </w:tc>
        <w:tc>
          <w:tcPr>
            <w:tcW w:w="4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long-lived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8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55,985</w:t>
            </w:r>
          </w:p>
        </w:tc>
        <w:tc>
          <w:tcPr>
            <w:tcW w:w="2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109.8 %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50,341</w:t>
            </w:r>
          </w:p>
        </w:tc>
        <w:tc>
          <w:tcPr>
            <w:tcW w:w="40" w:type="dxa"/>
            <w:vAlign w:val="bottom"/>
            <w:tcBorders>
              <w:top w:val="single" w:sz="8" w:color="auto"/>
              <w:bottom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90.4 %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Pre-tax net (loss)/income</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8"/>
        <w:spacing w:after="0" w:line="263" w:lineRule="auto"/>
        <w:tabs>
          <w:tab w:leader="none" w:pos="147"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35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Our financial results for the three months ended June 30, 2024 compared to the three months ended June 30, 2023 reflect the addition of two 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novo centers which increased our procedure rooms by four.</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decreased $4.7 million, or 8.4%, compared to the same period in 2023. The decrease is primarily attributed to weaker than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across the broader aesthetics and high-end retail industries.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services decreased $1.1 million, or 5.6%, compared to the same period in 2023. The percentage decrease in cost of service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the decrease in cases over the same period. Cost of service was 36.9% and 35.8% as a percentage of revenue for the three months ended June 30, 2024 and 2023, respectively.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increased $6.4 million, or 22.9%,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compared to the same period in 2023. This increase is related to the additional expenses we incurred for marketing and corporate support as we grow our center count through de novo expansion and providing support for our centers. We expect our marketing and corporate support costs to continue to increase on an absolute dollar basis as we open de novo centers. Additionally, we incurred $3.7 million in severance costs in the three months ended June 30, 2024. Selling, general and administrative expenses as a percent of revenue was at 67.2% and 50.1% for the three months ended June 30, 2024 and 2023, respectively.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$13.1 million and $9.4 million for the three months ended June 30, 2024 and 2023, respectively. Our customer acquisition costs were approximately $3,325 and $2,250 per customer in the three months ended June 30, 2024 and 2023, respectively. We intend to continue investing in our sales and marketing capabilities as we add new centers. Additionally, selling expenses as a percentage of revenue may fluctuate from quarter to quarter based on the timing and scope of our initiatives and the related impact to our revenue.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$21.1 million and $18.5 million for the three months ended June 30, 2024 and 2023, respectively. This increase is related to the $3.7 million in severance costs incurred in the three months ended June 30, 2024.</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$2.9 million for the three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$2.5 million for the same period in 2023. This increase is the result of having two additional de novo centers during the three months ended June 30, 2024 as compared to the 2023 period.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was $1.5 million and $1.9 million for the three months ended June 30, 2024 and 2023, respectively. The decrease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voluntary prepayment of $10.0 million of the principal balance of the term loans under the Credit Agreement on September 29, 2023.</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is 50.6% and 48.8% for the three months ended June 30, 2024 and 2023, respectively. The main driver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effective and statutory rate is non-deductible executive compensation under Section 162(m) of the Internal Revenue Code.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88"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35"/>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0" w:type="dxa"/>
            <w:vAlign w:val="bottom"/>
          </w:tcPr>
          <w:p>
            <w:pPr>
              <w:spacing w:after="0"/>
              <w:rPr>
                <w:sz w:val="11"/>
                <w:szCs w:val="11"/>
                <w:color w:val="auto"/>
              </w:rPr>
            </w:pPr>
          </w:p>
        </w:tc>
        <w:tc>
          <w:tcPr>
            <w:tcW w:w="7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35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662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98,624</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101,516</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130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37,969</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r>
        <w:trPr>
          <w:trHeight w:val="229"/>
        </w:trPr>
        <w:tc>
          <w:tcPr>
            <w:tcW w:w="66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260" w:type="dxa"/>
            <w:vAlign w:val="bottom"/>
            <w:gridSpan w:val="2"/>
            <w:shd w:val="clear" w:color="auto" w:fill="D2EDFE"/>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0"/>
        </w:trPr>
        <w:tc>
          <w:tcPr>
            <w:tcW w:w="66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260" w:type="dxa"/>
            <w:vAlign w:val="bottom"/>
            <w:gridSpan w:val="2"/>
            <w:shd w:val="clear" w:color="auto" w:fill="D2EDFE"/>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92,593</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D2EDFE"/>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93.9 %</w:t>
            </w:r>
          </w:p>
        </w:tc>
        <w:tc>
          <w:tcPr>
            <w:tcW w:w="100" w:type="dxa"/>
            <w:vAlign w:val="bottom"/>
            <w:tcBorders>
              <w:bottom w:val="single" w:sz="8" w:color="D2EDF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D2EDFE"/>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0" w:type="dxa"/>
            <w:vAlign w:val="bottom"/>
          </w:tcPr>
          <w:p>
            <w:pPr>
              <w:spacing w:after="0"/>
              <w:rPr>
                <w:sz w:val="1"/>
                <w:szCs w:val="1"/>
                <w:color w:val="auto"/>
              </w:rPr>
            </w:pPr>
          </w:p>
        </w:tc>
      </w:tr>
      <w:tr>
        <w:trPr>
          <w:trHeight w:val="223"/>
        </w:trPr>
        <w:tc>
          <w:tcPr>
            <w:tcW w:w="66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3"/>
        </w:trPr>
        <w:tc>
          <w:tcPr>
            <w:tcW w:w="662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Pre-tax net income</w:t>
            </w:r>
          </w:p>
        </w:tc>
        <w:tc>
          <w:tcPr>
            <w:tcW w:w="180" w:type="dxa"/>
            <w:vAlign w:val="bottom"/>
            <w:tcBorders>
              <w:top w:val="single" w:sz="8" w:color="auto"/>
            </w:tcBorders>
            <w:shd w:val="clear" w:color="auto" w:fill="D2EDFE"/>
          </w:tcPr>
          <w:p>
            <w:pPr>
              <w:spacing w:after="0"/>
              <w:rPr>
                <w:sz w:val="19"/>
                <w:szCs w:val="19"/>
                <w:color w:val="auto"/>
              </w:rPr>
            </w:pPr>
          </w:p>
        </w:tc>
        <w:tc>
          <w:tcPr>
            <w:tcW w:w="7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spacing w:after="0"/>
              <w:rPr>
                <w:sz w:val="19"/>
                <w:szCs w:val="19"/>
                <w:color w:val="auto"/>
              </w:rPr>
            </w:pPr>
          </w:p>
        </w:tc>
        <w:tc>
          <w:tcPr>
            <w:tcW w:w="8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8"/>
        </w:trPr>
        <w:tc>
          <w:tcPr>
            <w:tcW w:w="6620" w:type="dxa"/>
            <w:vAlign w:val="bottom"/>
            <w:tcBorders>
              <w:top w:val="single" w:sz="8" w:color="D2EDFE"/>
              <w:bottom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60" w:type="dxa"/>
            <w:vAlign w:val="bottom"/>
            <w:tcBorders>
              <w:top w:val="single" w:sz="8" w:color="auto"/>
              <w:bottom w:val="single" w:sz="8" w:color="auto"/>
            </w:tcBorders>
            <w:shd w:val="clear" w:color="auto" w:fill="D2EDFE"/>
          </w:tcPr>
          <w:p>
            <w:pPr>
              <w:spacing w:after="0"/>
              <w:rPr>
                <w:sz w:val="21"/>
                <w:szCs w:val="21"/>
                <w:color w:val="auto"/>
              </w:rPr>
            </w:pPr>
          </w:p>
        </w:tc>
        <w:tc>
          <w:tcPr>
            <w:tcW w:w="80" w:type="dxa"/>
            <w:vAlign w:val="bottom"/>
            <w:tcBorders>
              <w:top w:val="single" w:sz="8" w:color="D2EDFE"/>
              <w:bottom w:val="single" w:sz="8" w:color="D2EDFE"/>
            </w:tcBorders>
            <w:shd w:val="clear" w:color="auto" w:fill="D2EDFE"/>
          </w:tcPr>
          <w:p>
            <w:pPr>
              <w:spacing w:after="0"/>
              <w:rPr>
                <w:sz w:val="21"/>
                <w:szCs w:val="21"/>
                <w:color w:val="auto"/>
              </w:rPr>
            </w:pPr>
          </w:p>
        </w:tc>
        <w:tc>
          <w:tcPr>
            <w:tcW w:w="116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top w:val="single" w:sz="8" w:color="D2EDFE"/>
              <w:bottom w:val="single" w:sz="8" w:color="D2EDFE"/>
            </w:tcBorders>
            <w:shd w:val="clear" w:color="auto" w:fill="D2EDFE"/>
          </w:tcPr>
          <w:p>
            <w:pPr>
              <w:spacing w:after="0"/>
              <w:rPr>
                <w:sz w:val="21"/>
                <w:szCs w:val="21"/>
                <w:color w:val="auto"/>
              </w:rPr>
            </w:pPr>
          </w:p>
        </w:tc>
        <w:tc>
          <w:tcPr>
            <w:tcW w:w="1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0" w:type="dxa"/>
            <w:vAlign w:val="bottom"/>
            <w:tcBorders>
              <w:top w:val="single" w:sz="8" w:color="auto"/>
              <w:bottom w:val="single" w:sz="8" w:color="auto"/>
            </w:tcBorders>
            <w:shd w:val="clear" w:color="auto" w:fill="D2EDFE"/>
          </w:tcPr>
          <w:p>
            <w:pPr>
              <w:spacing w:after="0"/>
              <w:rPr>
                <w:sz w:val="21"/>
                <w:szCs w:val="21"/>
                <w:color w:val="auto"/>
              </w:rPr>
            </w:pPr>
          </w:p>
        </w:tc>
        <w:tc>
          <w:tcPr>
            <w:tcW w:w="100" w:type="dxa"/>
            <w:vAlign w:val="bottom"/>
            <w:tcBorders>
              <w:top w:val="single" w:sz="8" w:color="D2EDFE"/>
              <w:bottom w:val="single" w:sz="8" w:color="D2EDFE"/>
            </w:tcBorders>
            <w:shd w:val="clear" w:color="auto" w:fill="D2EDFE"/>
          </w:tcPr>
          <w:p>
            <w:pPr>
              <w:spacing w:after="0"/>
              <w:rPr>
                <w:sz w:val="21"/>
                <w:szCs w:val="21"/>
                <w:color w:val="auto"/>
              </w:rPr>
            </w:pPr>
          </w:p>
        </w:tc>
        <w:tc>
          <w:tcPr>
            <w:tcW w:w="116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662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780" w:type="dxa"/>
            <w:vAlign w:val="bottom"/>
            <w:tcBorders>
              <w:top w:val="single" w:sz="8" w:color="D2EDFE"/>
              <w:bottom w:val="single" w:sz="8" w:color="auto"/>
            </w:tcBorders>
          </w:tcPr>
          <w:p>
            <w:pPr>
              <w:spacing w:after="0" w:line="20" w:lineRule="exact"/>
              <w:rPr>
                <w:sz w:val="1"/>
                <w:szCs w:val="1"/>
                <w:color w:val="auto"/>
              </w:rPr>
            </w:pPr>
          </w:p>
        </w:tc>
        <w:tc>
          <w:tcPr>
            <w:tcW w:w="6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116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800" w:type="dxa"/>
            <w:vAlign w:val="bottom"/>
            <w:tcBorders>
              <w:top w:val="single" w:sz="8" w:color="D2EDFE"/>
              <w:bottom w:val="single" w:sz="8" w:color="auto"/>
            </w:tcBorders>
          </w:tcPr>
          <w:p>
            <w:pPr>
              <w:spacing w:after="0" w:line="20" w:lineRule="exact"/>
              <w:rPr>
                <w:sz w:val="1"/>
                <w:szCs w:val="1"/>
                <w:color w:val="auto"/>
              </w:rPr>
            </w:pPr>
          </w:p>
        </w:tc>
        <w:tc>
          <w:tcPr>
            <w:tcW w:w="2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16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Our financial results for the six months ended June 30, 2024 compared to the six months ended June 30, 2023 reflect the addition of two 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novo centers which increased procedure rooms by four.</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decreased $2.9 million, or 2.8%, compared to the same period in 2023. The decrease is primarily attributed to weaker than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across the broader aesthetic and high-end retail industries.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 decreased $1.1 million, or 2.9%, compared to the six months ended June 30, 2023. This decrease is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decrease in revenue over the same period.</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decreased $1.7 million, or 3.4%,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compared to the same period in 2023. This decrease is related to a decrease in our equity-based compensation expense (see Note 6 to the condensed consolidated financial statements included in this Quarterly Report on Form 10-Q for further discussion) partially offset by additional expenses we incurred for marketing and corporate support as we grow our center count through de novo expansion and providing support for our centers. We expect our marketing and corporate support costs to continue to increase on an absolute dollar basis as we open de novo centers. Selling, general and administrative expenses as a percent of revenue were 50.7% and 51.0% for the six months ended June 30, 2024 and 2023, respectively.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$24.3 million and $18.0 million for the six months ended June 30, 2024 and 2023, respectively. Our customer acquisition costs were approximately $3,165 and $2,300 per customer in the six months ended June 30, 2024 and 2023, respectively. We intend to continue investing in our sales and marketing capabilities as we add new centers. Additionally, selling expenses as a percentage of revenue may fluctuate from quarter to quarter based on the timing and scope of our initiatives and the related impact to our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$25.7 million and $33.8 million for the six months ended June 30, 2024 and 2023, respectively. This reduction is due to a decrease in equity-based compensation (see Note 6 to the condensed consolidated financial statements included in this Quarterly Report on Form 10-Q for further discussion).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$5.7 million for the six months ended June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$4.9 million for the same period in 2023. This increase is the result of having two additional de novo centers during the six months ended June 30, 2024 as compared to the 2023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decreased to $3.0 million from $3.6 million for the six months ended June 30, 2024 and 2023,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due to the lower principal balance resulting from the Company's voluntary $10 million prepayment made in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is 5.4% and 49.6% for the six months ended June 30, 2024 and 2023, respectively. The main driver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effective and statutory rate is non-deductible executive compensation under Section 162(m) of the Internal Revenue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and payments due under our existing credit facilities for at least the next 12 months.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trends in our business, including declining revenues and increased advertising costs, could make it difficult for us to meet certain financial covenants—particularly relating to leverage ratios—contained in the Credit Agreement (as defined below). Although we are in compliance with these covenants as of June 30, 2024, and expect to remain in compliance going forward, if trends in revenue continue to deteriorate, we believe that at some point in next twelve months we may be at risk of violating certain financial covenants. If we were to violate these covenants and were unable to obtain waivers of such violations or otherwise arrange for modified financial covenants with our lender syndicate, our business and results of operations could be materially and adversely affected. We will continue to monitor our compliance with all of our financial covenants and, if we feel that we are likely to violate any such covenant, we will seek to obtain the necessary relief.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we had $9.9 million in cash and cash equivalents and an available amount of $5.0 million under our revolving credit facility. We do not have any letters of credit outstanding as of June 30, 2024.</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2023, we had $10.3 million in cash and cash equivalents and an available amount of $5.0 million under our revolving credit facility. We did not have any letters of credit outstanding as of June 30,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provided by (used for) operating activities, investing activities and financing activities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4"/>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81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560" w:type="dxa"/>
            <w:vAlign w:val="bottom"/>
            <w:shd w:val="clear" w:color="auto" w:fill="D2EDFE"/>
          </w:tcPr>
          <w:p>
            <w:pPr>
              <w:spacing w:after="0"/>
              <w:rPr>
                <w:sz w:val="18"/>
                <w:szCs w:val="18"/>
                <w:color w:val="auto"/>
              </w:rPr>
            </w:pPr>
          </w:p>
        </w:tc>
        <w:tc>
          <w:tcPr>
            <w:tcW w:w="920" w:type="dxa"/>
            <w:vAlign w:val="bottom"/>
            <w:shd w:val="clear" w:color="auto" w:fill="D2EDFE"/>
          </w:tcPr>
          <w:p>
            <w:pPr>
              <w:spacing w:after="0"/>
              <w:rPr>
                <w:sz w:val="18"/>
                <w:szCs w:val="18"/>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18,455</w:t>
            </w:r>
          </w:p>
        </w:tc>
      </w:tr>
      <w:tr>
        <w:trPr>
          <w:trHeight w:val="230"/>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2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(5,976)</w:t>
            </w: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(1,316)</w:t>
            </w:r>
          </w:p>
        </w:tc>
      </w:tr>
      <w:tr>
        <w:trPr>
          <w:trHeight w:val="229"/>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11,163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source of our operating cash flow is the collection of patient payments received prior to performing surgical procedures. For the six months ended June 30, 2024, our operating cash flow decreased by $11.6 million compared to the same period in 2023. The decrease is primarily attributed to weaker than expected revenue performance and an increase in our marketing investments during the six months ended June 30, 2024 as compared to the prior year period. At June 30, 2024, we had working capital of $(3.4) million compared to $(4.4) million at December 31, 2023.</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and 2023 was $5.6 million and $6.0 million, respectively. Investing activities during both periods were attributable to the relocation of multiple existing facilities and the preparation for the opening of de novo locations.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2024 was $1.6 million. During the six months ended June 30, 2024, we made principal payments on our debt of $1.1 million and made payments of taxes withheld through vested equity-based compensation of $0.4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2023 was $1.3 million. For the six months ended June 30, 2023, we paid cash dividends to shareholders of $0.2 million and made principal payments on our debt of $1.1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our total indebtedness was $70.7 million and $71.6 million, which includes unamortized deferred financing costs and issuance discount of $1.1 million and $1.2 million, as of June 30, 2024 and December 31, 2023,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June 30, 2024, the interest rate was 7.83%.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summary of significant accounting policies is disclosed in our Annual Report on Form 10-K dated February 27, 2024 filed with the SEC pursuant to Section 13 or 15d of the Exchange Act, as amended (the "Exchange Act")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from our Annual Report on Form 10-K dated February 27,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June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2023 dated February 27, 2024 and filed with the SEC pursuant to Section 13 or 15(d) of the Exchange 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none of our directors or officers have adopted or terminated any "Rule 10b5-1 trading arrangement" or "non-Rule 10b5-1 trading arrangement" (each as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57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900" w:h="16838" w:orient="portrait"/>
          <w:cols w:equalWidth="0" w:num="2">
            <w:col w:w="1240" w:space="180"/>
            <w:col w:w="9820"/>
          </w:cols>
          <w:pgMar w:left="320" w:top="513" w:right="3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17"/>
                <w:szCs w:val="17"/>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00" w:type="dxa"/>
            <w:vAlign w:val="bottom"/>
            <w:tcBorders>
              <w:top w:val="single" w:sz="8" w:color="auto"/>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2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59"/>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920" w:type="dxa"/>
            <w:vAlign w:val="bottom"/>
          </w:tcPr>
          <w:p>
            <w:pPr>
              <w:spacing w:after="0"/>
              <w:rPr>
                <w:sz w:val="20"/>
                <w:szCs w:val="20"/>
                <w:color w:val="auto"/>
              </w:rPr>
            </w:pP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101.CAL*</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101.LAB*</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6"/>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104*</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ind w:left="660" w:hanging="652"/>
        <w:spacing w:after="0" w:line="253" w:lineRule="auto"/>
        <w:tabs>
          <w:tab w:leader="none" w:pos="4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 except to the extent that the registrant specifically incorporates them by reference.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Dean</w:t>
            </w:r>
          </w:p>
        </w:tc>
      </w:tr>
      <w:tr>
        <w:trPr>
          <w:trHeight w:val="218"/>
        </w:trPr>
        <w:tc>
          <w:tcPr>
            <w:tcW w:w="23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Dennis Dean</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5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5940" w:type="dxa"/>
            <w:vAlign w:val="bottom"/>
          </w:tcPr>
          <w:p>
            <w:pPr>
              <w:spacing w:after="0"/>
              <w:rPr>
                <w:sz w:val="24"/>
                <w:szCs w:val="24"/>
                <w:color w:val="auto"/>
              </w:rPr>
            </w:pPr>
          </w:p>
        </w:tc>
      </w:tr>
      <w:tr>
        <w:trPr>
          <w:trHeight w:val="823"/>
        </w:trPr>
        <w:tc>
          <w:tcPr>
            <w:tcW w:w="2320" w:type="dxa"/>
            <w:vAlign w:val="bottom"/>
          </w:tcPr>
          <w:p>
            <w:pPr>
              <w:spacing w:after="0"/>
              <w:rPr>
                <w:sz w:val="24"/>
                <w:szCs w:val="24"/>
                <w:color w:val="auto"/>
              </w:rPr>
            </w:pPr>
          </w:p>
        </w:tc>
        <w:tc>
          <w:tcPr>
            <w:tcW w:w="594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240"/>
          </w:cols>
          <w:pgMar w:left="320" w:top="51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Todd Magazine,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646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tc>
      </w:tr>
      <w:tr>
        <w:trPr>
          <w:trHeight w:val="37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646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By:  /s/ Dennis Dean</w:t>
            </w:r>
          </w:p>
        </w:tc>
      </w:tr>
      <w:tr>
        <w:trPr>
          <w:trHeight w:val="218"/>
        </w:trPr>
        <w:tc>
          <w:tcPr>
            <w:tcW w:w="4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Dennis Dean</w:t>
            </w:r>
          </w:p>
        </w:tc>
      </w:tr>
      <w:tr>
        <w:trPr>
          <w:trHeight w:val="234"/>
        </w:trPr>
        <w:tc>
          <w:tcPr>
            <w:tcW w:w="40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ectPr>
          <w:pgSz w:w="11900" w:h="16838" w:orient="portrait"/>
          <w:cols w:equalWidth="0" w:num="1">
            <w:col w:w="11240"/>
          </w:cols>
          <w:pgMar w:left="320" w:top="114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Dean,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June 30, 2024,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59" w:lineRule="exact"/>
        <w:rPr>
          <w:sz w:val="20"/>
          <w:szCs w:val="20"/>
          <w:color w:val="auto"/>
        </w:rPr>
      </w:pPr>
    </w:p>
    <w:p>
      <w:pPr>
        <w:ind w:left="360"/>
        <w:spacing w:after="0"/>
        <w:tabs>
          <w:tab w:leader="none" w:pos="6940" w:val="left"/>
          <w:tab w:leader="none" w:pos="748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240"/>
          </w:cols>
          <w:pgMar w:left="320" w:top="114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June 30, 2024,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718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83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Dennis Dean</w:t>
      </w:r>
    </w:p>
    <w:p>
      <w:pPr>
        <w:spacing w:after="0" w:line="23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2024-08-09T13:44:12Z</dcterms:created>
  <dcterms:modified xsi:type="dcterms:W3CDTF">2024-08-09T13:44:12Z</dcterms:modified>
</cp:coreProperties>
</file>