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771525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25"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the fiscal year ended December 31, 2022</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107" w:lineRule="exact"/>
        <w:rPr>
          <w:sz w:val="24"/>
          <w:szCs w:val="24"/>
          <w:color w:val="auto"/>
        </w:rPr>
      </w:pPr>
    </w:p>
    <w:p>
      <w:pPr>
        <w:ind w:left="3620" w:right="2800" w:hanging="3612"/>
        <w:spacing w:after="0" w:line="396" w:lineRule="auto"/>
        <w:tabs>
          <w:tab w:leader="none" w:pos="198"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 to __________.</w:t>
      </w:r>
    </w:p>
    <w:p>
      <w:pPr>
        <w:ind w:left="43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001-40973</w:t>
      </w:r>
    </w:p>
    <w:p>
      <w:pPr>
        <w:spacing w:after="0" w:line="102" w:lineRule="exact"/>
        <w:rPr>
          <w:sz w:val="24"/>
          <w:szCs w:val="24"/>
          <w:color w:val="auto"/>
        </w:rPr>
      </w:pPr>
    </w:p>
    <w:tbl>
      <w:tblPr>
        <w:tblLayout w:type="fixed"/>
        <w:tblInd w:w="1500" w:type="dxa"/>
        <w:tblCellMar>
          <w:top w:w="0" w:type="dxa"/>
          <w:left w:w="0" w:type="dxa"/>
          <w:bottom w:w="0" w:type="dxa"/>
          <w:right w:w="0" w:type="dxa"/>
        </w:tblCellMar>
      </w:tblPr>
      <w:tr>
        <w:trPr>
          <w:trHeight w:val="242"/>
        </w:trPr>
        <w:tc>
          <w:tcPr>
            <w:tcW w:w="6080" w:type="dxa"/>
            <w:vAlign w:val="bottom"/>
          </w:tcPr>
          <w:p>
            <w:pPr>
              <w:jc w:val="center"/>
              <w:ind w:left="2097"/>
              <w:spacing w:after="0"/>
              <w:rPr>
                <w:sz w:val="20"/>
                <w:szCs w:val="20"/>
                <w:color w:val="auto"/>
              </w:rPr>
            </w:pPr>
            <w:r>
              <w:rPr>
                <w:rFonts w:ascii="Times New Roman" w:cs="Times New Roman" w:eastAsia="Times New Roman" w:hAnsi="Times New Roman"/>
                <w:sz w:val="20"/>
                <w:szCs w:val="20"/>
                <w:b w:val="1"/>
                <w:bCs w:val="1"/>
                <w:color w:val="auto"/>
                <w:w w:val="98"/>
              </w:rPr>
              <w:t>AirSculpt Technologies, Inc.</w:t>
            </w:r>
          </w:p>
        </w:tc>
        <w:tc>
          <w:tcPr>
            <w:tcW w:w="1480" w:type="dxa"/>
            <w:vAlign w:val="bottom"/>
          </w:tcPr>
          <w:p>
            <w:pPr>
              <w:spacing w:after="0"/>
              <w:rPr>
                <w:sz w:val="21"/>
                <w:szCs w:val="21"/>
                <w:color w:val="auto"/>
              </w:rPr>
            </w:pPr>
          </w:p>
        </w:tc>
      </w:tr>
      <w:tr>
        <w:trPr>
          <w:trHeight w:val="210"/>
        </w:trPr>
        <w:tc>
          <w:tcPr>
            <w:tcW w:w="6080" w:type="dxa"/>
            <w:vAlign w:val="bottom"/>
          </w:tcPr>
          <w:p>
            <w:pPr>
              <w:jc w:val="center"/>
              <w:ind w:left="2097"/>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1480" w:type="dxa"/>
            <w:vAlign w:val="bottom"/>
          </w:tcPr>
          <w:p>
            <w:pPr>
              <w:spacing w:after="0"/>
              <w:rPr>
                <w:sz w:val="18"/>
                <w:szCs w:val="18"/>
                <w:color w:val="auto"/>
              </w:rPr>
            </w:pPr>
          </w:p>
        </w:tc>
      </w:tr>
      <w:tr>
        <w:trPr>
          <w:trHeight w:val="351"/>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87-1471855</w:t>
            </w:r>
          </w:p>
        </w:tc>
      </w:tr>
      <w:tr>
        <w:trPr>
          <w:trHeight w:val="235"/>
        </w:trPr>
        <w:tc>
          <w:tcPr>
            <w:tcW w:w="6080" w:type="dxa"/>
            <w:vAlign w:val="bottom"/>
          </w:tcPr>
          <w:p>
            <w:pPr>
              <w:jc w:val="center"/>
              <w:ind w:right="3437"/>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86"/>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w w:val="99"/>
              </w:rPr>
              <w:t>1111 Lincoln Road, Suite 802</w:t>
            </w:r>
          </w:p>
        </w:tc>
        <w:tc>
          <w:tcPr>
            <w:tcW w:w="1480" w:type="dxa"/>
            <w:vAlign w:val="bottom"/>
          </w:tcPr>
          <w:p>
            <w:pPr>
              <w:spacing w:after="0"/>
              <w:rPr>
                <w:sz w:val="24"/>
                <w:szCs w:val="24"/>
                <w:color w:val="auto"/>
              </w:rPr>
            </w:pPr>
          </w:p>
        </w:tc>
      </w:tr>
      <w:tr>
        <w:trPr>
          <w:trHeight w:val="243"/>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b w:val="1"/>
                <w:bCs w:val="1"/>
                <w:color w:val="auto"/>
              </w:rPr>
              <w:t>Miami Beach, FL</w:t>
            </w:r>
          </w:p>
        </w:tc>
        <w:tc>
          <w:tcPr>
            <w:tcW w:w="14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33139</w:t>
            </w:r>
          </w:p>
        </w:tc>
      </w:tr>
      <w:tr>
        <w:trPr>
          <w:trHeight w:val="243"/>
        </w:trPr>
        <w:tc>
          <w:tcPr>
            <w:tcW w:w="6080" w:type="dxa"/>
            <w:vAlign w:val="bottom"/>
          </w:tcPr>
          <w:p>
            <w:pPr>
              <w:jc w:val="center"/>
              <w:ind w:right="3417"/>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48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(786) 709-9690</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303"/>
        </w:trPr>
        <w:tc>
          <w:tcPr>
            <w:tcW w:w="156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8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30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57"/>
        </w:trPr>
        <w:tc>
          <w:tcPr>
            <w:tcW w:w="496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AIRS</w:t>
            </w:r>
          </w:p>
        </w:tc>
        <w:tc>
          <w:tcPr>
            <w:tcW w:w="130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r>
        <w:trPr>
          <w:trHeight w:val="324"/>
        </w:trPr>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r>
    </w:tbl>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 Yes o No x</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 Yes o No x</w:t>
      </w:r>
    </w:p>
    <w:p>
      <w:pPr>
        <w:spacing w:after="0" w:line="127"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3"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140" w:type="dxa"/>
        <w:tblCellMar>
          <w:top w:w="0" w:type="dxa"/>
          <w:left w:w="0" w:type="dxa"/>
          <w:bottom w:w="0" w:type="dxa"/>
          <w:right w:w="0" w:type="dxa"/>
        </w:tblCellMar>
      </w:tblPr>
      <w:tr>
        <w:trPr>
          <w:trHeight w:val="210"/>
        </w:trPr>
        <w:tc>
          <w:tcPr>
            <w:tcW w:w="16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740" w:type="dxa"/>
            <w:vAlign w:val="bottom"/>
          </w:tcPr>
          <w:p>
            <w:pPr>
              <w:ind w:left="180"/>
              <w:spacing w:after="0"/>
              <w:rPr>
                <w:sz w:val="20"/>
                <w:szCs w:val="20"/>
                <w:color w:val="auto"/>
              </w:rPr>
            </w:pPr>
            <w:r>
              <w:rPr>
                <w:rFonts w:ascii="Wingdings" w:cs="Wingdings" w:eastAsia="Wingdings" w:hAnsi="Wingdings"/>
                <w:sz w:val="16"/>
                <w:szCs w:val="16"/>
                <w:b w:val="1"/>
                <w:bCs w:val="1"/>
                <w:color w:val="auto"/>
              </w:rPr>
              <w:t>o</w:t>
            </w:r>
          </w:p>
        </w:tc>
        <w:tc>
          <w:tcPr>
            <w:tcW w:w="3360" w:type="dxa"/>
            <w:vAlign w:val="bottom"/>
          </w:tcPr>
          <w:p>
            <w:pPr>
              <w:jc w:val="center"/>
              <w:ind w:left="1059"/>
              <w:spacing w:after="0"/>
              <w:rPr>
                <w:sz w:val="20"/>
                <w:szCs w:val="20"/>
                <w:color w:val="auto"/>
              </w:rPr>
            </w:pPr>
            <w:r>
              <w:rPr>
                <w:rFonts w:ascii="Times New Roman" w:cs="Times New Roman" w:eastAsia="Times New Roman" w:hAnsi="Times New Roman"/>
                <w:sz w:val="16"/>
                <w:szCs w:val="16"/>
                <w:color w:val="auto"/>
              </w:rPr>
              <w:t>Accelerated filer</w:t>
            </w:r>
          </w:p>
        </w:tc>
        <w:tc>
          <w:tcPr>
            <w:tcW w:w="340" w:type="dxa"/>
            <w:vAlign w:val="bottom"/>
          </w:tcPr>
          <w:p>
            <w:pPr>
              <w:ind w:left="200"/>
              <w:spacing w:after="0"/>
              <w:rPr>
                <w:sz w:val="20"/>
                <w:szCs w:val="20"/>
                <w:color w:val="auto"/>
              </w:rPr>
            </w:pPr>
            <w:r>
              <w:rPr>
                <w:rFonts w:ascii="Wingdings" w:cs="Wingdings" w:eastAsia="Wingdings" w:hAnsi="Wingdings"/>
                <w:sz w:val="16"/>
                <w:szCs w:val="16"/>
                <w:b w:val="1"/>
                <w:bCs w:val="1"/>
                <w:color w:val="auto"/>
                <w:w w:val="83"/>
              </w:rPr>
              <w:t>o</w:t>
            </w:r>
          </w:p>
        </w:tc>
      </w:tr>
      <w:tr>
        <w:trPr>
          <w:trHeight w:val="250"/>
        </w:trPr>
        <w:tc>
          <w:tcPr>
            <w:tcW w:w="16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Non-accelerated filer</w:t>
            </w:r>
          </w:p>
        </w:tc>
        <w:tc>
          <w:tcPr>
            <w:tcW w:w="1740" w:type="dxa"/>
            <w:vAlign w:val="bottom"/>
          </w:tcPr>
          <w:p>
            <w:pPr>
              <w:ind w:left="180"/>
              <w:spacing w:after="0"/>
              <w:rPr>
                <w:sz w:val="20"/>
                <w:szCs w:val="20"/>
                <w:color w:val="auto"/>
              </w:rPr>
            </w:pPr>
            <w:r>
              <w:rPr>
                <w:rFonts w:ascii="Wingdings" w:cs="Wingdings" w:eastAsia="Wingdings" w:hAnsi="Wingdings"/>
                <w:sz w:val="16"/>
                <w:szCs w:val="16"/>
                <w:b w:val="1"/>
                <w:bCs w:val="1"/>
                <w:color w:val="auto"/>
              </w:rPr>
              <w:t>x</w:t>
            </w:r>
          </w:p>
        </w:tc>
        <w:tc>
          <w:tcPr>
            <w:tcW w:w="3360" w:type="dxa"/>
            <w:vAlign w:val="bottom"/>
          </w:tcPr>
          <w:p>
            <w:pPr>
              <w:jc w:val="center"/>
              <w:ind w:left="105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360" w:type="dxa"/>
            <w:vAlign w:val="bottom"/>
          </w:tcPr>
          <w:p>
            <w:pPr>
              <w:jc w:val="center"/>
              <w:ind w:left="1059"/>
              <w:spacing w:after="0"/>
              <w:rPr>
                <w:sz w:val="20"/>
                <w:szCs w:val="20"/>
                <w:color w:val="auto"/>
              </w:rPr>
            </w:pPr>
            <w:r>
              <w:rPr>
                <w:rFonts w:ascii="Times New Roman" w:cs="Times New Roman" w:eastAsia="Times New Roman" w:hAnsi="Times New Roman"/>
                <w:sz w:val="16"/>
                <w:szCs w:val="16"/>
                <w:color w:val="auto"/>
              </w:rPr>
              <w:t>Emerging growth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0"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9" w:lineRule="exact"/>
        <w:rPr>
          <w:sz w:val="24"/>
          <w:szCs w:val="24"/>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6"/>
          <w:szCs w:val="16"/>
          <w:b w:val="1"/>
          <w:bCs w:val="1"/>
          <w:color w:val="auto"/>
        </w:rPr>
        <w:t>o</w:t>
      </w:r>
    </w:p>
    <w:p>
      <w:pPr>
        <w:spacing w:after="0" w:line="97" w:lineRule="exact"/>
        <w:rPr>
          <w:sz w:val="24"/>
          <w:szCs w:val="24"/>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43"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6"/>
          <w:szCs w:val="16"/>
          <w:b w:val="1"/>
          <w:bCs w:val="1"/>
          <w:color w:val="auto"/>
        </w:rPr>
        <w:t>o</w:t>
      </w:r>
    </w:p>
    <w:p>
      <w:pPr>
        <w:spacing w:after="0" w:line="4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9" w:lineRule="exact"/>
        <w:rPr>
          <w:sz w:val="24"/>
          <w:szCs w:val="24"/>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common shares held by non-affiliates of the registrant as of the last business day of the registrant’s most recently completed second fiscal quarter was $72.2 million.</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registrant had 56,385,671 shares of common stock outstanding as of March 10, 2023.</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513"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0" w:type="dxa"/>
            <w:vAlign w:val="bottom"/>
            <w:gridSpan w:val="9"/>
          </w:tcPr>
          <w:p>
            <w:pPr>
              <w:ind w:left="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980" w:type="dxa"/>
            <w:vAlign w:val="bottom"/>
            <w:gridSpan w:val="27"/>
            <w:vMerge w:val="restart"/>
          </w:tcPr>
          <w:p>
            <w:pPr>
              <w:spacing w:after="0"/>
              <w:rPr>
                <w:sz w:val="20"/>
                <w:szCs w:val="20"/>
                <w:color w:val="auto"/>
              </w:rPr>
            </w:pPr>
            <w:r>
              <w:rPr>
                <w:rFonts w:ascii="Times New Roman" w:cs="Times New Roman" w:eastAsia="Times New Roman" w:hAnsi="Times New Roman"/>
                <w:sz w:val="18"/>
                <w:szCs w:val="18"/>
                <w:color w:val="0000FF"/>
              </w:rPr>
              <w:t>Part I</w:t>
            </w:r>
          </w:p>
        </w:tc>
        <w:tc>
          <w:tcPr>
            <w:tcW w:w="1240" w:type="dxa"/>
            <w:vAlign w:val="bottom"/>
            <w:tcBorders>
              <w:bottom w:val="single" w:sz="8" w:color="3D5588"/>
            </w:tcBorders>
          </w:tcPr>
          <w:p>
            <w:pPr>
              <w:ind w:left="4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980" w:type="dxa"/>
            <w:vAlign w:val="bottom"/>
            <w:gridSpan w:val="27"/>
            <w:vMerge w:val="continue"/>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Item 1B. Unresolved Staff Comments</w:t>
            </w:r>
          </w:p>
        </w:tc>
        <w:tc>
          <w:tcPr>
            <w:tcW w:w="6760" w:type="dxa"/>
            <w:vAlign w:val="bottom"/>
            <w:gridSpan w:val="12"/>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Item 2. Properties</w:t>
            </w:r>
          </w:p>
        </w:tc>
        <w:tc>
          <w:tcPr>
            <w:tcW w:w="8200" w:type="dxa"/>
            <w:vAlign w:val="bottom"/>
            <w:gridSpan w:val="20"/>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3. Legal Proceedings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7160" w:type="dxa"/>
            <w:vAlign w:val="bottom"/>
            <w:gridSpan w:val="15"/>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9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Part II</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86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8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6. Reserved</w:t>
            </w:r>
          </w:p>
        </w:tc>
        <w:tc>
          <w:tcPr>
            <w:tcW w:w="8260" w:type="dxa"/>
            <w:vAlign w:val="bottom"/>
            <w:gridSpan w:val="21"/>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9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2480" w:type="dxa"/>
            <w:vAlign w:val="bottom"/>
            <w:gridSpan w:val="4"/>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Item 8. Financial Statements and Supplementary Data</w:t>
            </w:r>
          </w:p>
        </w:tc>
        <w:tc>
          <w:tcPr>
            <w:tcW w:w="1100" w:type="dxa"/>
            <w:vAlign w:val="bottom"/>
            <w:tcBorders>
              <w:top w:val="single" w:sz="8" w:color="0000FF"/>
            </w:tcBorders>
            <w:gridSpan w:val="2"/>
          </w:tcPr>
          <w:p>
            <w:pPr>
              <w:spacing w:after="0"/>
              <w:rPr>
                <w:sz w:val="18"/>
                <w:szCs w:val="18"/>
                <w:color w:val="auto"/>
              </w:rPr>
            </w:pPr>
          </w:p>
        </w:tc>
        <w:tc>
          <w:tcPr>
            <w:tcW w:w="4500" w:type="dxa"/>
            <w:vAlign w:val="bottom"/>
            <w:gridSpan w:val="7"/>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Item 9A. Controls and Procedures</w:t>
            </w:r>
          </w:p>
        </w:tc>
        <w:tc>
          <w:tcPr>
            <w:tcW w:w="4560" w:type="dxa"/>
            <w:vAlign w:val="bottom"/>
            <w:tcBorders>
              <w:top w:val="single" w:sz="8" w:color="0000FF"/>
            </w:tcBorders>
            <w:gridSpan w:val="10"/>
          </w:tcPr>
          <w:p>
            <w:pPr>
              <w:spacing w:after="0"/>
              <w:rPr>
                <w:sz w:val="18"/>
                <w:szCs w:val="18"/>
                <w:color w:val="auto"/>
              </w:rPr>
            </w:pPr>
          </w:p>
        </w:tc>
        <w:tc>
          <w:tcPr>
            <w:tcW w:w="2460" w:type="dxa"/>
            <w:vAlign w:val="bottom"/>
            <w:gridSpan w:val="3"/>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9B. Other Information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Item 9C. Disclosure Regarding Foreign Jurisdictions that Prevent Inspections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3051F2"/>
            </w:tcBorders>
            <w:gridSpan w:val="3"/>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1920" w:type="dxa"/>
            <w:vAlign w:val="bottom"/>
            <w:gridSpan w:val="7"/>
            <w:shd w:val="clear" w:color="auto" w:fill="3051F2"/>
          </w:tcPr>
          <w:p>
            <w:pPr>
              <w:spacing w:after="0" w:line="20" w:lineRule="exact"/>
              <w:rPr>
                <w:sz w:val="1"/>
                <w:szCs w:val="1"/>
                <w:color w:val="auto"/>
              </w:rPr>
            </w:pPr>
          </w:p>
        </w:tc>
        <w:tc>
          <w:tcPr>
            <w:tcW w:w="260" w:type="dxa"/>
            <w:vAlign w:val="bottom"/>
            <w:gridSpan w:val="2"/>
            <w:shd w:val="clear" w:color="auto" w:fill="3051F2"/>
          </w:tcPr>
          <w:p>
            <w:pPr>
              <w:spacing w:after="0" w:line="20" w:lineRule="exact"/>
              <w:rPr>
                <w:sz w:val="1"/>
                <w:szCs w:val="1"/>
                <w:color w:val="auto"/>
              </w:rPr>
            </w:pPr>
          </w:p>
        </w:tc>
        <w:tc>
          <w:tcPr>
            <w:tcW w:w="1060" w:type="dxa"/>
            <w:vAlign w:val="bottom"/>
            <w:gridSpan w:val="3"/>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920" w:type="dxa"/>
            <w:vAlign w:val="bottom"/>
            <w:gridSpan w:val="2"/>
            <w:shd w:val="clear" w:color="auto" w:fill="3051F2"/>
          </w:tcPr>
          <w:p>
            <w:pPr>
              <w:spacing w:after="0" w:line="20" w:lineRule="exact"/>
              <w:rPr>
                <w:sz w:val="1"/>
                <w:szCs w:val="1"/>
                <w:color w:val="auto"/>
              </w:rPr>
            </w:pPr>
          </w:p>
        </w:tc>
        <w:tc>
          <w:tcPr>
            <w:tcW w:w="840" w:type="dxa"/>
            <w:vAlign w:val="bottom"/>
            <w:gridSpan w:val="2"/>
            <w:shd w:val="clear" w:color="auto" w:fill="3051F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9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Part III</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Item 11. Executive Compensation</w:t>
            </w:r>
          </w:p>
        </w:tc>
        <w:tc>
          <w:tcPr>
            <w:tcW w:w="2280" w:type="dxa"/>
            <w:vAlign w:val="bottom"/>
            <w:tcBorders>
              <w:top w:val="single" w:sz="8" w:color="0000FF"/>
            </w:tcBorders>
            <w:gridSpan w:val="6"/>
          </w:tcPr>
          <w:p>
            <w:pPr>
              <w:spacing w:after="0"/>
              <w:rPr>
                <w:sz w:val="18"/>
                <w:szCs w:val="18"/>
                <w:color w:val="auto"/>
              </w:rPr>
            </w:pPr>
          </w:p>
        </w:tc>
        <w:tc>
          <w:tcPr>
            <w:tcW w:w="4760" w:type="dxa"/>
            <w:vAlign w:val="bottom"/>
            <w:gridSpan w:val="8"/>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90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3051F2"/>
              </w:rPr>
              <w:t>Item 13. Certain Relationships and Related Transactions, and Director Independence</w:t>
            </w:r>
          </w:p>
        </w:tc>
        <w:tc>
          <w:tcPr>
            <w:tcW w:w="1560" w:type="dxa"/>
            <w:vAlign w:val="bottom"/>
            <w:gridSpan w:val="2"/>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3051F2"/>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Item 14. Principal Accountant Fees and Services</w:t>
            </w:r>
          </w:p>
        </w:tc>
        <w:tc>
          <w:tcPr>
            <w:tcW w:w="2580" w:type="dxa"/>
            <w:vAlign w:val="bottom"/>
            <w:tcBorders>
              <w:top w:val="single" w:sz="8" w:color="3051F2"/>
            </w:tcBorders>
            <w:gridSpan w:val="6"/>
          </w:tcPr>
          <w:p>
            <w:pPr>
              <w:spacing w:after="0"/>
              <w:rPr>
                <w:sz w:val="18"/>
                <w:szCs w:val="18"/>
                <w:color w:val="auto"/>
              </w:rPr>
            </w:pPr>
          </w:p>
        </w:tc>
        <w:tc>
          <w:tcPr>
            <w:tcW w:w="3400" w:type="dxa"/>
            <w:vAlign w:val="bottom"/>
            <w:gridSpan w:val="5"/>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1"/>
              </w:rPr>
              <w:t>Part IV</w:t>
            </w:r>
          </w:p>
        </w:tc>
        <w:tc>
          <w:tcPr>
            <w:tcW w:w="9460" w:type="dxa"/>
            <w:vAlign w:val="bottom"/>
            <w:gridSpan w:val="24"/>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Item 15. Exhibits and Financial Statement Schedules</w:t>
            </w:r>
          </w:p>
        </w:tc>
        <w:tc>
          <w:tcPr>
            <w:tcW w:w="5680" w:type="dxa"/>
            <w:vAlign w:val="bottom"/>
            <w:gridSpan w:val="10"/>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3"/>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gridSpan w:val="7"/>
            <w:shd w:val="clear" w:color="auto" w:fill="0000FF"/>
          </w:tcPr>
          <w:p>
            <w:pPr>
              <w:spacing w:after="0" w:line="20" w:lineRule="exact"/>
              <w:rPr>
                <w:sz w:val="1"/>
                <w:szCs w:val="1"/>
                <w:color w:val="auto"/>
              </w:rPr>
            </w:pPr>
          </w:p>
        </w:tc>
        <w:tc>
          <w:tcPr>
            <w:tcW w:w="7300" w:type="dxa"/>
            <w:vAlign w:val="bottom"/>
            <w:gridSpan w:val="1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980" w:type="dxa"/>
            <w:vAlign w:val="bottom"/>
            <w:gridSpan w:val="27"/>
          </w:tcPr>
          <w:p>
            <w:pPr>
              <w:spacing w:after="0"/>
              <w:rPr>
                <w:sz w:val="20"/>
                <w:szCs w:val="20"/>
                <w:color w:val="auto"/>
              </w:rPr>
            </w:pPr>
            <w:r>
              <w:rPr>
                <w:rFonts w:ascii="Times New Roman" w:cs="Times New Roman" w:eastAsia="Times New Roman" w:hAnsi="Times New Roman"/>
                <w:sz w:val="18"/>
                <w:szCs w:val="18"/>
                <w:color w:val="3051F2"/>
              </w:rPr>
              <w:t>Signatures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027"/>
        </w:trPr>
        <w:tc>
          <w:tcPr>
            <w:tcW w:w="20" w:type="dxa"/>
            <w:vAlign w:val="bottom"/>
            <w:tcBorders>
              <w:bottom w:val="single" w:sz="8" w:color="9A9A9A"/>
            </w:tcBorders>
          </w:tcPr>
          <w:p>
            <w:pPr>
              <w:spacing w:after="0"/>
              <w:rPr>
                <w:sz w:val="24"/>
                <w:szCs w:val="24"/>
                <w:color w:val="auto"/>
              </w:rPr>
            </w:pPr>
          </w:p>
        </w:tc>
        <w:tc>
          <w:tcPr>
            <w:tcW w:w="400" w:type="dxa"/>
            <w:vAlign w:val="bottom"/>
            <w:tcBorders>
              <w:top w:val="single" w:sz="8" w:color="3051F2"/>
              <w:bottom w:val="single" w:sz="8" w:color="9A9A9A"/>
            </w:tcBorders>
          </w:tcPr>
          <w:p>
            <w:pPr>
              <w:spacing w:after="0"/>
              <w:rPr>
                <w:sz w:val="24"/>
                <w:szCs w:val="24"/>
                <w:color w:val="auto"/>
              </w:rPr>
            </w:pPr>
          </w:p>
        </w:tc>
        <w:tc>
          <w:tcPr>
            <w:tcW w:w="60" w:type="dxa"/>
            <w:vAlign w:val="bottom"/>
            <w:tcBorders>
              <w:top w:val="single" w:sz="8" w:color="3051F2"/>
              <w:bottom w:val="single" w:sz="8" w:color="9A9A9A"/>
            </w:tcBorders>
          </w:tcPr>
          <w:p>
            <w:pPr>
              <w:spacing w:after="0"/>
              <w:rPr>
                <w:sz w:val="24"/>
                <w:szCs w:val="24"/>
                <w:color w:val="auto"/>
              </w:rPr>
            </w:pPr>
          </w:p>
        </w:tc>
        <w:tc>
          <w:tcPr>
            <w:tcW w:w="60" w:type="dxa"/>
            <w:vAlign w:val="bottom"/>
            <w:tcBorders>
              <w:top w:val="single" w:sz="8" w:color="3051F2"/>
              <w:bottom w:val="single" w:sz="8" w:color="9A9A9A"/>
            </w:tcBorders>
          </w:tcPr>
          <w:p>
            <w:pPr>
              <w:spacing w:after="0"/>
              <w:rPr>
                <w:sz w:val="24"/>
                <w:szCs w:val="24"/>
                <w:color w:val="auto"/>
              </w:rPr>
            </w:pPr>
          </w:p>
        </w:tc>
        <w:tc>
          <w:tcPr>
            <w:tcW w:w="240" w:type="dxa"/>
            <w:vAlign w:val="bottom"/>
            <w:tcBorders>
              <w:top w:val="single" w:sz="8" w:color="3051F2"/>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made statements in the sections titled “Risk Factors,” “Management’s Discussion and Analysis of Financial Condition and Results of Operations,” “Quantitative and Qualitative Disclosures About Market Risk”and in other sections of this Annual Report on Form 10-K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results could be affected by a variety of other factors, including, but not limited to, failure to open and operate new centers in a timely and cost-effective manner;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the regulatory, macroeconomic conditions, including inflation and the threat of recession, economic and other conditions of the states and jurisdictions where our facilities are located; and business disruption or other losses from war, pandemic, terrorist acts or political unrest.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risk factors discussed in the section titled “Risk Factors” in this Annual Report on Form 10-K could cause our results to differ materially from those expressed in the forward-looking statements made in this Annual Report on Form 10-K. There also may be other risks that are currently unknown to us or that we are unable to predict at this time.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were made, and we are under no duty to update any of these forward-looking statements after the date of this Annual Report on Form 10-K to conform our prior statements to actual results or revised expectations.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Annual Report on Form 10-K to the “Company,” “Elite Body Sculpture,” “we,” “us” and “our” refer to AirSculpt Technologies, Inc. and its consolidated subsidiaries and the Professional Associations (as defined hereinafter).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4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Our Company is an experienced, fast-growing national provider of body contouring procedures delivering a premium consumer experience under our brand Elite Body Sculpture. At Elite Body Sculpture, we provide custom body contouring using our proprietary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that removes unwanted fat in a minimally invasive procedure, producing dramatic results. It is our mission to generate the best results for our patients.</w:t>
      </w:r>
    </w:p>
    <w:p>
      <w:pPr>
        <w:spacing w:after="0" w:line="11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believe our treatment results and elite patient experience have positioned Elite Body Sculpture as a preferred body contouring brand. We performed 13,063 body contouring procedures in 2022. Our proprietary and patented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is minimally invasive because it requires no needle, no scalpel, no stitches and no general anesthesia to achieve transformational change that appears both natural and smooth. Our patients are guided by surgeons, nurses and patient care consultants through every step of the experience.</w:t>
      </w:r>
    </w:p>
    <w:p>
      <w:pPr>
        <w:spacing w:after="0" w:line="12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have a broad offering of fat removal procedures across treatment areas. We also offer innovative fat transfer procedures that use the patient’s own fat cells to enhance the breasts, buttocks, hips or other areas and do not require silicone or foreign materials to be implanted. Our innovative body contouring procedures include the Power BBL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Brazilian butt lift procedure, the Up a Cup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breast enhancement procedure, and the Hip Flip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 hourglass contouring procedure. Our motivation to provide the best body contouring outcomes for our patients fuels our innovation.</w:t>
      </w:r>
    </w:p>
    <w:p>
      <w:pPr>
        <w:spacing w:after="0" w:line="116"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Further, the Company introduced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and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Smooth in fiscal year 2022.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is a new procedure that permanently removes fat and tightens the skin with unparalleled precision and finesse. Patients first target any area containing excess fat with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then have that same area treated with a new technology that instantly tightens skin and improves laxity. This advanced, minimally invasive treatment combines helium gas and radiofrequency energy to create a plasma specially equipped to correct sagging skin and restore a youthful, natural appearance.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Smooth delivers effective and long-lasting cellulite reduction with one single treatment.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Smooth uses an advanced cellulite removal tool, which is FDA-cleared to target cellulite on the buttocks and thighs. Results appear almost instantly, and because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Smooth is heat-free, it can be used on any skin type.</w:t>
      </w:r>
    </w:p>
    <w:p>
      <w:pPr>
        <w:spacing w:after="0" w:line="4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Our treatment results—highlighted by a vast gallery of “before and after” photos across gender, body shape and treatment areas—are a powerful tool to build our brand through digital marketing on our website and social media accounts. We also leverage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TV, which takes viewers into procedure rooms to watch our surgeons use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body contouring procedure to achieve dramatic results and hear patient testimonials. We utilize celebrity and influencer endorsements, as well as word-of-mouth referrals, to drive new patient acquisition.</w:t>
      </w:r>
    </w:p>
    <w:p>
      <w:pPr>
        <w:spacing w:after="0" w:line="1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deliver our body contouring procedures through a growing, nationwide footprint of 22 centers across 18 states and Canada as of March 10, 2023. Our centers, located in metropolitan and suburban areas, offer a premium patient experience and luxurious, spa-like atmosphere. Due to restrictions on the corporate practice of medicine in many states, the professional associations (each, a “Professional Association,” and collectively, the “Professional Associations”) owned by the surgeons that operate our centers are responsible for all clinical aspects of the medical operations that take place in each of our centers, including contracting with the surgeons who perform procedures on patients at our centers.</w:t>
      </w:r>
    </w:p>
    <w:p>
      <w:pPr>
        <w:spacing w:after="0" w:line="1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holding company and all of our operations are conducted through the Professional Associations and our wholly-owned subsidiaries, which own and operate the non-clinical assets and provide Management Services to the Professional Associations through Management Service Agreements (“MSAs”).</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value proposition provided by our services results in exceptional unit-level economics, which in turn helps to support predictable and recurring revenue and attractive cash flow. Additionally, we require 100% private pay upfront and, therefore, face no reimbursement risk.</w:t>
      </w:r>
    </w:p>
    <w:p>
      <w:pPr>
        <w:spacing w:after="0" w:line="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Under the stewardship of our founder and Executive Chairman of our board of directors, Dr. Aaron Rollins, our director, Adam Feinstein, and the other management team members, we have built a results-driven culture. For the year ended December 31, 2022, we generated $168.8 million of revenue compared to $133.3 million for the year ended December 31, 2021, which represents approximately 26.6% growth. Additionally, we have invested in our social media and marketing capabilities to drive our brand awareness and increase consumer acceptance for our procedures. We believe we have significant opportunity to further grow our brand awareness, open new centers in the United States and internationally, and increase sales in our existing centers.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Growing Market Opportunity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 Opportunity</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operate within the large and growing market for body fat reduction procedures. Our market includes both surgical procedures, such as liposuction and abdominoplasty procedures, as well as non-surgical procedures, such as cryolipolysis, ultrasound, laser lipolysis and other non-surgical body fat reduction procedures. The United States market for body fat reduction procedures was estimated to be $5.2 billion in 2021 by LifeSci Consulting, growing at approximately a 8.8% compound annual growth rate (“CAGR”) since 2017 and expected to grow at a 10% CAGR through 2026, according to Global Market Insights. The global market for body fat reduction procedures was estimated to be in excess of $10 billion in 2021.</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Drivers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for surgical aesthetic procedures is growing, fueled by favorable trends including:</w:t>
      </w:r>
    </w:p>
    <w:p>
      <w:pPr>
        <w:spacing w:after="0" w:line="140" w:lineRule="exact"/>
        <w:rPr>
          <w:sz w:val="20"/>
          <w:szCs w:val="20"/>
          <w:color w:val="auto"/>
        </w:rPr>
      </w:pPr>
    </w:p>
    <w:p>
      <w:pPr>
        <w:ind w:left="660" w:right="340" w:hanging="328"/>
        <w:spacing w:after="0" w:line="27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Self-Image Awareness: </w:t>
      </w:r>
      <w:r>
        <w:rPr>
          <w:rFonts w:ascii="Times New Roman" w:cs="Times New Roman" w:eastAsia="Times New Roman" w:hAnsi="Times New Roman"/>
          <w:sz w:val="18"/>
          <w:szCs w:val="18"/>
          <w:color w:val="auto"/>
        </w:rPr>
        <w:t>increased consumer awareness and focus on beauty consciousness driven by social media and prioritization of healthy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lifestyles;</w:t>
      </w:r>
    </w:p>
    <w:p>
      <w:pPr>
        <w:spacing w:after="0" w:line="86" w:lineRule="exact"/>
        <w:rPr>
          <w:rFonts w:ascii="Times New Roman" w:cs="Times New Roman" w:eastAsia="Times New Roman" w:hAnsi="Times New Roman"/>
          <w:sz w:val="18"/>
          <w:szCs w:val="18"/>
          <w:color w:val="auto"/>
        </w:rPr>
      </w:pPr>
    </w:p>
    <w:p>
      <w:pPr>
        <w:ind w:left="660" w:right="320" w:hanging="328"/>
        <w:spacing w:after="0" w:line="27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Acceptance: </w:t>
      </w:r>
      <w:r>
        <w:rPr>
          <w:rFonts w:ascii="Times New Roman" w:cs="Times New Roman" w:eastAsia="Times New Roman" w:hAnsi="Times New Roman"/>
          <w:sz w:val="18"/>
          <w:szCs w:val="18"/>
          <w:color w:val="auto"/>
        </w:rPr>
        <w:t>consumers have embraced cosmetic treatment and reduced the social stigma, especially through the proliferation of shared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 photos on social media;</w:t>
      </w:r>
    </w:p>
    <w:p>
      <w:pPr>
        <w:spacing w:after="0" w:line="86" w:lineRule="exact"/>
        <w:rPr>
          <w:rFonts w:ascii="Times New Roman" w:cs="Times New Roman" w:eastAsia="Times New Roman" w:hAnsi="Times New Roman"/>
          <w:sz w:val="18"/>
          <w:szCs w:val="18"/>
          <w:color w:val="auto"/>
        </w:rPr>
      </w:pPr>
    </w:p>
    <w:p>
      <w:pPr>
        <w:ind w:left="660" w:right="140" w:hanging="328"/>
        <w:spacing w:after="0" w:line="27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Improved Safety and Recovery Profile: </w:t>
      </w:r>
      <w:r>
        <w:rPr>
          <w:rFonts w:ascii="Times New Roman" w:cs="Times New Roman" w:eastAsia="Times New Roman" w:hAnsi="Times New Roman"/>
          <w:sz w:val="18"/>
          <w:szCs w:val="18"/>
          <w:color w:val="auto"/>
        </w:rPr>
        <w:t>advances in technology have led to reduced recovery times and introduction of more minimally-invasive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procedures;</w:t>
      </w:r>
    </w:p>
    <w:p>
      <w:pPr>
        <w:spacing w:after="0" w:line="86" w:lineRule="exact"/>
        <w:rPr>
          <w:rFonts w:ascii="Times New Roman" w:cs="Times New Roman" w:eastAsia="Times New Roman" w:hAnsi="Times New Roman"/>
          <w:sz w:val="18"/>
          <w:szCs w:val="18"/>
          <w:color w:val="auto"/>
        </w:rPr>
      </w:pPr>
    </w:p>
    <w:p>
      <w:pPr>
        <w:ind w:left="660" w:right="32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Rise in Disposable Income: </w:t>
      </w:r>
      <w:r>
        <w:rPr>
          <w:rFonts w:ascii="Times New Roman" w:cs="Times New Roman" w:eastAsia="Times New Roman" w:hAnsi="Times New Roman"/>
          <w:sz w:val="18"/>
          <w:szCs w:val="18"/>
          <w:color w:val="auto"/>
        </w:rPr>
        <w:t>the global rise in disposable income provides individuals with greater discretionary funds for personal appearance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enhancements including cosmetic surgery; and</w:t>
      </w:r>
    </w:p>
    <w:p>
      <w:pPr>
        <w:spacing w:after="0" w:line="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Increased Weight Gain in the Overall Population: </w:t>
      </w:r>
      <w:r>
        <w:rPr>
          <w:rFonts w:ascii="Times New Roman" w:cs="Times New Roman" w:eastAsia="Times New Roman" w:hAnsi="Times New Roman"/>
          <w:sz w:val="18"/>
          <w:szCs w:val="18"/>
          <w:color w:val="auto"/>
        </w:rPr>
        <w:t>worldwide prevalence of overweight and obesity in individuals continues to rise.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combination of these growth drivers continue to propel the market.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to Existing Procedures</w:t>
      </w:r>
    </w:p>
    <w:p>
      <w:pPr>
        <w:spacing w:after="0" w:line="14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Fat reduction and body contouring procedures have become increasingly popular, but many offerings have significant limitations. Existing procedures for fat reduction or body contouring, other than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currently include surgical procedures such as liposuction and abdominoplasty (tummy tuck) and non-surgical procedures that use cooling, injected medication or heat to reduce fat cells. We believe these procedures often have limited, inconsistent and less predictable results than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Many procedures can also involve significant pain and may require excess recovery time post-surgery.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Difference</w:t>
      </w:r>
    </w:p>
    <w:p>
      <w:pPr>
        <w:spacing w:after="0" w:line="9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minimally invasive procedure delivered in one session while the patient is awake. Each procedure is done by a trained surgeon for customized and precise results. As for discomfort, patients typically report limited soreness the next day following the procedure. We believe our procedures offer dramatic results to our patients.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attribute our success to the following strengths that differentiate us from our competitors: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Trusted Brand Redefining Body Contouring</w:t>
      </w:r>
    </w:p>
    <w:p>
      <w:pPr>
        <w:spacing w:after="0" w:line="14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was created to offer patients a gentler alternative to traditional fat removal procedures with transformative results delivered in a luxurious, spa-like environment. We specialize in body contouring through the minimally invasive removal of unwanted fat. The proprietary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empowers our surgeons to use their high level of skill and artistry to deliver dramatic results personalized to our patients.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Treatment Results and Premium Patient Experience, Underpinned by Proprietary 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Technology</w:t>
      </w:r>
    </w:p>
    <w:p>
      <w:pPr>
        <w:spacing w:after="0" w:line="77"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We believe that our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offer beneficial results and a premium patient experience. Our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are differentiated by our patented technology, broad and innovative procedures, elite patient experience, and highly skilled surgeons.</w:t>
      </w:r>
    </w:p>
    <w:p>
      <w:pPr>
        <w:spacing w:after="0" w:line="113" w:lineRule="exact"/>
        <w:rPr>
          <w:sz w:val="20"/>
          <w:szCs w:val="20"/>
          <w:color w:val="auto"/>
        </w:rPr>
      </w:pPr>
    </w:p>
    <w:p>
      <w:pPr>
        <w:ind w:left="660" w:right="20" w:hanging="328"/>
        <w:spacing w:after="0" w:line="23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AirSculpt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Technology: </w:t>
      </w:r>
      <w:r>
        <w:rPr>
          <w:rFonts w:ascii="Times New Roman" w:cs="Times New Roman" w:eastAsia="Times New Roman" w:hAnsi="Times New Roman"/>
          <w:sz w:val="18"/>
          <w:szCs w:val="18"/>
          <w:color w:val="auto"/>
        </w:rPr>
        <w:t>Our patented and precision-engineered method,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permanently removes fat and tightens skin while sculpting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targeted areas of the body through minimally invasive body contouring procedures.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660"/>
        <w:spacing w:after="0" w:line="218" w:lineRule="auto"/>
        <w:rPr>
          <w:sz w:val="20"/>
          <w:szCs w:val="20"/>
          <w:color w:val="auto"/>
        </w:rPr>
      </w:pPr>
      <w:r>
        <w:rPr>
          <w:rFonts w:ascii="Times New Roman" w:cs="Times New Roman" w:eastAsia="Times New Roman" w:hAnsi="Times New Roman"/>
          <w:sz w:val="18"/>
          <w:szCs w:val="18"/>
          <w:color w:val="auto"/>
        </w:rPr>
        <w:t>Unlike traditional liposuction which uses cannulae in a scraping motion,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drives a cannula 1,000 times per minute in a corkscrew motion to remove fat cells while tightening skin simultaneously. It requires no needle, no scalpel, no stitches and no general anesthesia to create dramatically natural, smooth results.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minimally invasive, providing transformative results, all delivered in one session while the patient is awake.</w:t>
      </w:r>
    </w:p>
    <w:p>
      <w:pPr>
        <w:spacing w:after="0" w:line="119"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18"/>
          <w:szCs w:val="18"/>
          <w:color w:val="auto"/>
        </w:rPr>
        <w:t>As of December 31, 2022, our patent portfolio is comprised of two issued U.S. utility patents and one pending U.S. utility patent applications, each of which we own directly. The tools we use to perform our fat removal and fat transfer procedures are purchased from third parties, and we do not own the proprietary rights to such tools. Instead of protecting specific, individual liposuction components (such as a particular handpiece design), our issued patents and one of our pending applications relate to certain proprietary implementations of the process described in the section “Our Technique, Training and Equipment,” and the combination of multiple components to form proprietary systems that are specially configured for carrying out those proprietary processes. We believe the systems and methodologies claimed in our issued patents provide impressive results with less patient trauma relative to other systems and methods, such as liposuction and abdominoplasty (tummy tuck), that require more invasive surgical procedures.</w:t>
      </w:r>
    </w:p>
    <w:p>
      <w:pPr>
        <w:spacing w:after="0" w:line="115" w:lineRule="exact"/>
        <w:rPr>
          <w:sz w:val="20"/>
          <w:szCs w:val="20"/>
          <w:color w:val="auto"/>
        </w:rPr>
      </w:pPr>
    </w:p>
    <w:p>
      <w:pPr>
        <w:ind w:left="660" w:right="20" w:hanging="328"/>
        <w:spacing w:after="0" w:line="27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 Offering of Innovative, Body Sculpting Procedures: </w:t>
      </w:r>
      <w:r>
        <w:rPr>
          <w:rFonts w:ascii="Times New Roman" w:cs="Times New Roman" w:eastAsia="Times New Roman" w:hAnsi="Times New Roman"/>
          <w:sz w:val="18"/>
          <w:szCs w:val="18"/>
          <w:color w:val="auto"/>
        </w:rPr>
        <w:t>We offer our patients a comprehensive suite of customized body contouring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procedures, including fat removal and fat transfer, to meet their wants and needs.</w:t>
      </w:r>
    </w:p>
    <w:p>
      <w:pPr>
        <w:spacing w:after="0" w:line="90"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fat removal procedures remove a patient’s stubborn fat from a variety of treatment areas, such as the stomach, back and buttocks. We created our popular </w:t>
      </w:r>
      <w:r>
        <w:rPr>
          <w:rFonts w:ascii="Times New Roman" w:cs="Times New Roman" w:eastAsia="Times New Roman" w:hAnsi="Times New Roman"/>
          <w:sz w:val="18"/>
          <w:szCs w:val="18"/>
          <w:i w:val="1"/>
          <w:iCs w:val="1"/>
          <w:color w:val="auto"/>
        </w:rPr>
        <w:t>48-Hour Six Pack™</w:t>
      </w:r>
      <w:r>
        <w:rPr>
          <w:rFonts w:ascii="Times New Roman" w:cs="Times New Roman" w:eastAsia="Times New Roman" w:hAnsi="Times New Roman"/>
          <w:sz w:val="18"/>
          <w:szCs w:val="18"/>
          <w:color w:val="auto"/>
        </w:rPr>
        <w:t xml:space="preserve"> procedure to enhance and reveal abdominal muscles in just one session by removing the stubborn pockets of fat hiding one’s six-pack.</w:t>
      </w:r>
    </w:p>
    <w:p>
      <w:pPr>
        <w:spacing w:after="0" w:line="101" w:lineRule="exact"/>
        <w:rPr>
          <w:rFonts w:ascii="Times New Roman" w:cs="Times New Roman" w:eastAsia="Times New Roman" w:hAnsi="Times New Roman"/>
          <w:sz w:val="18"/>
          <w:szCs w:val="18"/>
          <w:color w:val="auto"/>
        </w:rPr>
      </w:pPr>
    </w:p>
    <w:p>
      <w:pPr>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offer fat transfer procedures, during which our surgeons transfer a patient’s collected fat cells to enhance the buttocks, breast, hips or aging hands to naturally enhance or sharpen a patient’s contours. Some of our most popular fat transfer procedures are:</w:t>
      </w:r>
    </w:p>
    <w:p>
      <w:pPr>
        <w:spacing w:after="0" w:line="92" w:lineRule="exact"/>
        <w:rPr>
          <w:rFonts w:ascii="Times New Roman" w:cs="Times New Roman" w:eastAsia="Times New Roman" w:hAnsi="Times New Roman"/>
          <w:sz w:val="18"/>
          <w:szCs w:val="18"/>
          <w:color w:val="auto"/>
        </w:rPr>
      </w:pPr>
    </w:p>
    <w:p>
      <w:pPr>
        <w:ind w:left="1300" w:hanging="320"/>
        <w:spacing w:after="0" w:line="230" w:lineRule="auto"/>
        <w:tabs>
          <w:tab w:leader="none" w:pos="129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 BBL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Brazilian Butt Lift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 removes a patient’s unwanted fat from areas such as tummy or thighs and transfers it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buttocks, giving a flatter stomach and slimmer waist, while shaping the buttocks and tightening the skin;</w:t>
      </w:r>
    </w:p>
    <w:p>
      <w:pPr>
        <w:spacing w:after="0" w:line="111" w:lineRule="exact"/>
        <w:rPr>
          <w:rFonts w:ascii="Times New Roman" w:cs="Times New Roman" w:eastAsia="Times New Roman" w:hAnsi="Times New Roman"/>
          <w:sz w:val="18"/>
          <w:szCs w:val="18"/>
          <w:color w:val="auto"/>
        </w:rPr>
      </w:pPr>
    </w:p>
    <w:p>
      <w:pPr>
        <w:ind w:left="1300" w:hanging="320"/>
        <w:spacing w:after="0" w:line="244" w:lineRule="auto"/>
        <w:tabs>
          <w:tab w:leader="none" w:pos="1295"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Up a Cup</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7"/>
          <w:szCs w:val="17"/>
          <w:i w:val="1"/>
          <w:iCs w:val="1"/>
          <w:color w:val="auto"/>
        </w:rPr>
        <w:t xml:space="preserve"> Breast Augmentation</w:t>
      </w:r>
      <w:r>
        <w:rPr>
          <w:rFonts w:ascii="Times New Roman" w:cs="Times New Roman" w:eastAsia="Times New Roman" w:hAnsi="Times New Roman"/>
          <w:sz w:val="17"/>
          <w:szCs w:val="17"/>
          <w:color w:val="auto"/>
        </w:rPr>
        <w:t>, which removes a patient’s natural fat, typically from the tummy or thighs, and transfers it to the breasts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increase size by about one cup. AirSculpt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enhanced breasts are all natural. No silicone or other foreign material is implanted; and</w:t>
      </w:r>
    </w:p>
    <w:p>
      <w:pPr>
        <w:spacing w:after="0" w:line="41" w:lineRule="exact"/>
        <w:rPr>
          <w:rFonts w:ascii="Times New Roman" w:cs="Times New Roman" w:eastAsia="Times New Roman" w:hAnsi="Times New Roman"/>
          <w:sz w:val="17"/>
          <w:szCs w:val="17"/>
          <w:color w:val="auto"/>
        </w:rPr>
      </w:pPr>
    </w:p>
    <w:p>
      <w:pPr>
        <w:ind w:left="1300" w:hanging="320"/>
        <w:spacing w:after="0" w:line="237" w:lineRule="auto"/>
        <w:tabs>
          <w:tab w:leader="none" w:pos="129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Hip Flip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removes unwanted fat from one area of the body and transfers it to the hips to fill in the “hip dip” to create the coveted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hourglass figure. It is often performed in combination with the Power BBL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34"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We are continuously innovating to better serve our patients. In 2020, we started performing and trademarked the Hip Flip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Since then, we have continued to innovate and in 2020 we introduced the CankCure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which removes fat and contours the calf and ankle area. In 2022, we introduced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and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Smooth, as discussed above. We are only in the beginning stages of innovation and have much more to introduce to the body contouring field.</w:t>
      </w:r>
    </w:p>
    <w:p>
      <w:pPr>
        <w:spacing w:after="0" w:line="113" w:lineRule="exact"/>
        <w:rPr>
          <w:sz w:val="20"/>
          <w:szCs w:val="20"/>
          <w:color w:val="auto"/>
        </w:rPr>
      </w:pPr>
    </w:p>
    <w:p>
      <w:pPr>
        <w:jc w:val="both"/>
        <w:ind w:left="660" w:hanging="328"/>
        <w:spacing w:after="0" w:line="25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Premium Patient Experience: </w:t>
      </w:r>
      <w:r>
        <w:rPr>
          <w:rFonts w:ascii="Times New Roman" w:cs="Times New Roman" w:eastAsia="Times New Roman" w:hAnsi="Times New Roman"/>
          <w:sz w:val="18"/>
          <w:szCs w:val="18"/>
          <w:color w:val="auto"/>
        </w:rPr>
        <w:t>We offer our patients a premium consumer experience. From the initial consultation to the day of procedure,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are guided by knowledgeable patient care consultants. Our centers are located near high end retail environments, such as Rodeo Drive in Beverly Hills and Fifth Avenue in New York. The centers are designed and furnished with furniture from a high-end retailer with the patient experience in mind, offering a comfortable and calming environment ahead of and after the procedure. In 2020, we began to offer our patients the choice of virtual consults prior to their procedures.</w:t>
      </w:r>
    </w:p>
    <w:p>
      <w:pPr>
        <w:spacing w:after="0" w:line="105" w:lineRule="exact"/>
        <w:rPr>
          <w:rFonts w:ascii="Times New Roman" w:cs="Times New Roman" w:eastAsia="Times New Roman" w:hAnsi="Times New Roman"/>
          <w:sz w:val="18"/>
          <w:szCs w:val="18"/>
          <w:color w:val="auto"/>
        </w:rPr>
      </w:pPr>
    </w:p>
    <w:p>
      <w:pPr>
        <w:jc w:val="both"/>
        <w:ind w:left="660" w:hanging="328"/>
        <w:spacing w:after="0" w:line="23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Elite Surgeons: </w:t>
      </w:r>
      <w:r>
        <w:rPr>
          <w:rFonts w:ascii="Times New Roman" w:cs="Times New Roman" w:eastAsia="Times New Roman" w:hAnsi="Times New Roman"/>
          <w:sz w:val="18"/>
          <w:szCs w:val="18"/>
          <w:color w:val="auto"/>
        </w:rPr>
        <w:t>Our surgeons are chosen not only for their medical skills, generally as plastic or cosmetic surgeons, but also for their artistic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vision. They are selected to join our nationwide practice because they are at the top of their profession, specialize in body sculpting, and have artistic skill. Before working on Elite Body Sculpture patients, each surgeon completes extensive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training to ensure the best results for every patient and treatment.</w:t>
      </w:r>
    </w:p>
    <w:p>
      <w:pPr>
        <w:spacing w:after="0" w:line="1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offer our surgeons a compelling economic opportunity, with annual compensation for part-time work at Elite Body Sculpture often higher than the average full-time salary in a private practice. By joining Elite Body Sculpture, surgeons are also able to grow their private practices by attracting Elite patients to their private practice for non-body contouring procedures, such as face lifts and injectables. Our surgeons are also featured on our social media platforms.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allows the surgeon to provide high quality outcomes to patients while being less physically demanding on the surgeon than traditional liposuction. As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only available for use at Elite Body Sculpture centers, we protect our brand and are able to retain high quality surgeons.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National and International Footprint Fueled by Attractive Unit Economics</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a growing national footprint consisting of 22 centers across 18 states and Canada as of March 10, 2023. Further, we opened our newest center in Toronto, Canada in December 2022, which is the Company's first international facility. Our centers are located primarily in metropolitan cities near retail shops that our patients frequent and popular areas. On average, our centers contain two procedure rooms with the capacity to perform up to 36 surgeries a week, in addition to additional consultation offices for prospective patients. Our accreditation as an office-based practice under the Joint Commission demonstrates our commitment to safety and quality. In 2022, we generated revenue per case of $12,922 on average. We require 100% private pay upfront and face no reimbursement risk.</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centers generate highly attractive unit-level economics and require only a modest investment to open. Given the consistently high level of demand for our services and the average price of our procedures, our centers typically achieve profitability within approximately three months, providing Elite Body Sculpture with a highly attractive and near-immediate return on invested capital.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Scaled Platform and Consistent Demand Drives Attractive Growth and Free Cash Flow</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operating model is highly scalable and enables capital efficient growth. We have generated double digit growth in each of the years since 2015. For the year ended December 31, 2022, we generated approximately $169 million of revenue compared to approximately $133 million for the year ended December 31, 2021, which represents approximately 26.6% growth. We have a capital efficient business that requires minimal maintenance capital expenditures and working capital to support our operations, enabling us to generate strong cash flows to fund future growth. We have achieved consistent, self-funded growth since our founding in 2012 and have accelerated our performance in recent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Founder-Led Management Team to Support Growth</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led by an experienced team united by our vision to redefine body contouring and a belief in our future growth potential. Our founder and Executive Chairman of our board of directors, Dr. Aaron Rollins, is a celebrity cosmetic surgeon that is recognized as a leader in body sculpting and has been featured across digital, print and TV. Dr. Rollins has been a licensed cosmetic surgeon since 2004. In addition, our director, Adam Feinstein, who founded Vesey Street Capital Partners, L.L.C., our private equity sponsor (“Sponsor”), has 25 years of experience working with many of the leading healthcare services companies, including service as a director of public and private healthcare company boards. They have partnered with our Chief Financial Officer, Dennis Dean, who has over 20 years of experience in the health care industry, including at Envision Healthcare and Surgery Partners.</w:t>
      </w:r>
    </w:p>
    <w:p>
      <w:pPr>
        <w:spacing w:after="0" w:line="2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Further, AirSculpt founder and former Chief Executive Officer, Dr. Aaron Rollins, recently became Executive Chairman of the board of directors. Dr. Rollins is primarily focused on leading the Company’s overall vision and providing strategic guidance. In addition, the Company recently appointed Todd Magazine as Chief Executive Officer. Mr. Magazine assumed CEO responsibilities at the end of January 2023. Mr. Magazine brings to AirSculpt more than 30 years of experience in retail operations and brand-building. For the past 10 years, he has been the CEO of Blink Fitness, a subsidiary of Equinox, where he led the company of over 1,500 employees from four locations to over 100 and increased membership 25x. Previously, he was North American President of Pfizer's OTC business, held president's roles for Gatorade and Quaker Oats at PepsiCo, and led various marketing teams at Procter &amp; Gamble. We have built a strong and diverse team across our marketing and operations functions that is highly scalable and capable of supporting future growth. We have a results-driven team culture. We believe our combination of talent, experience, and culture gives us the ability to drive sustainable growth.</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deliver sustainable growth in revenue and profitability by executing on the following strategies:</w:t>
      </w:r>
    </w:p>
    <w:p>
      <w:pPr>
        <w:spacing w:after="0" w:line="100" w:lineRule="exact"/>
        <w:rPr>
          <w:sz w:val="20"/>
          <w:szCs w:val="20"/>
          <w:color w:val="auto"/>
        </w:rPr>
      </w:pPr>
    </w:p>
    <w:p>
      <w:pPr>
        <w:jc w:val="both"/>
        <w:ind w:left="500" w:hanging="168"/>
        <w:spacing w:after="0" w:line="257"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Grow Our Brand Awareness and Attract New Patients: </w:t>
      </w:r>
      <w:r>
        <w:rPr>
          <w:rFonts w:ascii="Times New Roman" w:cs="Times New Roman" w:eastAsia="Times New Roman" w:hAnsi="Times New Roman"/>
          <w:sz w:val="18"/>
          <w:szCs w:val="18"/>
          <w:color w:val="auto"/>
        </w:rPr>
        <w:t>We believe that consumer trends towards greater acceptance of body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contouring and cosmetic treatments will continue to expand the market for our services. We believe we are a leading provider of body contouring procedures and that there is a significant opportunity to drive awareness and adoption of our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and procedure offerings.</w:t>
      </w:r>
    </w:p>
    <w:p>
      <w:pPr>
        <w:spacing w:after="0" w:line="2" w:lineRule="exact"/>
        <w:rPr>
          <w:rFonts w:ascii="Times New Roman" w:cs="Times New Roman" w:eastAsia="Times New Roman" w:hAnsi="Times New Roman"/>
          <w:sz w:val="18"/>
          <w:szCs w:val="18"/>
          <w:color w:val="auto"/>
        </w:rPr>
      </w:pPr>
    </w:p>
    <w:p>
      <w:pPr>
        <w:ind w:left="500" w:hanging="168"/>
        <w:spacing w:after="0" w:line="248"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Drive Sales Growth of Our Centers: </w:t>
      </w:r>
      <w:r>
        <w:rPr>
          <w:rFonts w:ascii="Times New Roman" w:cs="Times New Roman" w:eastAsia="Times New Roman" w:hAnsi="Times New Roman"/>
          <w:sz w:val="18"/>
          <w:szCs w:val="18"/>
          <w:color w:val="auto"/>
        </w:rPr>
        <w:t>We employ the following strategies to increase our procedures performed and drive higher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per procedure with the aim of continuing to accelerate our growth in existing centers:</w:t>
      </w:r>
    </w:p>
    <w:p>
      <w:pPr>
        <w:spacing w:after="0" w:line="1" w:lineRule="exact"/>
        <w:rPr>
          <w:rFonts w:ascii="Times New Roman" w:cs="Times New Roman" w:eastAsia="Times New Roman" w:hAnsi="Times New Roman"/>
          <w:sz w:val="18"/>
          <w:szCs w:val="18"/>
          <w:color w:val="auto"/>
        </w:rPr>
      </w:pPr>
    </w:p>
    <w:p>
      <w:pPr>
        <w:ind w:left="1140" w:hanging="160"/>
        <w:spacing w:after="0" w:line="258" w:lineRule="auto"/>
        <w:tabs>
          <w:tab w:leader="none" w:pos="113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add new procedure rooms: </w:t>
      </w:r>
      <w:r>
        <w:rPr>
          <w:rFonts w:ascii="Times New Roman" w:cs="Times New Roman" w:eastAsia="Times New Roman" w:hAnsi="Times New Roman"/>
          <w:sz w:val="18"/>
          <w:szCs w:val="18"/>
          <w:color w:val="auto"/>
        </w:rPr>
        <w:t>Our centers typically have two procedure rooms. We have the opportunity to continue to both add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 rooms and adapt our schedule from primarily open six days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140"/>
        <w:spacing w:after="0" w:line="266" w:lineRule="auto"/>
        <w:rPr>
          <w:sz w:val="20"/>
          <w:szCs w:val="20"/>
          <w:color w:val="auto"/>
        </w:rPr>
      </w:pPr>
      <w:r>
        <w:rPr>
          <w:rFonts w:ascii="Times New Roman" w:cs="Times New Roman" w:eastAsia="Times New Roman" w:hAnsi="Times New Roman"/>
          <w:sz w:val="18"/>
          <w:szCs w:val="18"/>
          <w:color w:val="auto"/>
        </w:rPr>
        <w:t>to seven days a week in order to meet the strong demand from our patients for our services. Through referral and outreach, we plan to continue recruiting surgeons to operate on our growing number of patients and staff to conduct consultations and organize appointments.</w:t>
      </w:r>
    </w:p>
    <w:p>
      <w:pPr>
        <w:spacing w:after="0" w:line="93" w:lineRule="exact"/>
        <w:rPr>
          <w:sz w:val="20"/>
          <w:szCs w:val="20"/>
          <w:color w:val="auto"/>
        </w:rPr>
      </w:pPr>
    </w:p>
    <w:p>
      <w:pPr>
        <w:jc w:val="both"/>
        <w:ind w:left="1140" w:hanging="160"/>
        <w:spacing w:after="0" w:line="247" w:lineRule="auto"/>
        <w:tabs>
          <w:tab w:leader="none" w:pos="11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speed and efficiency of patient onboarding to increase utilization and reduce patient waiting times: </w:t>
      </w:r>
      <w:r>
        <w:rPr>
          <w:rFonts w:ascii="Times New Roman" w:cs="Times New Roman" w:eastAsia="Times New Roman" w:hAnsi="Times New Roman"/>
          <w:sz w:val="18"/>
          <w:szCs w:val="18"/>
          <w:color w:val="auto"/>
        </w:rPr>
        <w:t>We have and will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 initiatives that increase the speed through which patients convert from initial consultation to procedure. These initiatives include hiring additional sales support staff to respond to patient inquiries and utilizing virtual consultations that enable our patients to speak with surgeons and qualified patient care representatives in the convenience of their own home or office, making it easier and quicker to schedule a procedure and reduce overall waiting time.</w:t>
      </w:r>
    </w:p>
    <w:p>
      <w:pPr>
        <w:spacing w:after="0" w:line="109" w:lineRule="exact"/>
        <w:rPr>
          <w:rFonts w:ascii="Times New Roman" w:cs="Times New Roman" w:eastAsia="Times New Roman" w:hAnsi="Times New Roman"/>
          <w:sz w:val="18"/>
          <w:szCs w:val="18"/>
          <w:color w:val="auto"/>
        </w:rPr>
      </w:pPr>
    </w:p>
    <w:p>
      <w:pPr>
        <w:jc w:val="both"/>
        <w:ind w:left="1140" w:hanging="160"/>
        <w:spacing w:after="0" w:line="225" w:lineRule="auto"/>
        <w:tabs>
          <w:tab w:leader="none" w:pos="11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introduce new, innovative procedures: </w:t>
      </w:r>
      <w:r>
        <w:rPr>
          <w:rFonts w:ascii="Times New Roman" w:cs="Times New Roman" w:eastAsia="Times New Roman" w:hAnsi="Times New Roman"/>
          <w:sz w:val="18"/>
          <w:szCs w:val="18"/>
          <w:color w:val="auto"/>
        </w:rPr>
        <w:t>Since our founding in 2012, we have demonstrated our ability to innovate with the novel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introduction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to the cosmetic surgery field. Over the past decade, we have generated more revenue per patient, which we believe is a direct result of our successful introduction of new procedures to meet our patients’ needs. Fat transfer has been a highly successful innovation and is now a critical component of our offering, enabling the artistry of many of our most popular and highest revenue procedures. We also continue to develop new procedures, such as the Hip Flip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CankCure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 meet our patients’ demand and drive traffic to our centers.</w:t>
      </w:r>
    </w:p>
    <w:p>
      <w:pPr>
        <w:spacing w:after="0" w:line="118" w:lineRule="exact"/>
        <w:rPr>
          <w:rFonts w:ascii="Times New Roman" w:cs="Times New Roman" w:eastAsia="Times New Roman" w:hAnsi="Times New Roman"/>
          <w:sz w:val="18"/>
          <w:szCs w:val="18"/>
          <w:color w:val="auto"/>
        </w:rPr>
      </w:pPr>
    </w:p>
    <w:p>
      <w:pPr>
        <w:ind w:left="1140" w:right="460" w:hanging="160"/>
        <w:spacing w:after="0" w:line="268" w:lineRule="auto"/>
        <w:tabs>
          <w:tab w:leader="none" w:pos="11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prices on procedures: </w:t>
      </w:r>
      <w:r>
        <w:rPr>
          <w:rFonts w:ascii="Times New Roman" w:cs="Times New Roman" w:eastAsia="Times New Roman" w:hAnsi="Times New Roman"/>
          <w:sz w:val="18"/>
          <w:szCs w:val="18"/>
          <w:color w:val="auto"/>
        </w:rPr>
        <w:t>We have an ability to increase prices on our procedures driven by the strong value proposition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offer to our patients.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employ the following strategies to drive brand awareness:</w:t>
      </w:r>
    </w:p>
    <w:p>
      <w:pPr>
        <w:spacing w:after="0" w:line="110" w:lineRule="exact"/>
        <w:rPr>
          <w:sz w:val="20"/>
          <w:szCs w:val="20"/>
          <w:color w:val="auto"/>
        </w:rPr>
      </w:pPr>
    </w:p>
    <w:p>
      <w:pPr>
        <w:jc w:val="both"/>
        <w:ind w:left="500" w:hanging="168"/>
        <w:spacing w:after="0" w:line="219"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Developing digital content, including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before and after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photo gallery and 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TV: </w:t>
      </w:r>
      <w:r>
        <w:rPr>
          <w:rFonts w:ascii="Times New Roman" w:cs="Times New Roman" w:eastAsia="Times New Roman" w:hAnsi="Times New Roman"/>
          <w:sz w:val="18"/>
          <w:szCs w:val="18"/>
          <w:color w:val="auto"/>
        </w:rPr>
        <w:t>We have collected a catalog of over 200,000 “before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after” photos, showcasing our treatment outcomes. Our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TV program, featured on our Elite Body Sculpture Instagram page and website, provides a never-before seen transparency in our space, encouraging further growth. We will continue to develop high quality digital content that highlights the transformative power of our minimally invasive procedures.</w:t>
      </w:r>
    </w:p>
    <w:p>
      <w:pPr>
        <w:spacing w:after="0" w:line="74" w:lineRule="exact"/>
        <w:rPr>
          <w:rFonts w:ascii="Times New Roman" w:cs="Times New Roman" w:eastAsia="Times New Roman" w:hAnsi="Times New Roman"/>
          <w:sz w:val="18"/>
          <w:szCs w:val="18"/>
          <w:color w:val="auto"/>
        </w:rPr>
      </w:pPr>
    </w:p>
    <w:p>
      <w:pPr>
        <w:jc w:val="both"/>
        <w:ind w:left="500" w:hanging="168"/>
        <w:spacing w:after="0" w:line="260"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digital and traditional marketing: </w:t>
      </w:r>
      <w:r>
        <w:rPr>
          <w:rFonts w:ascii="Times New Roman" w:cs="Times New Roman" w:eastAsia="Times New Roman" w:hAnsi="Times New Roman"/>
          <w:sz w:val="18"/>
          <w:szCs w:val="18"/>
          <w:color w:val="auto"/>
        </w:rPr>
        <w:t>Our in-house marketing team generates continuous media coverage of our offering across social, digital,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traditional media channels, such as magazines and TV. By using web-based lead generation, we generate over 400,000 monthly website visits, primarily through optimized spend on Google’s marketing engine.</w:t>
      </w:r>
    </w:p>
    <w:p>
      <w:pPr>
        <w:spacing w:after="0" w:line="56" w:lineRule="exact"/>
        <w:rPr>
          <w:rFonts w:ascii="Times New Roman" w:cs="Times New Roman" w:eastAsia="Times New Roman" w:hAnsi="Times New Roman"/>
          <w:sz w:val="18"/>
          <w:szCs w:val="18"/>
          <w:color w:val="auto"/>
        </w:rPr>
      </w:pPr>
    </w:p>
    <w:p>
      <w:pPr>
        <w:ind w:left="500" w:hanging="168"/>
        <w:spacing w:after="0" w:line="271"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Celebrity endorsements: </w:t>
      </w:r>
      <w:r>
        <w:rPr>
          <w:rFonts w:ascii="Times New Roman" w:cs="Times New Roman" w:eastAsia="Times New Roman" w:hAnsi="Times New Roman"/>
          <w:sz w:val="18"/>
          <w:szCs w:val="18"/>
          <w:color w:val="auto"/>
        </w:rPr>
        <w:t>We collaborate with celebrity influencers and TV personalities to drive continuous media coverage that raises brand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awareness and social acceptance of our procedures.</w:t>
      </w:r>
    </w:p>
    <w:p>
      <w:pPr>
        <w:spacing w:after="0" w:line="59" w:lineRule="exact"/>
        <w:rPr>
          <w:rFonts w:ascii="Times New Roman" w:cs="Times New Roman" w:eastAsia="Times New Roman" w:hAnsi="Times New Roman"/>
          <w:sz w:val="18"/>
          <w:szCs w:val="18"/>
          <w:color w:val="auto"/>
        </w:rPr>
      </w:pPr>
    </w:p>
    <w:p>
      <w:pPr>
        <w:ind w:left="500" w:right="20" w:hanging="168"/>
        <w:spacing w:after="0" w:line="271" w:lineRule="auto"/>
        <w:tabs>
          <w:tab w:leader="none" w:pos="4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Patient testimonials: </w:t>
      </w:r>
      <w:r>
        <w:rPr>
          <w:rFonts w:ascii="Times New Roman" w:cs="Times New Roman" w:eastAsia="Times New Roman" w:hAnsi="Times New Roman"/>
          <w:sz w:val="18"/>
          <w:szCs w:val="18"/>
          <w:color w:val="auto"/>
        </w:rPr>
        <w:t>Our patients are some of the best advocates for our brand, with many recommending our procedures to family and friends.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encourage our patients to share their “before and after” photos on social media.</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 employ the following strategies to expand our footprint:</w:t>
      </w:r>
    </w:p>
    <w:p>
      <w:pPr>
        <w:spacing w:after="0" w:line="167" w:lineRule="exact"/>
        <w:rPr>
          <w:sz w:val="20"/>
          <w:szCs w:val="20"/>
          <w:color w:val="auto"/>
        </w:rPr>
      </w:pPr>
    </w:p>
    <w:p>
      <w:pPr>
        <w:jc w:val="both"/>
        <w:ind w:left="500" w:hanging="168"/>
        <w:spacing w:after="0" w:line="239" w:lineRule="auto"/>
        <w:tabs>
          <w:tab w:leader="none" w:pos="49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Expand Footprint by Opening New Centers in the United States: </w:t>
      </w:r>
      <w:r>
        <w:rPr>
          <w:rFonts w:ascii="Times New Roman" w:cs="Times New Roman" w:eastAsia="Times New Roman" w:hAnsi="Times New Roman"/>
          <w:sz w:val="18"/>
          <w:szCs w:val="18"/>
          <w:color w:val="auto"/>
        </w:rPr>
        <w:t>We believe our track record of successfully opening new Elite Body Sculpture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centers consistently generating strong unit-level economics validates our strategy across the United States and to domestically expand our footprint. In order to ensure our new centers are profitable, we follow the same business plan for each new center. A new center is generally profitable within the first few months of opening, supported by our 100% upfront private pay policy. We have strong conviction in our ability to continuously improve our unit economics as we open additional centers in the United States. With our patient care consultants and surgeons performing virtual consultations ahead of store openings, we are able to pre-book procedures and can begin performing surgeries on a center’s opening day, accelerating the ramp up of those centers.</w:t>
      </w:r>
    </w:p>
    <w:p>
      <w:pPr>
        <w:spacing w:after="0" w:line="117" w:lineRule="exact"/>
        <w:rPr>
          <w:rFonts w:ascii="Arial" w:cs="Arial" w:eastAsia="Arial" w:hAnsi="Arial"/>
          <w:sz w:val="22"/>
          <w:szCs w:val="22"/>
          <w:color w:val="auto"/>
        </w:rPr>
      </w:pPr>
    </w:p>
    <w:p>
      <w:pPr>
        <w:jc w:val="both"/>
        <w:ind w:left="500" w:hanging="168"/>
        <w:spacing w:after="0" w:line="260"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Disciplined Approach to Choosing Potential Markets: </w:t>
      </w:r>
      <w:r>
        <w:rPr>
          <w:rFonts w:ascii="Times New Roman" w:cs="Times New Roman" w:eastAsia="Times New Roman" w:hAnsi="Times New Roman"/>
          <w:sz w:val="18"/>
          <w:szCs w:val="18"/>
          <w:color w:val="auto"/>
        </w:rPr>
        <w:t>Management uses a disciplined approach to choose potential markets, opening centers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minimal cost located near premium retail shops that our patients frequent. We believe there is a significant domestic growth opportunity and will continue to opportunistically evaluate new center openings and target opening three to four centers each year.</w:t>
      </w:r>
    </w:p>
    <w:p>
      <w:pPr>
        <w:spacing w:after="0" w:line="96" w:lineRule="exact"/>
        <w:rPr>
          <w:rFonts w:ascii="Times New Roman" w:cs="Times New Roman" w:eastAsia="Times New Roman" w:hAnsi="Times New Roman"/>
          <w:sz w:val="18"/>
          <w:szCs w:val="18"/>
          <w:color w:val="auto"/>
        </w:rPr>
      </w:pPr>
    </w:p>
    <w:p>
      <w:pPr>
        <w:jc w:val="both"/>
        <w:ind w:left="500" w:hanging="168"/>
        <w:spacing w:after="0" w:line="252"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Internationally: </w:t>
      </w:r>
      <w:r>
        <w:rPr>
          <w:rFonts w:ascii="Times New Roman" w:cs="Times New Roman" w:eastAsia="Times New Roman" w:hAnsi="Times New Roman"/>
          <w:sz w:val="18"/>
          <w:szCs w:val="18"/>
          <w:color w:val="auto"/>
        </w:rPr>
        <w:t>We believe our brand has global appeal. We draw clients from international markets that travel to our existing centers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body contouring procedures. We believe there is significant opportunity to open new centers in densely populated, affluent international metropolitan regions. We opened our first international facility in Toronto, Canada in December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Technique, Training and Equipment</w:t>
      </w:r>
    </w:p>
    <w:p>
      <w:pPr>
        <w:spacing w:after="0" w:line="145"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18"/>
          <w:szCs w:val="18"/>
          <w:color w:val="auto"/>
        </w:rPr>
        <w:t>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proprietary, patented method of tumescent liposuction that removes unwanted fat from several targeted areas of the body in a minimally invasive procedure, producing dramatic results. By contrast to traditional liposuction,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requires no needle, no scalpel, no stitches and no general anesthesia, with patients remaining awake during the procedure. We train our surgeons in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for which we possess a patent covering the process. Our surgeons are contractually prohibited from performing Elite Body Sculpture’s proprietary procedures, including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if they leave Elite Body Sculpture.</w:t>
      </w:r>
    </w:p>
    <w:p>
      <w:pPr>
        <w:sectPr>
          <w:pgSz w:w="11900" w:h="16838" w:orient="portrait"/>
          <w:cols w:equalWidth="0" w:num="1">
            <w:col w:w="11240"/>
          </w:cols>
          <w:pgMar w:left="320" w:top="513" w:right="339" w:bottom="1440" w:gutter="0" w:footer="0" w:header="0"/>
        </w:sect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Pain Management</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right="560"/>
        <w:spacing w:after="0" w:line="237" w:lineRule="auto"/>
        <w:rPr>
          <w:sz w:val="20"/>
          <w:szCs w:val="20"/>
          <w:color w:val="auto"/>
        </w:rPr>
      </w:pPr>
      <w:r>
        <w:rPr>
          <w:rFonts w:ascii="Times New Roman" w:cs="Times New Roman" w:eastAsia="Times New Roman" w:hAnsi="Times New Roman"/>
          <w:sz w:val="18"/>
          <w:szCs w:val="18"/>
          <w:color w:val="auto"/>
        </w:rPr>
        <w:t>Prior to the procedure, patient is given a sedative cocktail and local anesthesia via air pressure from a needleless jet injector.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-1525270</wp:posOffset>
            </wp:positionH>
            <wp:positionV relativeFrom="paragraph">
              <wp:posOffset>-255905</wp:posOffset>
            </wp:positionV>
            <wp:extent cx="1011555" cy="8655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1555" cy="86550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5120" w:space="720"/>
            <w:col w:w="5400"/>
          </w:cols>
          <w:pgMar w:left="320" w:top="513" w:right="339" w:bottom="1440" w:gutter="0" w:footer="0" w:header="0"/>
          <w:type w:val="continuous"/>
        </w:sectPr>
      </w:pPr>
    </w:p>
    <w:p>
      <w:pPr>
        <w:ind w:left="5840"/>
        <w:spacing w:after="0"/>
        <w:rPr>
          <w:sz w:val="20"/>
          <w:szCs w:val="20"/>
          <w:color w:val="auto"/>
        </w:rPr>
      </w:pPr>
      <w:r>
        <w:rPr>
          <w:rFonts w:ascii="Times New Roman" w:cs="Times New Roman" w:eastAsia="Times New Roman" w:hAnsi="Times New Roman"/>
          <w:sz w:val="17"/>
          <w:szCs w:val="17"/>
          <w:b w:val="1"/>
          <w:bCs w:val="1"/>
          <w:i w:val="1"/>
          <w:iCs w:val="1"/>
          <w:color w:val="auto"/>
        </w:rPr>
        <w:t>*Patient remains fully awake during the procedure</w:t>
      </w:r>
    </w:p>
    <w:p>
      <w:pPr>
        <w:sectPr>
          <w:pgSz w:w="11900" w:h="16838" w:orient="portrait"/>
          <w:cols w:equalWidth="0" w:num="1">
            <w:col w:w="11240"/>
          </w:cols>
          <w:pgMar w:left="320" w:top="5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840" w:right="140" w:hanging="5817"/>
        <w:spacing w:after="0" w:line="266" w:lineRule="auto"/>
        <w:tabs>
          <w:tab w:leader="none" w:pos="5820" w:val="left"/>
        </w:tabs>
        <w:rPr>
          <w:sz w:val="20"/>
          <w:szCs w:val="20"/>
          <w:color w:val="auto"/>
        </w:rPr>
      </w:pPr>
      <w:r>
        <w:rPr>
          <w:rFonts w:ascii="Times New Roman" w:cs="Times New Roman" w:eastAsia="Times New Roman" w:hAnsi="Times New Roman"/>
          <w:sz w:val="18"/>
          <w:szCs w:val="18"/>
          <w:color w:val="auto"/>
        </w:rPr>
        <w:t>2. Access Point Creation</w:t>
      </w:r>
      <w:r>
        <w:rPr>
          <w:sz w:val="20"/>
          <w:szCs w:val="20"/>
          <w:color w:val="auto"/>
        </w:rPr>
        <w:tab/>
      </w:r>
      <w:r>
        <w:rPr>
          <w:rFonts w:ascii="Times New Roman" w:cs="Times New Roman" w:eastAsia="Times New Roman" w:hAnsi="Times New Roman"/>
          <w:sz w:val="18"/>
          <w:szCs w:val="18"/>
          <w:color w:val="auto"/>
        </w:rPr>
        <w:t>One to three entryways are created by the jet injector, which are widened to 2mm (freckle-sized) by means of a biopsy punch.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-287655</wp:posOffset>
            </wp:positionV>
            <wp:extent cx="1080135" cy="925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013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840" w:right="660" w:hanging="5817"/>
        <w:spacing w:after="0" w:line="296" w:lineRule="auto"/>
        <w:tabs>
          <w:tab w:leader="none" w:pos="5820" w:val="left"/>
        </w:tabs>
        <w:rPr>
          <w:sz w:val="20"/>
          <w:szCs w:val="20"/>
          <w:color w:val="auto"/>
        </w:rPr>
      </w:pPr>
      <w:r>
        <w:rPr>
          <w:rFonts w:ascii="Times New Roman" w:cs="Times New Roman" w:eastAsia="Times New Roman" w:hAnsi="Times New Roman"/>
          <w:sz w:val="18"/>
          <w:szCs w:val="18"/>
          <w:color w:val="auto"/>
        </w:rPr>
        <w:t>3. Local Numbing</w:t>
      </w:r>
      <w:r>
        <w:rPr>
          <w:sz w:val="20"/>
          <w:szCs w:val="20"/>
          <w:color w:val="auto"/>
        </w:rPr>
        <w:tab/>
      </w:r>
      <w:r>
        <w:rPr>
          <w:rFonts w:ascii="Times New Roman" w:cs="Times New Roman" w:eastAsia="Times New Roman" w:hAnsi="Times New Roman"/>
          <w:sz w:val="17"/>
          <w:szCs w:val="17"/>
          <w:color w:val="auto"/>
        </w:rPr>
        <w:t>A thin cannula is inserted in each entryway, at which point a local numbing solution is dispersed subdermally to the target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-302260</wp:posOffset>
            </wp:positionV>
            <wp:extent cx="1088390" cy="925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8390" cy="92583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4. Fat Removal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Proprietary fat removal process uses industry</w:t>
      </w:r>
    </w:p>
    <w:p>
      <w:pPr>
        <w:spacing w:after="0"/>
        <w:rPr>
          <w:sz w:val="20"/>
          <w:szCs w:val="20"/>
          <w:color w:val="auto"/>
        </w:rPr>
      </w:pPr>
      <w:r>
        <w:rPr>
          <w:rFonts w:ascii="Times New Roman" w:cs="Times New Roman" w:eastAsia="Times New Roman" w:hAnsi="Times New Roman"/>
          <w:sz w:val="18"/>
          <w:szCs w:val="18"/>
          <w:color w:val="auto"/>
        </w:rPr>
        <w:t>accepted, FDA approved tools to grab, separate, and</w:t>
      </w:r>
    </w:p>
    <w:p>
      <w:pPr>
        <w:spacing w:after="0" w:line="1" w:lineRule="exact"/>
        <w:rPr>
          <w:sz w:val="20"/>
          <w:szCs w:val="20"/>
          <w:color w:val="auto"/>
        </w:rPr>
      </w:pPr>
    </w:p>
    <w:p>
      <w:pPr>
        <w:sectPr>
          <w:pgSz w:w="11900" w:h="16838" w:orient="portrait"/>
          <w:cols w:equalWidth="0" w:num="2">
            <w:col w:w="5120" w:space="720"/>
            <w:col w:w="5400"/>
          </w:cols>
          <w:pgMar w:left="320" w:top="513" w:right="339" w:bottom="1440" w:gutter="0" w:footer="0" w:header="0"/>
          <w:type w:val="continuous"/>
        </w:sectPr>
      </w:pPr>
    </w:p>
    <w:p>
      <w:pPr>
        <w:ind w:left="5840"/>
        <w:spacing w:after="0" w:line="227" w:lineRule="auto"/>
        <w:rPr>
          <w:sz w:val="20"/>
          <w:szCs w:val="20"/>
          <w:color w:val="auto"/>
        </w:rPr>
      </w:pPr>
      <w:r>
        <w:rPr>
          <w:rFonts w:ascii="Times New Roman" w:cs="Times New Roman" w:eastAsia="Times New Roman" w:hAnsi="Times New Roman"/>
          <w:sz w:val="18"/>
          <w:szCs w:val="18"/>
          <w:color w:val="auto"/>
        </w:rPr>
        <w:t>remove fat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-76200</wp:posOffset>
            </wp:positionV>
            <wp:extent cx="1097280" cy="916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97280" cy="916940"/>
                    </a:xfrm>
                    <a:prstGeom prst="rect">
                      <a:avLst/>
                    </a:prstGeom>
                    <a:noFill/>
                  </pic:spPr>
                </pic:pic>
              </a:graphicData>
            </a:graphic>
          </wp:anchor>
        </w:drawing>
      </w:r>
    </w:p>
    <w:p>
      <w:pPr>
        <w:spacing w:after="0" w:line="70" w:lineRule="exact"/>
        <w:rPr>
          <w:sz w:val="20"/>
          <w:szCs w:val="20"/>
          <w:color w:val="auto"/>
        </w:rPr>
      </w:pPr>
    </w:p>
    <w:p>
      <w:pPr>
        <w:ind w:left="5840" w:right="1600"/>
        <w:spacing w:after="0" w:line="216" w:lineRule="auto"/>
        <w:rPr>
          <w:sz w:val="20"/>
          <w:szCs w:val="20"/>
          <w:color w:val="auto"/>
        </w:rPr>
      </w:pPr>
      <w:r>
        <w:rPr>
          <w:rFonts w:ascii="Times New Roman" w:cs="Times New Roman" w:eastAsia="Times New Roman" w:hAnsi="Times New Roman"/>
          <w:sz w:val="18"/>
          <w:szCs w:val="18"/>
          <w:color w:val="auto"/>
        </w:rPr>
        <w:t>An FDA-approved handpiece drives cannula 1,000 times per minute in a corkscrew motion to remove fat cells, without harming surrounding tissue</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and structures.</w:t>
      </w:r>
    </w:p>
    <w:p>
      <w:pPr>
        <w:spacing w:after="0" w:line="97" w:lineRule="exact"/>
        <w:rPr>
          <w:sz w:val="20"/>
          <w:szCs w:val="20"/>
          <w:color w:val="auto"/>
        </w:rPr>
      </w:pPr>
    </w:p>
    <w:p>
      <w:pPr>
        <w:ind w:left="5840" w:right="1680"/>
        <w:spacing w:after="0" w:line="216" w:lineRule="auto"/>
        <w:rPr>
          <w:sz w:val="20"/>
          <w:szCs w:val="20"/>
          <w:color w:val="auto"/>
        </w:rPr>
      </w:pPr>
      <w:r>
        <w:rPr>
          <w:rFonts w:ascii="Times New Roman" w:cs="Times New Roman" w:eastAsia="Times New Roman" w:hAnsi="Times New Roman"/>
          <w:sz w:val="18"/>
          <w:szCs w:val="18"/>
          <w:color w:val="auto"/>
        </w:rPr>
        <w:t>The amount of fat removed via the AirSculpt® method depends on patient body size, desired outcomes and state regulations. After the procedure</w:t>
      </w:r>
    </w:p>
    <w:p>
      <w:pPr>
        <w:ind w:left="5840"/>
        <w:spacing w:after="0" w:line="204" w:lineRule="auto"/>
        <w:rPr>
          <w:sz w:val="20"/>
          <w:szCs w:val="20"/>
          <w:color w:val="auto"/>
        </w:rPr>
      </w:pPr>
      <w:r>
        <w:rPr>
          <w:rFonts w:ascii="Times New Roman" w:cs="Times New Roman" w:eastAsia="Times New Roman" w:hAnsi="Times New Roman"/>
          <w:sz w:val="18"/>
          <w:szCs w:val="18"/>
          <w:color w:val="auto"/>
        </w:rPr>
        <w:t>is complete, a piece of dry gauze is used to cover the</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entryway to protect against infection.</w:t>
      </w:r>
    </w:p>
    <w:p>
      <w:pPr>
        <w:sectPr>
          <w:pgSz w:w="11900" w:h="16838" w:orient="portrait"/>
          <w:cols w:equalWidth="0" w:num="1">
            <w:col w:w="11240"/>
          </w:cols>
          <w:pgMar w:left="320" w:top="5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Across our centers, we use a network of independent surgeons to perform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We believe that the desire to be an Elite Body Sculpture surgeon has provided us with ready access to talented providers, making recruitment a selective process. Additionally, through referral and outreach, we plan to continue recruiting surgeons to perform procedures on our growing number of patients. We conduct background checks on prospective surgeons, confirming licensure and checking surgeon records contained in the National Practitioner Data Bank. Furthermore, we consider the body of work of prospective surgeons, including before and after photos and areas of specialization. Following this initial selection process, our prospective surgeons undergo in-house training through the Elite Fellowship Program where they receive proprietary information regarding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and approved body markings, observe videos of experienced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surgeons, observe those surgeons complete eight to ten procedures in-person, and later complete three procedures under the in -person supervision of those surgeons. If a prospective surgeon successfully completes the Elite Fellowship Program, they are permitted to conduct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without restrictions. Otherwise, they are observed in additional training procedures or are not chosen to join the Elite Body Sculpture team. Additionally, there is a comprehensive ongoing review process of all surgeons conducted by our experienced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surgeons, which includes on-site visits at centers to help maintain quality standards, and feedback from other staff members, including members of our nursing team.</w:t>
      </w:r>
    </w:p>
    <w:p>
      <w:pPr>
        <w:spacing w:after="0" w:line="12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connection with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we currently use an FDA-approved handpiece manufactured by Euromi S.A., a Belgian company that specializes in the manufacturing and distribution of medical, dermatological and plastic surgery products, and other FDA- approved parts, such as the cannula and vacuum pump, from other manufacturers. The handpiece we use costs significantly more than other handpiece models, and we believe it is more powerful while being gentler for the patient, helping to produce better results. Some of the other parts used are customized for us by our suppliers for our procedure. Although using FDA-approved equipment in medical procedures is the practice of medicine and does not itself require further FDA review or approval, FDA regulations require that we report certain information about adverse medical events if our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have caused or contributed to those adverse events.</w:t>
      </w:r>
    </w:p>
    <w:p>
      <w:pPr>
        <w:spacing w:after="0" w:line="1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While we recruit our surgeons with a focus on excellence and skill, the handpiece we use in connection with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method is designed to automatically shut off if any issues are detected in the process (e.g., excessive heat levels). As of the date of this Annual Report on Form 10-K, we are not aware of any adverse events in connection with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that would require reporting under any regulations.</w:t>
      </w:r>
    </w:p>
    <w:p>
      <w:pPr>
        <w:spacing w:after="0" w:line="4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We are continuously working to innovate to make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easier to perform, deliver enhanced results, and be more pleasant for our patients, all with a goal of providing the best body contouring results possible. Moreover, we continue to develop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new procedures and also seek to incorporate new technologies into our current procedures.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 Format and Selection</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centers are approximately 3,000 square feet each and are typically open six days per week, with select centers open seven days per week, from 9 am to 5 pm. Certain centers may operate outside of typical hours to accommodate client schedules. Most existing locations have two procedure rooms. Our centers are typically staffed by three surgeons, who are independent contractors, nurses, office managers, sales consultants, sales assistants and front desk concierges/administrative assistants.</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target markets include affluent metropolitan and suburban areas. We conduct in-person site visits to proposed center locations. We use a disciplined approach when opening de novo centers and conduct extensive diligence of potential markets through social research, economic analysis of each market and conduct in-person site visits to proposed center locations.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Marketing and Sales Efforts and Third-Party Financing</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marketing efforts are driven by an in-house team of professionals that focus on digital and other platforms. In addition to monitoring and managing our social media presence, our team is focused on search engine optimization on our digital platform. For the year ended December 31, 2022, our total advertising costs were $20.6 million, split 85% digital advertising and 15% other advertising platforms.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Our total selling expenses for 2022 were approximately $22.4 million, or approximately 13.3% of revenue. Our customer acquisition costs were approximately $2,300 per customer in 2022.</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sales assistants respond to inquiries from prospective patients and schedule virtual or in-person consultations. Starting in 2020, we began to offer our patients the choice of a pre-procedure virtual consult. Rather than making an in-office appointment, our patients are able to speak with our surgeons and qualified patient care consultants in the convenience of their own home or office typically within 24-72 hours. We encourage a strong relationship between our patients and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surgeons, from initial consultation, through procedure, to after treatment. Nearly all of our patient-facing consultants are former patients and can speak to their personal Elite experiences. Based on these efforts, together with discussions with our surgeons, our patients elect to move forward and schedule a procedure date. Many patients, satisfied with results and experience, return to Elite Body Sculpture to receive further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treatments on additional body parts.</w:t>
      </w:r>
    </w:p>
    <w:p>
      <w:pPr>
        <w:spacing w:after="0" w:line="1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consultants provide patients pricing information the day of their consult and, if requested by the patient, assist patients with securing third-party financing from entities such as CareCredit, Alphaeon Credit and United Medical Credit, enabling consumers to more quickly schedule their procedures. We do not face any risk in default of payment under that financing arrangement, which is solely between the patient and third party financing vendor. In 2022, approximately 43% of our cases involved the patient securing third-party financing.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 of December 31, 2022, our patent portfolio is comprised of two issued U.S. utility patents and one pending U.S. utility patent applications, each of which we own directly. The tools we use to perform our fat removal and fat transfer procedures are purchased from third parties and we do not own the proprietary rights to such tools. Instead of protecting specific, individual liposuction components (such as a particular handpiece design), our issued patents and one of our pending applications relate to certain proprietary implementations of the process described in the section “Our Technique, Training and Equipment,” and the combination of multiple components to form proprietary systems that are specially configured for carrying out those proprietary processes. We believe the systems and methodologies claimed in our issued patents provide impressive results with less patient trauma relative to other systems and methods, such as liposuction and abdominoplasty (tummy tuck), that require more invasive surgical procedures. In general, patents have a term of 20 years from the application filing date or earliest claimed non-provisional priority date. We expect our issued patents to expire in 2033 or later.</w:t>
      </w:r>
    </w:p>
    <w:p>
      <w:pPr>
        <w:spacing w:after="0" w:line="119"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8"/>
          <w:szCs w:val="18"/>
          <w:color w:val="auto"/>
        </w:rPr>
        <w:t>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AirSculpt Plus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AirSculpt Smooth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AirSculpt Slim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No Needle, No Scalpel, No Stitches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If You Can Pinch It, We Can Take 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Power BBL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Tiny Tuck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48 Hour Six Pack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AirSculpt is for Everybody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Cure for the Hip Dip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Hip Flip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CankCure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Next Generation Of Body Contouring, and our logo are U.S. registered trademarks or trademarks for which registration is pending in the United States. We have also registered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certain other trademarks outside of the United States.</w:t>
      </w:r>
    </w:p>
    <w:p>
      <w:pPr>
        <w:spacing w:after="0" w:line="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seek to protect our intellectual property by filing patent applications in the United States related to our procedures that are important to our business. We rely on a combination of confidentiality, non-disclosure and assignment of invention agreements with our employees, surgeons, consultants, contractors and other partners and collaborators. We further rely on copyright, trademark and trade secret laws to protect our brands, proprietary technologies, know-how, data, and copyrighted content (including our library of before and after photographs).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brand recognition and minimally invasive procedures with results meeting or exceeding our customer expectations distinguish us in the rapidly growing market for body contouring.</w:t>
      </w:r>
    </w:p>
    <w:p>
      <w:pPr>
        <w:spacing w:after="0" w:line="95"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While we believe we are transforming and growing the body contouring market, our primary competition includes individual and small practice group providers of traditional liposuction, which we believe require a longer patient recovery time than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some national providers of other minimally-invasive techniques, which we believe are less effective than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Additionally, university and hospital systems, medical spas and centers and beauty and rejuvenation centers include the body contouring services in their offerings.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areas in which we compete include:</w:t>
      </w:r>
    </w:p>
    <w:p>
      <w:pPr>
        <w:spacing w:after="0" w:line="100" w:lineRule="exact"/>
        <w:rPr>
          <w:sz w:val="20"/>
          <w:szCs w:val="20"/>
          <w:color w:val="auto"/>
        </w:rPr>
      </w:pPr>
    </w:p>
    <w:p>
      <w:pPr>
        <w:ind w:left="480" w:hanging="148"/>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Patients: </w:t>
      </w:r>
      <w:r>
        <w:rPr>
          <w:rFonts w:ascii="Times New Roman" w:cs="Times New Roman" w:eastAsia="Times New Roman" w:hAnsi="Times New Roman"/>
          <w:sz w:val="18"/>
          <w:szCs w:val="18"/>
          <w:color w:val="auto"/>
        </w:rPr>
        <w:t>We compete for patients to utilize our procedures through our marketing efforts and exceptional brand reputation.</w:t>
      </w:r>
    </w:p>
    <w:p>
      <w:pPr>
        <w:spacing w:after="0" w:line="117" w:lineRule="exact"/>
        <w:rPr>
          <w:rFonts w:ascii="Times New Roman" w:cs="Times New Roman" w:eastAsia="Times New Roman" w:hAnsi="Times New Roman"/>
          <w:sz w:val="18"/>
          <w:szCs w:val="18"/>
          <w:color w:val="auto"/>
        </w:rPr>
      </w:pPr>
    </w:p>
    <w:p>
      <w:pPr>
        <w:jc w:val="both"/>
        <w:ind w:left="500" w:hanging="168"/>
        <w:spacing w:after="0" w:line="252"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Procedure Offering: </w:t>
      </w:r>
      <w:r>
        <w:rPr>
          <w:rFonts w:ascii="Times New Roman" w:cs="Times New Roman" w:eastAsia="Times New Roman" w:hAnsi="Times New Roman"/>
          <w:sz w:val="18"/>
          <w:szCs w:val="18"/>
          <w:color w:val="auto"/>
        </w:rPr>
        <w:t>We compete with providers of liposuction, abdominoplasty (tummy tuck) and gastric bypass surgery, and non-surgical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procedures that use cooling, injected medication or heat to reduce fat cells. Many procedures can also involve significant pain and may require excess post-surgical recovery time.</w:t>
      </w:r>
    </w:p>
    <w:p>
      <w:pPr>
        <w:spacing w:after="0" w:line="76" w:lineRule="exact"/>
        <w:rPr>
          <w:rFonts w:ascii="Times New Roman" w:cs="Times New Roman" w:eastAsia="Times New Roman" w:hAnsi="Times New Roman"/>
          <w:sz w:val="18"/>
          <w:szCs w:val="18"/>
          <w:color w:val="auto"/>
        </w:rPr>
      </w:pPr>
    </w:p>
    <w:p>
      <w:pPr>
        <w:ind w:left="500" w:hanging="168"/>
        <w:spacing w:after="0" w:line="271"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Surgeons and other professionals: </w:t>
      </w:r>
      <w:r>
        <w:rPr>
          <w:rFonts w:ascii="Times New Roman" w:cs="Times New Roman" w:eastAsia="Times New Roman" w:hAnsi="Times New Roman"/>
          <w:sz w:val="18"/>
          <w:szCs w:val="18"/>
          <w:color w:val="auto"/>
        </w:rPr>
        <w:t>We compete for high quality surgeons and other professionals across the body contouring and cosmetic surgery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to ensure we are able to continue to provide our patients with a smooth process, premium service, and high quality results.</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competitive factors that companies in our industry need to consider include, but are not limited to: enhanced products and services, procedure safety, competitive pricing policies, vision for the market and procedure innovation, strength of sales and marketing strategies, technological advances, brand awareness and reputation, and access to financing.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compete favorably across all of these factors and we have developed a business model that is difficult to replicate.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Surgeon Practice Structure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prevalence of the corporate practice of medicine doctrine, including in many of the states where we conduct our business, our affiliated surgeons are organized in traditional physician practice group structures.</w:t>
      </w:r>
    </w:p>
    <w:p>
      <w:pPr>
        <w:spacing w:after="0" w:line="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accordance with applicable state laws, our surgeons have exclusive control and responsibility for all clinical decision-making and the provision of medical care to patients. The Professional Associations are set up as legal entities, separate from Elite Body Sculpture, organized in accordance with applicable state laws regarding the types of entities that may operate a physician practice group. Each of the Professional Associations under which our affiliated surgeons operate is owned by a licensed, qualified physician. Our structure enables more effective and efficient sharing of results among our affiliated surgeons, including with respect to educating and training them as to best demonstrated clinical processes, provides them with access to our sophisticated information systems, and helps to shield us from professional liability.</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Each of the Professional Associations contracts with surgeons to provide body contouring services to its patients. Each such surgeon must hold an active license to practice medicine in the state where the applicable Professional Association operates. In most cases, surgeons enter into independent contractor agreements with the applicable Professional Association, under which the surgeon is paid a percentage of the professional fees collected by the Professional Association for each surgery the surgeon personally performs, net of any adjustments for financing fees, patient refunds, or any other allowances applicable to the services provided. A typical agreement with our surgeons will have a term of two to three years. The Professional Associations are generally responsible for billing patients for services rendered by our surgeons. Subject to applicable state laws governing enforceability of restrictive covenants relating to physicians, our surgeons contracted by the Professional Associations have agreed not to compete during the contracted period and have agreed not to use or disclose Elite Body Sculpture’s proprietary information, including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even after the terms of their respective contracts.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Services Agreements</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entered into MSAs with each of the Professional Associations, under which the Company, through its wholly-owned subsidiaries, provides the Professional Associations with exclusive, administrative, management and other business support services, including, but not limited to, billing and collection, accounting, legal, human resources, information technology, compliance and recruiting assistance (the “Management Services”). The Professional Associations retain exclusive control and responsibility for all clinical aspects of the practice of medicine and the delivery of medical services and for contracting with all surgeons and other licensed professionals performing procedures through the Professional Associations. The MSAs are long-term in nature, typically with an initial term of 10 years that automatically renews for successive 5 year terms unless either party provides notice not to renew before the end of the then-current term, subject only to a right of termination in the case of uncured material breach. Under the terms of the MSAs, and subject to state laws and other regulations governing professional fee-splitting, our wholly-owned subsidiaries are typically paid either a flat monthly fee or where permitted, a monthly fee structured as (i) a flat dollar amount for all marketing and advertising advice, assistance, and services provided and</w:t>
      </w:r>
    </w:p>
    <w:p>
      <w:pPr>
        <w:spacing w:after="0" w:line="3" w:lineRule="exact"/>
        <w:rPr>
          <w:sz w:val="20"/>
          <w:szCs w:val="20"/>
          <w:color w:val="auto"/>
        </w:rPr>
      </w:pPr>
    </w:p>
    <w:p>
      <w:pPr>
        <w:jc w:val="both"/>
        <w:ind w:firstLine="8"/>
        <w:spacing w:after="0"/>
        <w:tabs>
          <w:tab w:leader="none" w:pos="2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equal to a percentage of the Professional Association’s gross revenues for the applicable month. These agreements also generally provide opportunities for supplemental bonuses. In addition, the Professional Associations have also agreed to reimburse us for certain expenses. See “Governmental Regulation—State Corporate Practice of Medicine and Fee-Splitting Laws.”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Continuity Agreements</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have entered into Continuity Agreements at all of our Professional Associations, with the exception of New York, with Dr. Rollins and the other Surgeon Owners whereby they are the sole directors, officers, and owners of the Professional Associations. The Continuity Agreements (i) prohibit the Surgeon Owners from freely transferring or selling their interests in the Professional Associations, (ii) provide for the ability to add a second Surgeon Owner to help ensure continuity of the Professional Association, and (iii) provide that the ownership interests of the Surgeon Owners will automatically be transferred to another licensed professional designated by us in accordance with the terms of the Continuity Agreement upon the occurrence of certain events, which include, but is not limited to, the Surgeon Owner’s death, the termination of the Surgeon Owner’s employment, the Surgeon Owner’s license to practice medicine being revoked or terminated, the Surgeon Owner filing a petition for bankruptcy, the Surgeon Owner becoming indicted for or convicted of any felony or any misdemeanor offense involving moral turpitude, the Surgeon Owner breaching any provision of the Continuity Agreement, the Surgeon Owner’s gross negligence, willful misconduct or fraud with respect to the Professional Association, and the Surgeon Owner’s disability or incapacity.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Each Continuity Agreement will remain in effect until it is terminated (i) by written agreement signed by or on behalf of each party, (ii) upon the 21-year anniversary of the death of the Surgeon Owner, or (iii) only by the manager (being our wholly-owned subsidiaries), upon at least 30 days prior written notice of such termination to the Professional Association.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business and the healthcare industry generally are highly regulated. While we believe that we have structured our agreements and operations in material compliance with applicable healthcare laws and regulations, there can be no assurance that we will be able to successfully address changes in the current regulatory environment or changes in interpretation of existing laws and regulations. We believe that our business operations materially comply with applicable healthcare laws and regulations. However,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Medical Practice, Certification</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practice of medicine, including the performance of surgery, is subject to various federal, state and local certification and licensing laws, regulations, approvals and standards, relating to, among other things, the adequacy of medical care, the practice of medicine (including the provision of remote care and consultations), equipment, personnel, operating policies and procedures, prerequisites for the prescription of medication, ordering tests and other professional services.</w:t>
      </w:r>
    </w:p>
    <w:p>
      <w:pPr>
        <w:spacing w:after="0" w:line="1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Physicians, surgeons and licensed professionals who provide professional medical services to patients must hold a valid license to practice medicine or otherwise be certified or qualified to provide the licensed professional service in the state in which the patient is located. Failure to comply with these laws and regulations could result in licensure actions against the professionals, rendered services being found to be non-reimbursable, or prior payments being subject to recoupments and can give rise to civil, criminal or administrative penalties. Our centers are operated as physician office-based practices, which generally rely on the licenses of the surgeons performing medical services through the affiliated Professional Associations at our locations, as well as other permits and licenses including CLIA certifications, medical waste permits, and local operating permits. Some states also require the applicable Professional Association to hold its own clinic license or permit. Through the affiliated Professional Associations, we voluntarily seek accreditation from The Joint Commission for all of our centers. The Joint Commission is a not-for-profit with over 70 years of experience in health care accreditation. Accreditation and certification for each of our centers requires an on-site evaluation of the quality and safety of patient care. A leading nationally-recognized accreditation, for an office-based practice, demonstrates our commitment to safety and quality. Our ability to operate profitably will depend in part upon our centers, the affiliated Professional Associations and their surgeons obtaining and maintaining all necessary licenses and other approvals and operating in compliance with applicable healthcare regulations. Failure to do so could have a material adverse effect on our business.</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centers are subject to other federal, state and local laws dealing with issues such as occupational safety, employment, medical leave, insurance regulations, civil rights, discrimination, building codes and other environmental issues. Federal, state and local governments are expanding the regulatory requirements on businesses like ours. The imposition of these regulatory requirements may have the effect of increasing operating costs and reducing the profitability of our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Corporate Practice of Medicine and Fee-Splitting Laws</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laws in many of the states in which we operate or may in the future operate, prohibit entities owned by non-physicians from practicing medicine, exercising control over surgeons, employing surgeons or otherwise interfering with the independent professional judgment of surgeons. This prohibition on the corporate practice of medicine, is intended to prevent unlicensed persons from interfering with the practice of medicine by licensed surgeons or interfering in any way with the independent professional judgment of physicians as it pertains to patient treatment and related clinical matters. Activities other than those directly related to the delivery of healthcare may be considered an element of the practice of medicine in many states. In certain states where we currently, or in the future, may operate, the corporate practice of medicine doctrine and other licensed professions restrictions may be implicated by decisions and activities such as contracting, setting rates and the hiring and management of clinical or licensed personnel. Many states also have regulations that prevent professional fee-splitting, which is the unlawful sharing of professional fees with unlicensed persons or entities owned by unlicensed persons, often in connection with referrals or other business generated by such persons. Corporate practice of medicine and fee splitting laws and rules vary from state to state and are not always consistent. In addition, these requirements are subject to broad interpretation and enforcement by state regulators. Thus, regulatory authorities or other persons, including the Professional Associations’ contracted surgeons, may assert that, notwithstanding the careful structuring of our management arrangements, that we are engaged in the corporate practice of medicine or that the fees earned by us under our contractual arrangements with the Professional Associations constitute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unlawful fee splitting. In such event, failure to comply could lead to adverse judicial or administrative action against us and/or our surgeons, civil, criminal or administrative penalties, receipt of cease and desist orders from state regulators, loss of provider licenses, the need to make changes to the terms of engagement with the Professional Associations (or their terms of engagement with their contracted surgeons), in each case that interfere with our business, our profitability and may have other materially adverse consequences.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Fraud and Abuse Laws</w:t>
      </w:r>
    </w:p>
    <w:p>
      <w:pPr>
        <w:spacing w:after="0" w:line="1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Even though our services are not currently covered by any government healthcare program or other third-party payor, the laws in some of the states in which we operate, or may in the future operate, prohibit surgeons and other healthcare providers from referring patients to centers in which the surgeon or other healthcare provider has a financial interest unless an exception applies or providing any form of remuneration or a “kickback” for referrals of patients for medical items or services. Some state fraud and abuse laws apply to items or services reimbursed by any payor, including patients and commercial insurers, not just those reimbursed by a federally funded healthcare program. Because of the breadth of these laws and the narrowness of available statutory and regulatory exceptions, it is possible that some of our business activities could be subject to challenge under one or more of such laws. If we or our operations are found to be in violation of any of these laws or any other governmental regulations that apply to us, we may be subject to penalties, including civil and criminal penalties, damages, fines, imprisonment and the curtailment or restructuring of our operations, any of which could materially adversely affect our ability to operate our business and our financial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Antitrust Laws</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federal government and most states have enacted antitrust laws that prohibit certain types of conduct deemed to be anti-competitive. These laws prohibit price fixing, concerted refusal to deal, market monopolization, price discrimination, tying arrangements, acquisitions of competitors and other practices that have, or may have, an adverse effect on competition. Violations of federal or state antitrust laws can result in various sanctions, including criminal and civil penalties. Antitrust enforcement in the healthcare industry is currently a priority of the Federal Trade Commission (the “FTC”). We believe we are in compliance with federal and state antitrust laws, but courts or regulatory authorities may reach a determination in the future that could have a material adverse effect on our business, prospects,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we employed approximately 291 full-time employees and approximately 11 part-time employees. We also had contracts with approximately 64 surgeons. While each center varies depending on its size, case volume and case types, we employ an average of approximately 10 full-time equivalent employees at our centers.</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While we provide “full-time equivalent” information, a number of our employees work on flexible schedules rather than full-time, which increases our staffing efficiency. As a result, these employees also do not participate in our benefits structure, which we believe reduces the relative cost of our benefits plans to us. None of our employees is represented by a collective bargaining agreement.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4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was founded by Dr. Rollins in 2012 and reorganized in 2018 as part of the acquisition by our Sponsor of a majority stake in the company prior to the IPO. AirSculpt Technologies, Inc. was incorporated in Delaware on June 30, 2021 and completed an IPO on October 28, 2021.</w:t>
      </w:r>
    </w:p>
    <w:p>
      <w:pPr>
        <w:spacing w:after="0" w:line="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www.elitebodysculpture.com</w:t>
      </w:r>
      <w:r>
        <w:rPr>
          <w:rFonts w:ascii="Times New Roman" w:cs="Times New Roman" w:eastAsia="Times New Roman" w:hAnsi="Times New Roman"/>
          <w:sz w:val="18"/>
          <w:szCs w:val="18"/>
          <w:color w:val="auto"/>
        </w:rPr>
        <w:t xml:space="preserve"> and our investor relations website is located at </w:t>
      </w:r>
      <w:r>
        <w:rPr>
          <w:rFonts w:ascii="Times New Roman" w:cs="Times New Roman" w:eastAsia="Times New Roman" w:hAnsi="Times New Roman"/>
          <w:sz w:val="18"/>
          <w:szCs w:val="18"/>
          <w:i w:val="1"/>
          <w:iCs w:val="1"/>
          <w:color w:val="auto"/>
        </w:rPr>
        <w:t>https://investors.elitebodysculpture.com</w:t>
      </w:r>
      <w:r>
        <w:rPr>
          <w:rFonts w:ascii="Times New Roman" w:cs="Times New Roman" w:eastAsia="Times New Roman" w:hAnsi="Times New Roman"/>
          <w:sz w:val="18"/>
          <w:szCs w:val="18"/>
          <w:color w:val="auto"/>
        </w:rPr>
        <w:t>. The information posted on our website is not incorporated into this Annual Report. Our Annual Report on Form 10-K, Quarterly Reports on Form 10-Q, Current Reports on Form 8-K and amendments to reports filed or furnished pursuant to Sections 13(a) and 15(d) of the Securities Exchange Act of 1934, as amended, (the “Exchange Act”) are available free of charge on our investor relations website as soon as reasonably practicable after we electronically file such material with, or furnish it to, the U.S. Securities and Exchange Commission (“SEC”).</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providing the following summary of the risk factors contained in this Annual Report on Form 10-K to enhance the readability and accessibility of our risk factor disclosures. We encourage you to carefully review the full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w:t>
      </w:r>
    </w:p>
    <w:p>
      <w:pPr>
        <w:spacing w:after="0" w:line="14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Macroeconomic trends including inflation and rising interest rates may adversely affect our financial condition and results of operations.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our past results may not be indicative of our future performance.</w:t>
      </w:r>
    </w:p>
    <w:p>
      <w:pPr>
        <w:spacing w:after="0" w:line="7" w:lineRule="exact"/>
        <w:rPr>
          <w:rFonts w:ascii="Times New Roman" w:cs="Times New Roman" w:eastAsia="Times New Roman" w:hAnsi="Times New Roman"/>
          <w:sz w:val="18"/>
          <w:szCs w:val="18"/>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success depends on our ability to maintain the value and reputation of the AirSculpt® brand.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have grown rapidly recently and have limited operating experience at our current scale of operations.</w:t>
      </w:r>
    </w:p>
    <w:p>
      <w:pPr>
        <w:spacing w:after="0" w:line="14" w:lineRule="exact"/>
        <w:rPr>
          <w:rFonts w:ascii="Arial" w:cs="Arial" w:eastAsia="Arial" w:hAnsi="Arial"/>
          <w:sz w:val="22"/>
          <w:szCs w:val="22"/>
          <w:color w:val="auto"/>
        </w:rPr>
      </w:pPr>
    </w:p>
    <w:p>
      <w:pPr>
        <w:ind w:left="660" w:hanging="328"/>
        <w:spacing w:after="0" w:line="204"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financial results will be harmed if there is not sufficient patient demand for AirSculpt® procedures.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success depends largely upon patient satisfaction with the effectiveness of the AirSculpt® procedure.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may fail to open and operate new centers in a timely and cost-effective manner.</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successfully continue to expand in markets outside of North America.</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compete or achieve significant market penetration.</w:t>
      </w:r>
    </w:p>
    <w:p>
      <w:pPr>
        <w:spacing w:after="0" w:line="14" w:lineRule="exact"/>
        <w:rPr>
          <w:rFonts w:ascii="Arial" w:cs="Arial" w:eastAsia="Arial" w:hAnsi="Arial"/>
          <w:sz w:val="22"/>
          <w:szCs w:val="22"/>
          <w:color w:val="auto"/>
        </w:rPr>
      </w:pPr>
    </w:p>
    <w:p>
      <w:pPr>
        <w:ind w:left="660" w:right="20" w:hanging="328"/>
        <w:spacing w:after="0" w:line="218"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business, financial condition and results of operations could be adversely affected by disruptions in the global economy resulting from the ongoing military conflict between Russia and Ukraine.</w:t>
      </w:r>
    </w:p>
    <w:p>
      <w:pPr>
        <w:spacing w:after="0" w:line="1" w:lineRule="exact"/>
        <w:rPr>
          <w:rFonts w:ascii="Arial" w:cs="Arial" w:eastAsia="Arial" w:hAnsi="Arial"/>
          <w:sz w:val="22"/>
          <w:szCs w:val="22"/>
          <w:color w:val="auto"/>
        </w:rPr>
      </w:pPr>
    </w:p>
    <w:p>
      <w:pPr>
        <w:ind w:left="660" w:hanging="328"/>
        <w:spacing w:after="0" w:line="24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related to the internet, perceptions toward the use of social media and changes in internet infrastructure itself may diminish our ability to drive new customer acquisition.</w:t>
      </w:r>
    </w:p>
    <w:p>
      <w:pPr>
        <w:spacing w:after="0" w:line="1" w:lineRule="exact"/>
        <w:rPr>
          <w:rFonts w:ascii="Times New Roman" w:cs="Times New Roman" w:eastAsia="Times New Roman" w:hAnsi="Times New Roman"/>
          <w:sz w:val="18"/>
          <w:szCs w:val="18"/>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Regulations related to healthcare may hamper our availability to provide virtual consultations.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face competition for surgeons and other workers that provide our medspa and cosmetic services.</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outsource the manufacturing of key elements of the tools we use for AirSculpt® procedures to a single third-party manufacturer, Euromi, who is dependent upon third-party suppliers.</w:t>
      </w: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In some jurisdictions, we are precluded or limited in our ability to enter into non-compete agreements with our surgeons.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centers and our affiliated Professional Associations may become subject to medical liability claims.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revenue could decline due to changes in credit markets and decisions made by credit providers.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adversely affected if we lose any member of our senior management.</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The interests of our Sponsor may conflict with the interests of the Company and its other stockholders.</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leverage could adversely affect our ability to raise additional capital to fund our operations, limit our ability to react to changes in the economy or our industry and expose us to interest rate risk.</w:t>
      </w: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Restrictive covenants in our debt instruments may adversely affect us.</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Any failure to meet our debt service obligations could have a material adverse effect on our business, prospects, results of operations and financial condition.</w:t>
      </w: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We are a holding company with no operations of our own.</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management team has limited experience managing a public company.</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The COVID-19 global pandemic could negatively affect our operations, business and financial condition, and liquidity.</w:t>
      </w:r>
    </w:p>
    <w:p>
      <w:pPr>
        <w:spacing w:after="0" w:line="14" w:lineRule="exact"/>
        <w:rPr>
          <w:rFonts w:ascii="Arial" w:cs="Arial" w:eastAsia="Arial" w:hAnsi="Arial"/>
          <w:sz w:val="22"/>
          <w:szCs w:val="22"/>
          <w:color w:val="auto"/>
        </w:rPr>
      </w:pPr>
    </w:p>
    <w:p>
      <w:pPr>
        <w:ind w:left="660" w:hanging="328"/>
        <w:spacing w:after="0" w:line="218"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Use and storage of paper medical records increases risk of loss, destruction and could increase human error with respect to documentation and patient care.</w:t>
      </w:r>
    </w:p>
    <w:p>
      <w:pPr>
        <w:spacing w:after="0" w:line="8" w:lineRule="exact"/>
        <w:rPr>
          <w:rFonts w:ascii="Arial" w:cs="Arial" w:eastAsia="Arial" w:hAnsi="Arial"/>
          <w:sz w:val="22"/>
          <w:szCs w:val="22"/>
          <w:color w:val="auto"/>
        </w:rPr>
      </w:pPr>
    </w:p>
    <w:p>
      <w:pPr>
        <w:jc w:val="both"/>
        <w:ind w:left="660" w:right="20" w:hanging="328"/>
        <w:spacing w:after="0" w:line="230"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Our internal computer systems, or those of any of our manufacturers, other contractors, consultants, or collaborators, may fail or suffer security or data privacy breaches or other unauthorized or improper access to, use of, or destruction of our proprietary or confidential data, employee data, or personal data.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Intellectual Property</w:t>
      </w:r>
    </w:p>
    <w:p>
      <w:pPr>
        <w:spacing w:after="0" w:line="15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Our competitors could develop and commercialize procedures and products similar or identical to ours.</w:t>
      </w:r>
    </w:p>
    <w:p>
      <w:pPr>
        <w:spacing w:after="0" w:line="13"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We may become a party to intellectual property litigation or administrative proceedings that could be costly and could interfere with our ability to market and perform our services.</w:t>
      </w:r>
    </w:p>
    <w:p>
      <w:pPr>
        <w:ind w:left="660" w:hanging="328"/>
        <w:spacing w:after="0" w:line="217" w:lineRule="auto"/>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If we are unable to protect the confidentiality of our other proprietary information, our business and competitive position may be harmed.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We may not be able to protect our intellectual property rights throughout the world to the same extent as in the United States.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Government Regulations</w:t>
      </w:r>
    </w:p>
    <w:p>
      <w:pPr>
        <w:spacing w:after="0" w:line="187" w:lineRule="exact"/>
        <w:rPr>
          <w:sz w:val="20"/>
          <w:szCs w:val="20"/>
          <w:color w:val="auto"/>
        </w:rPr>
      </w:pPr>
    </w:p>
    <w:p>
      <w:pPr>
        <w:ind w:left="660" w:right="20" w:hanging="328"/>
        <w:spacing w:after="0" w:line="220" w:lineRule="auto"/>
        <w:tabs>
          <w:tab w:leader="none" w:pos="655"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If we fail to comply with numerous laws and regulations relating to the operation of our centers, we could incur significant penalties or other costs or be required to make significant changes to our operations.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hanging="328"/>
        <w:spacing w:after="0" w:line="227"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AirSculpt® procedures may cause or contribute to adverse medical events that we are required to report to the FDA and if we fail to do so, we could be subject to sanctions that would materially harm our business.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If laws governing the corporate practice of medicine or fee-splitting change, we may be required to restructure some of our relationships.</w:t>
      </w:r>
    </w:p>
    <w:p>
      <w:pPr>
        <w:spacing w:after="0" w:line="14" w:lineRule="exact"/>
        <w:rPr>
          <w:rFonts w:ascii="Arial" w:cs="Arial" w:eastAsia="Arial" w:hAnsi="Arial"/>
          <w:sz w:val="22"/>
          <w:szCs w:val="22"/>
          <w:color w:val="auto"/>
        </w:rPr>
      </w:pPr>
    </w:p>
    <w:p>
      <w:pPr>
        <w:ind w:left="660" w:right="20" w:hanging="328"/>
        <w:spacing w:after="0" w:line="218"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We may be subject to various federal and state laws pertaining to healthcare fraud and abuse, including anti-kickback, self-referral, false claims and fraud laws, and any violations by us of such laws could result in fines or other penalties.</w:t>
      </w:r>
    </w:p>
    <w:p>
      <w:pPr>
        <w:spacing w:after="0" w:line="8"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Certain risks are inherent in providing prescription and over the counter (“OTC”) treatments, and our insurance may not be adequate to cover any claims against us.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Ownership of Our Common Stock</w:t>
      </w:r>
    </w:p>
    <w:p>
      <w:pPr>
        <w:spacing w:after="0" w:line="173" w:lineRule="exact"/>
        <w:rPr>
          <w:sz w:val="20"/>
          <w:szCs w:val="20"/>
          <w:color w:val="auto"/>
        </w:rPr>
      </w:pPr>
    </w:p>
    <w:p>
      <w:pPr>
        <w:ind w:left="660" w:hanging="328"/>
        <w:spacing w:after="0" w:line="227"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We are an “emerging growth company,” and we cannot be certain if the reduced disclosure requirements applicable to emerging growth companies will make our common stock less attractive to investors.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Our stock price could be extremely volatile, and, as a result, you may not be able to resell your shares at or above the price you paid for them.</w:t>
      </w:r>
    </w:p>
    <w:p>
      <w:pPr>
        <w:spacing w:after="0" w:line="14"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There may be sales of a substantial amount of our common stock by our current stockholders, and these sales could cause the price of our common stock to fall.</w:t>
      </w:r>
    </w:p>
    <w:p>
      <w:pPr>
        <w:ind w:left="660" w:hanging="328"/>
        <w:spacing w:after="0" w:line="230" w:lineRule="auto"/>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Provisions in our charter documents and Delaware law may deter takeover efforts that could be beneficial to stockholder value.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We have no plans to pay cash dividends on our common stock for the foreseeable future.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Our internal controls may not be effective.</w:t>
      </w:r>
    </w:p>
    <w:p>
      <w:pPr>
        <w:spacing w:after="0" w:line="14" w:lineRule="exact"/>
        <w:rPr>
          <w:rFonts w:ascii="Arial" w:cs="Arial" w:eastAsia="Arial" w:hAnsi="Arial"/>
          <w:sz w:val="22"/>
          <w:szCs w:val="22"/>
          <w:color w:val="auto"/>
        </w:rPr>
      </w:pPr>
    </w:p>
    <w:p>
      <w:pPr>
        <w:ind w:left="660" w:right="20" w:hanging="328"/>
        <w:spacing w:after="0" w:line="225"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requirements of being a public company may strain our resources and distract our management, which could make it difficult to manage our business.</w:t>
      </w:r>
    </w:p>
    <w:p>
      <w:pPr>
        <w:spacing w:after="0" w:line="8" w:lineRule="exact"/>
        <w:rPr>
          <w:rFonts w:ascii="Arial" w:cs="Arial" w:eastAsia="Arial" w:hAnsi="Arial"/>
          <w:sz w:val="22"/>
          <w:szCs w:val="22"/>
          <w:color w:val="auto"/>
        </w:rPr>
      </w:pPr>
    </w:p>
    <w:p>
      <w:pPr>
        <w:ind w:left="660" w:right="20" w:hanging="328"/>
        <w:spacing w:after="0" w:line="227"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Our stock price and trading volume could decline if securities or industry analysts do not publish research or publish inaccurate or unfavorable research about our business.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Operating metrics may fluctuate from quarter to quarter, which makes these metrics difficult to predict.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We are subject to risks and uncertainties that could cause our actual financial condition, results of operations, business and prospects to differ materially from those contemplated by the forward-looking statements contained in this report or our other filings with the SEC. Some of these risks and uncertainties are discussed below. If any of the following risks, or other risks and uncertainties, actually occurred, our business, financial condition and operating results could suffer.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trends including inflation and rising interest rates may adversely affect our financial condition and results of operations.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Macroeconomic trends, including increases in inflation and rising interest rates, may adversely impact our business, financial condition and results of operations. Inflation in the United States has recently accelerated and is currently expected to continue at an elevated level in the near-term. Rising inflation could have an adverse impact on our operating expenses and our credit facilities. There is no guarantee we will be able to mitigate the impact of rising inflation. The Federal Reserve has recently started raising interest rates to combat inflation and restore price stability and it is expected that rates will continue to rise throughout the remainder of 2023. Increases in interest rates on any of our debt will result in higher debt service costs, which will adversely affect our cash flows. We cannot assure you that our access to capital and other sources of funding will not become constrained, which could adversely affect the availability and terms of future borrowings. Such future constraints could increase our borrowing costs, which would make it more difficult or expensive to obtain additional financing or refinance existing obligations and commitments, which could slow or deter future growth.</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our past results may not be indicative of our future performance. Further, our revenue growth rate is likely to slow as our business and our market matures.</w:t>
      </w:r>
    </w:p>
    <w:p>
      <w:pPr>
        <w:spacing w:after="0" w:line="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began operations in 2012. We have a limited history of generating revenue. As a result, our historical revenue growth should not be considered indicative of our future performance. In particular, we have experienced periods of high revenue growth, including most recently, during the global pandemic, that we do not expect to continue as the business, and the body contouring market, matures. Estimates of future revenue growth and future growth rates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procedures, attracting new patients, hiring surgeons and responding to increasing competition and expenses as we expand our business. We cannot be sure that we will be successful in addressing these and other challenges we may face in the future, and our business may be adversely affected if we do not manage these risks.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maintain the value and reputation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i w:val="1"/>
          <w:iCs w:val="1"/>
          <w:color w:val="auto"/>
        </w:rPr>
        <w:t xml:space="preserve"> brand.</w:t>
      </w:r>
    </w:p>
    <w:p>
      <w:pPr>
        <w:spacing w:after="0" w:line="9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believe that our brand is important to attracting patients and high-quality surgeons. Maintaining, protecting, and enhancing our brand depends largely on our ability to deliver results for our patients and the success of our marketing efforts. We believe that the importance of our brand will increase as competition further intensifies. Our brand could be harmed if we fail to achieve these objectives or if our public image were to be tarnished by negative publicity. Unfavorable publicity about us, including our procedures and technology, could diminish confidence in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Such negative publicity also could have an adverse effect on our business, financial condition, and operating results.</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expanded rapidly and have limited operating experience at our current size. To effectively manage and capitalize on our growth, we must continue to expand our marketing, focus on innovation and upgrade our management information systems and other processes. Our continued growth could strain our existing resources and we could experience ongoing operating difficulties in managing our business across numerous jurisdictions, including difficulties in hiring, training, and managing surgeons and other staff in our centers through the Professional Associations. Failure to scale and preserve our high-performance, results-driven culture during this period of growth could harm our future success. If we do not adapt to meet these evolving challenges or if our management team does not effectively scale with our growth, we may experience erosion to our brand and our company culture may be harmed.</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growth strategy contemplates expanding our footprint by opening new centers around the world. Many of our centers are relatively new and we cannot assure you that these centers or that future centers will generate revenue comparable with those generated by our more mature locations, especially as we move to new geographic markets. Further, many of our centers are leased pursuant to multi-year leases, and our ability to negotiate favorable terms on an expiring lease or for a lease renewal option may depend on factors that are not within our control. Expanding internationally will require significant additional investment. Successful implementation of our growth strategy will require significant expenditures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before any substantial associated revenue is generated and we cannot guarantee that these increased investments will result in corresponding and offsetting revenue growth.</w:t>
      </w:r>
    </w:p>
    <w:p>
      <w:pPr>
        <w:spacing w:after="0" w:line="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planned expansion will place increased demands on our existing operational, managerial, and administrative resources. These increased demands could strain our resources and cause us to operate our business less effectively, which in turn could cause the performance of our new and existing centers to suffer. Opening new centers may result in inadvertent oversaturation, temporarily or permanently divert customers from our existing centers to new centers and reduce comparable centers revenue, thus adversely affecting our overall financial performance. In addition, oversaturation or the risk of oversaturation may reduce or adversely affect the number or location of centers we plan to open, and could thereby materially and adversely affect our growth plans overall or in particular markets.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body contouring market, substantial uncertainty concerning how these markets may develop, and other economic factors beyond our control, reduces our ability to accurately forecast quarterly or annual revenue. Failure to manage our future growth effectively and profitably could have an adverse effect on our business, financial condition, and operating results.</w:t>
      </w:r>
    </w:p>
    <w:p>
      <w:pPr>
        <w:spacing w:after="0" w:line="107"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the success of the 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body sculpting procedure. If market acceptance for the 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procedure fails to grow significantly, our business and future prospects could be harmed.</w:t>
      </w:r>
    </w:p>
    <w:p>
      <w:pPr>
        <w:spacing w:after="0" w:line="11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We commenced performing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in 2012, and we expect that the revenue we generate from performing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will account for substantially all of our revenue for the next several years. Accordingly, our success depends on the acceptance among patients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as a preferred aesthetic treatment for the selective reduction of fat. The degree of market acceptance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by patients is unproven. We believe that market acceptance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will depend on many factors, including:</w:t>
      </w:r>
    </w:p>
    <w:p>
      <w:pPr>
        <w:spacing w:after="0" w:line="6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the perceived advantages or disadvantages of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compared to other aesthetic products and treatments;</w:t>
      </w:r>
    </w:p>
    <w:p>
      <w:pPr>
        <w:spacing w:after="0" w:line="12" w:lineRule="exact"/>
        <w:rPr>
          <w:rFonts w:ascii="Arial" w:cs="Arial" w:eastAsia="Arial" w:hAnsi="Arial"/>
          <w:sz w:val="22"/>
          <w:szCs w:val="22"/>
          <w:color w:val="auto"/>
        </w:rPr>
      </w:pPr>
    </w:p>
    <w:p>
      <w:pPr>
        <w:ind w:left="660" w:hanging="328"/>
        <w:spacing w:after="0" w:line="220"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the safety and efficacy of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relative to other aesthetic products and alternative treatments;</w:t>
      </w:r>
    </w:p>
    <w:p>
      <w:pPr>
        <w:ind w:left="660" w:hanging="328"/>
        <w:spacing w:after="0" w:line="220"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the price of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relative to other aesthetic products and alternative treatments;</w:t>
      </w:r>
    </w:p>
    <w:p>
      <w:pPr>
        <w:ind w:left="660" w:hanging="328"/>
        <w:spacing w:after="0" w:line="203"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our success in expanding our sales and marketing organization;</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effectiveness of our marketing initiatives;</w:t>
      </w:r>
    </w:p>
    <w:p>
      <w:pPr>
        <w:spacing w:after="0" w:line="14"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our success in maintaining the premium pricing for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and</w:t>
      </w:r>
    </w:p>
    <w:p>
      <w:pPr>
        <w:spacing w:after="0" w:line="6" w:lineRule="exact"/>
        <w:rPr>
          <w:rFonts w:ascii="Arial" w:cs="Arial" w:eastAsia="Arial" w:hAnsi="Arial"/>
          <w:sz w:val="22"/>
          <w:szCs w:val="22"/>
          <w:color w:val="auto"/>
        </w:rPr>
      </w:pPr>
    </w:p>
    <w:p>
      <w:pPr>
        <w:ind w:left="660" w:hanging="328"/>
        <w:spacing w:after="0" w:line="226"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our success in recruiting and training surgeons in the proper use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and selection of appropriate patients as candidates for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w:t>
      </w:r>
    </w:p>
    <w:p>
      <w:pPr>
        <w:spacing w:after="0" w:line="4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Further, market acceptance and success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can be affected by adverse publicity or negative public perception about us, our competitors, our patients, our services, or our industry generally. Adverse publicity may include publicity about the cosmetic treatment industry generally, the efficacy, safety and quality of body fat reduction procedures in general, and liability claims or other litigation, regardless of whether such litigation involves us or the business practices or services of our competitors. Our business, financial condition and results of operations could be adversely affected if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or any body fat reduction services provided by our competitors are alleged to be or are proved to be harmful to patients or to have unanticipated and unwanted health consequences.</w:t>
      </w:r>
    </w:p>
    <w:p>
      <w:pPr>
        <w:spacing w:after="0" w:line="118"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We cannot assure you that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will achieve broad market acceptance among patients. Because we expect to derive substantially all of our revenue for the foreseeable future from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any failure of this product to satisfy patient demand or to achieve meaningful market acceptance will harm our business and future prospects.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there is not sufficient patient demand for 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procedures, our financial results and future prospects will be harmed.</w:t>
      </w:r>
    </w:p>
    <w:p>
      <w:pPr>
        <w:spacing w:after="0" w:line="9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is an elective procedure, the cost of which must be borne by the patient, and is not reimbursable through government or private health insurance. The decision to undergo an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is thus driven by patient demand, which may be influenced by a number of factors, such as:</w:t>
      </w:r>
    </w:p>
    <w:p>
      <w:pPr>
        <w:spacing w:after="0" w:line="12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success of our sales and marketing programs;</w:t>
      </w:r>
    </w:p>
    <w:p>
      <w:pPr>
        <w:spacing w:after="0" w:line="13"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our success in attracting consumers who have not previously undergone an aesthetic procedure;</w:t>
      </w:r>
    </w:p>
    <w:p>
      <w:pPr>
        <w:spacing w:after="0" w:line="19"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extent to which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satisfies patient expectations;</w:t>
      </w:r>
    </w:p>
    <w:p>
      <w:pPr>
        <w:spacing w:after="0" w:line="1" w:lineRule="exact"/>
        <w:rPr>
          <w:rFonts w:ascii="Arial" w:cs="Arial" w:eastAsia="Arial" w:hAnsi="Arial"/>
          <w:sz w:val="22"/>
          <w:szCs w:val="22"/>
          <w:color w:val="auto"/>
        </w:rPr>
      </w:pPr>
    </w:p>
    <w:p>
      <w:pPr>
        <w:ind w:left="660" w:right="20" w:hanging="328"/>
        <w:spacing w:after="0" w:line="219"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properly train our surgeons in performing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such that our patients do not experience excessive discomfort during treatment or adverse side effects;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cost, safety, and effectiveness of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versus other aesthetic treatments;</w:t>
      </w:r>
    </w:p>
    <w:p>
      <w:pPr>
        <w:spacing w:after="0" w:line="1"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consumer sentiment about the benefits and risks of aesthetic procedures generally and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in particular;</w:t>
      </w:r>
    </w:p>
    <w:p>
      <w:pPr>
        <w:ind w:left="660" w:hanging="328"/>
        <w:spacing w:after="0" w:line="203" w:lineRule="auto"/>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general consumer confidence, which may be impacted by economic and political conditions;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our use of social media to drive new customer acquisition; and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offer virtual consultations to our patients.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performance will be materially harmed in the event we cannot generate significant patient demand for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largely upon patient satisfaction with the effectiveness of the 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procedure.</w:t>
      </w:r>
    </w:p>
    <w:p>
      <w:pPr>
        <w:spacing w:after="0" w:line="91" w:lineRule="exact"/>
        <w:rPr>
          <w:sz w:val="20"/>
          <w:szCs w:val="20"/>
          <w:color w:val="auto"/>
        </w:rPr>
      </w:pPr>
    </w:p>
    <w:p>
      <w:pPr>
        <w:jc w:val="both"/>
        <w:ind w:right="20"/>
        <w:spacing w:after="0" w:line="212" w:lineRule="auto"/>
        <w:rPr>
          <w:sz w:val="20"/>
          <w:szCs w:val="20"/>
          <w:color w:val="auto"/>
        </w:rPr>
      </w:pPr>
      <w:r>
        <w:rPr>
          <w:rFonts w:ascii="Times New Roman" w:cs="Times New Roman" w:eastAsia="Times New Roman" w:hAnsi="Times New Roman"/>
          <w:sz w:val="18"/>
          <w:szCs w:val="18"/>
          <w:color w:val="auto"/>
        </w:rPr>
        <w:t>In order to generate repeat and referral business, patients must be satisfied with the effectiveness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Patient perception of their results may vary. If patients are not satisfied with the aesthetic benefits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or feel that it is too expensive for the results obtained, our reputation and future sales will suffer.</w:t>
      </w:r>
    </w:p>
    <w:p>
      <w:pPr>
        <w:spacing w:after="0" w:line="1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open and operate new centers in a timely and cost-effective manner or fail to successfully enter new markets, our financial performance could be materially and adversely affected.</w:t>
      </w:r>
    </w:p>
    <w:p>
      <w:pPr>
        <w:spacing w:after="0" w:line="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growth strategy depends, in large part, on growing and expanding our operations, both in existing and new geographic regions, particularly in densely populated and affluent metropolitan and suburban regions, and operating our new centers successfully. We cannot assure you that our contemplated expansion will be successful.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successfully open and operate new centers depends on many factors, including, among others, our ability to:</w:t>
      </w:r>
    </w:p>
    <w:p>
      <w:pPr>
        <w:spacing w:after="0" w:line="13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recruit qualified surgeons through our affiliated Professional Associations for our new centers;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address regulatory, competitive, and marketing, and other challenges encountered in connection with expansion into new markets;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hire, train and retain surgeons and other personnel through our affiliated Professional Associations;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maintain adequate information system and other operational system capabilities;</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successfully integrate new centers into our existing management structure with affiliated Professional Associations and operations, including information system integration;</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negotiate acceptable lease terms at suitable locations;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source sufficient levels of medical supplies at acceptable costs;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obtain and maintain necessary permits and licenses through our affiliated Professional Associations;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construct and open our centers on a timely basis;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generate sufficient levels of cash or obtain financing on acceptable terms to support our expansion;</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achieve and maintain brand awareness in new and existing markets; and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identify and satisfy the needs and preferences of our patients.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effectively address challenges such as these could adversely affect our ability to successfully open and operate new centers in a timely and cost-effective manner.</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there can be no assurance that newly-opened centers will achieve net sales or profitability levels comparable to those of our existing centers in the time periods estimated by us, or at all. If our centers fail to achieve, or are unable to sustain, profitability levels, our business may be materially harmed and we may incur significant costs associated with closing those centers. Our plans to accelerate the growth of new centers may increase this risk.</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we cannot assure you that we will achieve our planned growth or, even if we are able to grow our centers as planned, that our new centers will perform as expected. Our failure to implement our growth strategy and to successfully open and operate new centers in the time frames and at the costs estimated by us could have a material adverse effect on our business, financial condition and results of operations.</w:t>
      </w:r>
    </w:p>
    <w:p>
      <w:pPr>
        <w:spacing w:after="0" w:line="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high-performance and results-driven culture as we grow, we could lose the innovation and passion that we believe contribute to our success and our business may be harmed.</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a critical component of our success has been our corporate culture. We have invested substantial time and resources in building our high-performance, results-driven culture. As we continue to grow, including geographically, we will need to maintain our high-performance, results-driven culture among a larger number of surgeons and other employees, dispersed across various geographic regions. Any failure to preserve our culture could negatively affect our</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future success, including our ability to retain and recruit surgeons and other personnel on behalf of our affiliated Professional Associations and to effectively focus on and pursue our corporate objectives.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 successfully continue to expand in markets outside of North America, we must address many issues with which we have limited experience.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international expansion is subject to a number of risks, including:</w:t>
      </w:r>
    </w:p>
    <w:p>
      <w:pPr>
        <w:spacing w:after="0" w:line="15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difficulties in staffing and managing our international operations;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increased competition as a result of more procedures receiving regulatory approval or otherwise freedom to market in international markets;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foreign tax laws;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currency exchange rates;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foreign certification and regulatory clearance or approval requirements;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difficulties in developing effective marketing campaigns in unfamiliar foreign countries;</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geopolitical events (such as Russian invasion of Ukraine), social and economic instability abroad, terrorist attacks, and security concerns in general;</w:t>
      </w:r>
    </w:p>
    <w:p>
      <w:pPr>
        <w:spacing w:after="0" w:line="1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potentially adverse tax consequences, including the complexities of foreign value-added tax systems, tax inefficiencies related to our corporate structure, and restrictions on the repatriation of earnings;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the burdens of complying with a wide variety of foreign laws and different legal standards;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2"/>
        </w:numPr>
        <w:rPr>
          <w:rFonts w:ascii="Arial" w:cs="Arial" w:eastAsia="Arial" w:hAnsi="Arial"/>
          <w:sz w:val="22"/>
          <w:szCs w:val="22"/>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one or more of these risks were realized, it could require us to dedicate significant financial and management resources and our revenue may decline.</w:t>
      </w:r>
    </w:p>
    <w:p>
      <w:pPr>
        <w:spacing w:after="0" w:line="14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inability to effectively compete with our competitors may prevent us from achieving significant market penetration or improving our operating results.</w:t>
      </w:r>
    </w:p>
    <w:p>
      <w:pPr>
        <w:spacing w:after="0" w:line="9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body contouring market is highly competitive and dynamic and is characterized by rapid and substantial technological development and product innovations. Demand for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could be limited by the products and technologies offered by our competitors. In the United States, we compete against companies that have developed non-invasive and other minimally-invasive procedures for body contouring and companies that have developed invasive surgical procedures for fat reduction. Due to less stringent regulatory requirements, there are many more aesthetic products and procedures available for use in international markets than are approved for use in the United States. There are also fewer limitations on the claims our competitors in international markets can make about the effectiveness of their products and the manner in which they can market them. As a result, we face even greater competition in these markets than in the United States. Further, our patent protection is limited to the United States, and therefore we may face increased competition from competitors using procedures similar to the AirSculpt® procedure in other countries.</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Many of our competitors are large, experienced companies that have substantially greater resources and brand recognition than we do. Some of these competitors offer similar services (including competitors who may charge less for such services than we do) and others also offer alternative services that are less expensive than the procedures we offer. Competing in the body contouring market could result in price-cutting, reduced profit margins, and limited market share, any of which would harm our business, financial condition, and results of operations.</w:t>
      </w:r>
    </w:p>
    <w:p>
      <w:pPr>
        <w:spacing w:after="0" w:line="1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evolving expectations from customers, regulators, investors, and other stakeholders with respect to our environmental, social and governance practices may impose additional costs on us or expose us to new or additional risks.</w:t>
      </w:r>
    </w:p>
    <w:p>
      <w:pPr>
        <w:spacing w:after="0" w:line="7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Companies are facing increasing scrutiny from customers, regulators, investors, and other stakeholders related to their environmental, social and governance (“ESG”) practices and disclosure. Investor advocacy groups, investment funds and influential investors are also increasingly focused on these</w:t>
      </w:r>
    </w:p>
    <w:p>
      <w:pPr>
        <w:spacing w:after="0"/>
        <w:rPr>
          <w:sz w:val="20"/>
          <w:szCs w:val="20"/>
          <w:color w:val="auto"/>
        </w:rPr>
      </w:pPr>
      <w:r>
        <w:rPr>
          <w:rFonts w:ascii="Times New Roman" w:cs="Times New Roman" w:eastAsia="Times New Roman" w:hAnsi="Times New Roman"/>
          <w:sz w:val="18"/>
          <w:szCs w:val="18"/>
          <w:color w:val="auto"/>
        </w:rPr>
        <w:t>practices, especially as they relate to the environment, health and safety, diversity, labor conditions and human rights. Increased ESG related compliance</w:t>
      </w:r>
    </w:p>
    <w:p>
      <w:pPr>
        <w:spacing w:after="0" w:line="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could result in increases to our overall operational costs. Failure to adapt to or comply with regulatory requirements or investor or stakeholder expectations and standards could negatively impact our reputation, ability to do business with certain partners, and our stock price. New government regulations could also result in new or more stringent forms of ESG oversight and expanding mandatory and voluntary reporting, diligence, and disclosure.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could be adversely affected by disruptions in the global economy resulting from the ongoing military conflict between Russia and Ukraine.</w:t>
      </w:r>
    </w:p>
    <w:p>
      <w:pPr>
        <w:spacing w:after="0" w:line="6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global economy has been negatively impacted by increasing tension, uncertainty and tragedy resulting from ongoing military conflict between Russia and Ukraine. The adverse and uncertain economic conditions resulting therefrom have and may further negatively impact global demand, cause supply chain disruptions and increase costs for transportation, energy and other raw materials. Furthermore, governments in the United States, the European Union, the United Kingdom, Canada and others have imposed financial and economic sanctions on certain industry segments and various parties in Russia and Belarus. We are monitoring the conflict including the potential impact of financial and economic sanctions on the global economy. Increased trade barriers, sanctions and other restrictions on global or regional trade could adversely affect our business, financial condition and results of operations. The length and impact of the ongoing military conflict is highly unpredictable, and resulted in market disruptions, including significant volatility in commodity prices, credit and capital markets, an increase in cyber security incidents as well as supply chain disruptions. Further escalation of geopolitical tensions related to this military conflict and/or its expansion could result in increased volatility and disruption to the global economy and the markets in which we operate adversely impacting our business, financial condition or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social media may materially and adversely affect our reputation or subject us to fines or other penalties.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use third-party social media platforms as marketing tools. For example, we maintain Facebook, Instagram and YouTube accounts and we offer consumers the opportunity to comment on our social media platforms. Negative commentary or false statements may be posted on our social media platforms, which could be adverse to our reputation or business. Our target consumers often value readily available information and often act on such information without further investigation and without regard to its accuracy. The harm may be immediate without affording us an opportunity for redress or correction.</w:t>
      </w:r>
    </w:p>
    <w:p>
      <w:pPr>
        <w:spacing w:after="0" w:line="1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social media platforms continue to rapidly evolve, we must continue to maintain a presence on these platforms and establish presences on new or emerging popular social media platforms. If we are unable to cost-effectively use social media platforms as marketing tools, our ability to acquire new consumers and our financial condition may suffer. Furthermore, as laws and regulations rapidly evolve to govern the use of these platforms and devices, the failure by the Company, our employees or third parties acting at our direction to abide by applicable laws and regulations in the use of these platforms and devices could subject us to regulatory investigations, class action lawsuits, liability, fines or other penalties and have a material adverse effect on our business, financial condition and result of operations.</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increase in the use of social media for marketing may cause an increase in the burden on us to monitor compliance of such materials and increase the risk that such materials could contain problematic marketing claims in violation of applicable regulations.</w:t>
      </w:r>
    </w:p>
    <w:p>
      <w:pPr>
        <w:spacing w:after="0" w:line="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heavily on email and other messaging services, and any restrictions on the sending of emails or messages or an inability to timely deliver such communications could materially adversely affect our net revenue and business.</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business depends on email and other messaging services for promoting our brand and services. If we are unable to successfully deliver emails or other messages to potential customers, or if potential customers decline to open or read our messages, our business, financial condition and results of operations may be materially adversely affected. Changes in how web and mail services block, organize and prioritize email may reduce the number of subscribers who receive or open our emails. For example, Google’s Gmail service has a feature that organizes incoming emails into categories (for example, primary, social and promotions). Such categorization or similar inbox organizational features may result in our emails being delivered in a less prominent location in a subscriber’s inbox or viewed as “spam” by our subscribers and may reduce the likelihood of that subscriber reading our emails. Actions by third parties to block, impose 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emails or other messages to consumers.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Changes in the laws or regulations that limit our ability to send such communications or impose additional requirements upon us in connection with sending such communications would also materially adversely impact our business. Our use of email and other messaging services to send communications to consumers may also result in legal claims, which may cause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consumers to send communications. Changes to the terms of these social networking services to limit promotional communications, any restrictions that would limit our ability or our consumers’ ability to send communications through their services, disruptions or downtime experienced by these social networking</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services or decline in the use of or engagement with social networking services by consumers could materially and adversely affect our business, financial condition and results of operations.</w:t>
      </w:r>
    </w:p>
    <w:p>
      <w:pPr>
        <w:spacing w:after="0" w:line="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perceptions toward the use of social media and changes in internet infrastructure itself may diminish our ability to drive new customer acquisition and could adversely affect our business and results of operations.</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success of our business depends upon the continued use of the internet and social media networks. Federal, state or foreign government bodies or agencies have in the past adopted, and may in the future adopt, laws or regulations affecting the use of the internet as a commercial medium. In addition, government agencies or private organizations have imposed and may impose additional taxes, fees or other charges for accessing the internet, generally. These laws, taxes, fees or charges could limit the use of the internet or decrease the demand for internet-based solutions.</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public’s increasing concerns about data privacy and security and the use of social media may negatively affect the use or popularity of social media networks, and, in turn, adversely affect our business. Similarly, enhanced scrutiny may lead to an increase in regulation of social media, which could limit our ability to use social media to drive our brand awareness and increase consumer acceptance for our procedures.</w:t>
      </w:r>
    </w:p>
    <w:p>
      <w:pPr>
        <w:spacing w:after="0" w:line="1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have been adversely affected by “viruses,” “worms” and similar malicious programs, as well as the risks associated with other types of security breaches. If the use of the internet is reduced as a result of these or other issues, then the reduction in marketing and networking with respect to our services and patients could result in a decline in demand for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which could adversely affect our revenue, business, results of operations and financial condition.</w:t>
      </w:r>
    </w:p>
    <w:p>
      <w:pPr>
        <w:spacing w:after="0" w:line="1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health care, including telehealth, are evolving. To the extent regulations change, our ability to provide virtual consultations could be hampered.</w:t>
      </w:r>
    </w:p>
    <w:p>
      <w:pPr>
        <w:spacing w:after="0" w:line="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 regulatory climate that is uncertain, our operations and our arrangements with our affiliated Professional Associations may be subject to direct and indirect adoption, expansion or reinterpretation of various laws and regulations. Compliance with these future laws and regulations may require us to change our practices at an undeterminable and possibly significant initial monetary and recurring expense. These additional monetary expenditures may increase future overhead, which could have a material adverse effect on our results of operations and our ability to provide virtual services in certain jurisdictions. Areas of government regulation that, if changed, could be costly to us include rules governing the provision of virtual consultations.</w:t>
      </w:r>
    </w:p>
    <w:p>
      <w:pPr>
        <w:spacing w:after="0" w:line="1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a few states have imposed different, and, in some cases, additional, standards regarding the provision of virtual medical consultations and telehealth, generally. The unpredictability of this regulatory landscape means that sudden changes in policy regarding standards of care and what is permissible are possible. If a successful legal challenge or an adverse change in the relevant laws or regulations were to occur, and we were unable to adapt our business model accordingly, our operations in the affected jurisdictions or ability to reach patients in such jurisdictions would be disrupted, which could have a material adverse effect on our business, financial condition and results of operations. If we are required to adapt our business model, we may be limited to only in-person services, which may have a material adverse effect on our business, financial condition and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for surgeons.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surgeons available to work through our affiliated Professional Associations at our centers is finite, and we face intense competition from other cosmetic treatment centers in recruiting surgeons to work in our centers.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there may be other companies that may decide to enter our business. Many of these companies have greater resources than we do, including financial, marketing, staff and capital resources. If we are unable to compete effectively with any of these entities for surgeons, we may be unable to implement our business strategies successfully and our financial position and results of operations could be adversely effected.</w:t>
      </w:r>
    </w:p>
    <w:p>
      <w:pPr>
        <w:spacing w:after="0" w:line="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a skilled, licensed labor force to provide our medspa and cosmetic services, and the supply of this labor force is finite. If we cannot hire adequate staff for our clinics, we will not be able to operate.</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December 31, 2022, we employed approximately 291 full-time employees and approximately 11 part-time employees. Many of our personnel are licensed to perform cosmetic services, including medical treatments, and hold licenses as physicians and nurses. Our success depends, in part, on our continuing ability to identify, hire, develop and retain highly qualified personnel, including surgeons and nurses, through our affiliated Professional Associations. The demand for medical professionals has increased significantly as a result of the COVID-19 pandemic. Further, even before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COVID-19 pandemic, the demand for medical professionals had been increasing as more consumers began gravitating to health and wellness treatments, such as medspa and cosmetic services. As a result, we have increased, and may continue to increase, the salaries and bonuses for both potential and existing personnel. Additionally, many of the jurisdictions in which we operate our centers have their own licensing or similar requirements applicable to our personnel, and the onboarding and training process for each of our employees and our independent contractors can take several months. If we cannot identify, hire, develop and retain adequate staff for our centers through our affiliated Professional Associations, we will not be able to open new centers on a timely basis or adequately staff existing centers.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personnel or others may engage in misconduct or other improper activities, including noncompliance with our policies and procedures.</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exposed to the risk of misconduct or other improper activities by our personnel. Misconduct by our personnel could include inadvertent or intentional failures to comply with our policies and procedures (such as our data privacy policies), medical standards or procedures, the laws and regulations to which we are subject and/or ethical, social, product, labor and environmental standards. Our current and former personnel may also become subject to allegations of sexual harassment, racial and gender discrimination or other similar misconduct, which, regardless or the ultimate outcome, may result in adverse publicity that could significantly harm our brand, reputation and operations. Misconduct by our personnel could also involve the improper use of information obtained in the course of the associate’s prior or current employment, which could result in legal or regulatory action and harm to our reputation.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outsource the manufacturing of key elements of the tools we use for 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procedures to a single third-party manufacturer.</w:t>
      </w:r>
    </w:p>
    <w:p>
      <w:pPr>
        <w:spacing w:after="0" w:line="9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Euromi manufactures the handpiece our surgeons use for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If the operations of Euromi are interrupted or if they are unable to meet our delivery requirements due to capacity limitations or other constraints, we may be limited in our ability to perform procedures for customers which could harm our reputation and results of operations.</w:t>
      </w:r>
    </w:p>
    <w:p>
      <w:pPr>
        <w:spacing w:after="0" w:line="1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manufacturing operations of Euromi are themselves dependent upon third-party suppliers, making us vulnerable to supply shortages and price fluctuations, which could harm our business.</w:t>
      </w:r>
    </w:p>
    <w:p>
      <w:pPr>
        <w:spacing w:after="0" w:line="90"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The handpieces that our surgeons use for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are currently manufactured by Euromi. We have not qualified alternate suppliers and rely upon purchase orders, rather than long-term supply agreements. A supply interruption or an increase in demand beyond Euromi’s capabilities could harm our ability to perform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until new sources of supply are identified and qualified. Our reliance on a single supplier of handpieces subjects us to a number of risks that could harm our business, including:</w:t>
      </w:r>
    </w:p>
    <w:p>
      <w:pPr>
        <w:spacing w:after="0" w:line="12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interruption of supply resulting from modifications to or discontinuation of Euromi’s operations;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delays in product shipments resulting from uncorrected defects, reliability issues, or Euromi’s variation in a component;</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a lack of long-term supply agreements;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inability to obtain adequate supply in a timely manner or to obtain adequate supply on commercially reasonable terms;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difficulty and cost associated with locating and qualifying alternative suppliers for our handpieces in a timely manner;</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production delays related to the evaluation and testing of handpieces from alternative suppliers and corresponding regulatory qualifications;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damage to our brand reputation caused by defective handpieces.</w:t>
      </w:r>
    </w:p>
    <w:p>
      <w:pPr>
        <w:spacing w:after="0" w:line="1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Moreover, the COVID-19 pandemic and new COVID-19 variants have resulted in widespread global supply chain disruptions to vendors including critical supply shortages, significant material cost inflation and extended lead times for items that are required for our operations. Any such interruptions to our supply chain could increase our costs and could limit the availability of products critical to our operations.</w:t>
      </w:r>
    </w:p>
    <w:p>
      <w:pPr>
        <w:spacing w:after="0" w:line="1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interruption in the supply of handpieces, or our inability to obtain substitute handpieces from alternate sources at acceptable prices in a timely manner, could harm our ability to perform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until new sources of supply are identified and qualified.</w:t>
      </w:r>
    </w:p>
    <w:p>
      <w:pPr>
        <w:spacing w:after="0" w:line="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Some jurisdictions preclude us from entering into non-compete agreements with our surgeons, and other non-compete agreements and restrictive covenants applicable to certain surgeons and other employees may not be enforceable.</w:t>
      </w:r>
    </w:p>
    <w:p>
      <w:pPr>
        <w:spacing w:after="0" w:line="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contracts with surgeons in many states. Some of our services contracts include provisions preventing these surgeons from competing with us. The law governing non-compete agreements and other forms of restrictive covenants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varies from state to state. Some jurisdictions prohibit us from entering into non-compete agreements with our professional staff. Other states are reluctant to strictly enforce non-compete agreements and restrictive covenants against surgeons. Therefore, there can be no assurance that our non-compete agreements related to employed or otherwise contracted surgeons will be enforceable if challenged in certain states. In such event, we would be unable to prevent former employed or otherwise contracted surgeons from competing with us, potentially resulting in the loss of some of our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which could negatively impact the value of our business.</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From time to time we are involved in lawsuits, claims, audits and investigations, including those arising out of services provided, personal injury claims, professional liability claims, billing and marketing practices, employment disputes and contractual claims. We may become subject to future lawsuits, claims, audits and investigations that could result in substantial costs and divert our attention and resources and adversely affect our business condition. These lawsuits, claims, audits or investigations, regardless of their merit or outcome, may also adversely affect our reputation and ability to expand our business.</w:t>
      </w:r>
    </w:p>
    <w:p>
      <w:pPr>
        <w:spacing w:after="0" w:line="1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centers and our affiliated Professional Associations providing professional services at such centers may become subject to medical liability and other legal claims, which could have a material adverse impact on our business.</w:t>
      </w:r>
    </w:p>
    <w:p>
      <w:pPr>
        <w:spacing w:after="0" w:line="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nature and use of our services could give rise to liability, including medical liability claims against our Professional Associations and surgeons, if a customer were injured while receiving our procedures or were to suffer adverse reactions following our procedures. Adverse reactions could be caused by various factors beyond our control. If any of these events occurred, we and our affiliated Professional Associations could incur substantial litigation expense and be required to make payments in connection with settlements of claims or as a result of judgments against us, which could result in substantial damage awards that exceed the limits of our respective insurance coverage. Additionally, any claims made against us could divert the attention of our management and our surgeons from our operations, which could have a material adverse effect on our business, financial condition and results of operations.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physicians, hospitals and other healthcare providers have become subject to an increasing number of legal actions alleging malpractice or related legal theories. Many of these actions involve large monetary claims and significant defense costs. We also owe certain defense and indemnity obligations to our officers and directors.</w:t>
      </w:r>
    </w:p>
    <w:p>
      <w:pPr>
        <w:spacing w:after="0" w:line="1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the Professional Associations and their surgeons maintain liability insurance in amounts that we believe are customary for the industry and appropriate in light of the risks attendant to our business. Currently, our affiliated Professional Associations maintain professional and general liability insurance that provides coverage on a claims-made basis of $2.0 million per occurrence with a retention of $25,000 per occurrence and $4.0 million in annual aggregate coverage. We also maintain business interruption insurance and property damage insurance, as well as an additional umbrella insurance policy in the aggregate of $6.0 million. Coverage under certain of these policies is contingent upon the policy being in effect when a claim is made regardless of when the events which caused the claim occurred. In addition, surgeons who provide professional services in our centers are required to maintain separate malpractice coverage with similar minimum coverage limits. We also maintain a directors’ and officers’ insurance policy, which insures our directors and officers against unindemnified losses arising from certain wrongful acts in their capacities as directors and officers and reimburses us for those losses for which we have lawfully indemnified the directors and officers.</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collective insurance coverage may not cover all claims against us. Insurance coverage may not continue to be available at a cost allowing us to maintain adequate levels of insurance. If one or more successful claims against us, our affiliated Professional Associations or surgeons were not covered by or exceeded the coverage of our insurance, our financial condition and results of operations could be adversely affected. Our business, profitability and growth prospects could suffer if we face negative publicity or we pay damages or defense costs in connection with a claim that is outside the scope or limits of coverage of any applicable insurance coverage, including claims related to adverse patient events, contractual disputes, professional and general liability, and directors’ and officers’ duties.</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our costs of insurance and claims increase, then our earnings could decline. Market rates for insurance premiums and deductibles have been steadily increasing. Our earnings and cash flows could be materially and adversely affected by any of the following:</w:t>
      </w:r>
    </w:p>
    <w:p>
      <w:pPr>
        <w:spacing w:after="0" w:line="8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the collapse or insolvency of our insurance carriers;</w:t>
      </w:r>
    </w:p>
    <w:p>
      <w:pPr>
        <w:spacing w:after="0" w:line="13"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further increases in premiums and deductibles;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increases in the number of liability claims against us or the cost of settling or trying cases related to those claims; or</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an inability to obtain one or more types of insurance on acceptable terms, if at all.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health of the economy may affect consumer purchases of discretionary services, such as cosmetic services, which could have a material adverse effect on our business, financial condition and results of operations.</w:t>
      </w:r>
    </w:p>
    <w:p>
      <w:pPr>
        <w:spacing w:after="0" w:line="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results of operations may be materially affected by conditions in the capital and credit markets and the economy generally. We appeal to a wide demographic customer profile for cosmetic services. Uncertainty in the economy could adversely impact customer purchases of discretionary services, including cosmetic services. Factors that could affect customers’ willingness to make such discretionary purchases include general business conditions, levels of employment, interest rates, tax rates, the availability of consumer credit, consumer confidence in future economic conditions and risks, or the public perception of risks, related to epidemics or pandemics, such as the COVID-19 pandemic. In the event of a prolonged economic downturn or acute recession, consumer spending habits could be adversely affected and we could experience lower than expected net sales.</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a general deterioration in economic conditions could adversely affect our commercial partners including our vendor partners as well as the real estate developers and landlords who we rely on to construct and operate locations in which our centers are located. A bankruptcy or financial failure of a significant vendor or a number of significant real estate developers or landlords could have a material adverse effect on our business, financial condition, profitability, and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could decline due to changes in credit markets and decisions made by credit providers.</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Historically, approximately half of our patients have financed their procedures through third-party credit providers with whom we have existing relationships. If we are unable to maintain our relationships with our financing partners, there is no guarantee that we will be able to find replacement partners who will provide our patients with financing on similar terms, and our revenue may be adversely affected. Further, reductions in consumer lending and the availability of consumer credit could limit the number of patients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patients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centers are sensitive to regulatory, economic and other conditions in the states and jurisdictions where they are located.</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 is particularly sensitive to regulatory, economic and other conditions in the states and jurisdictions in which we have centers. As of the date of this Annual Report on Form 10-K, we operate through our arrangements with our affiliated Professional Associations twenty-two centers in Arizona, California, Colorado, Florida, Georgia, Illinois, Massachusetts, Minnesota, Nevada, New York, North Carolina, Pennsylvania, Tennessee, Texas, Utah, Washington, and Virginia as well as Toronto, Canada.</w:t>
      </w:r>
    </w:p>
    <w:p>
      <w:pPr>
        <w:spacing w:after="0" w:line="11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addition, our centers located in California represented 20% of our revenue in 2022 and 24% of our revenue in 2021. If there were an adverse regulatory, economic or other development in any of the states and jurisdictions in which we have a higher concentration of centers there could be unanticipated adverse impacts on our business in those states and jurisdictions, which could have a material adverse effect on our business, prospects, results of operations and financial condition.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and we may be adversely affected if we lose any member of our senior management.</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Because our senior management has been key to our growth and success, we are highly dependent on Dr. Aaron Rollins, our founder and Executive Chairman of our board of directors. We do not maintain “key man” life insurance policies on any of our officers. Competition for senior management generally, and within the cosmetic surgery and healthcare industry specifically, is intense and we may not be able to recruit and retain the personnel we need if we were to lose an existing member of senior management. Because our senior management has contributed greatly to our growth since inception, the loss of key management personnel, without adequate replacements, or our inability to attract, retain and motivate sufficient numbers of qualified management personnel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Vesey Street Capital Partners, L.L.C., our private equity sponsor (“Sponsor”) and the interests of our Sponsor may conflict with the interests of the Company and its other stockholders.</w:t>
      </w:r>
    </w:p>
    <w:p>
      <w:pPr>
        <w:spacing w:after="0" w:line="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in recent years depended on our relationship with our Sponsor to help guide our business plan. Our Sponsor has significant expertise in financial matters. This expertise was available to us through the representatives our Sponsor has on our board of directors and as a result of our management agreement with an affiliate of our Sponsor (the "Management Agreement"). In connection with the completion of our IPO, the Management Agreement terminated. Daniel Sollof and Adam Feinstein remain on our board of directors and hold contractual rights to seats on our board of directors for as long as our Sponsor maintains certain levels of ownership of our common stock. Currently, affiliates of our Sponsor beneficially own 52.2% of our common stock. Affiliates of our Sponsor may elect to reduce their ownership in our Company, which could reduce or eliminate the benefits we have historically achieved through our relationship with it.</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Additionally, our Sponsor is in the business of making investments in companies and may from time to time acquire and hold interests in businesses that compete directly or indirectly with us. Our Sponsor may also pursue acquisition opportunities that may be complementary to our business and, as a result, those acquisition opportunities may not be available to us. So long as investment funds associated with or designated by our Sponsor continue to indirectly own a significant amount of our capital stock, even if such amount is less than a majority of our outstanding common stock on a fully-diluted basis, our Sponsor will continue to be able to strongly influence or effectively control our decisions.</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leverage could adversely affect our ability to raise additional capital to fund our operations, limit our ability to react to changes in the economy or our industry, expose us to interest rate risk to the extent of our variable rate debt and prevent us from meeting our obligations under our outstanding indebtedness.</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total outstanding indebtedness under our senior credit facility was approximately $85.0 million, consisting of $85.0 million in senior secured term loans (the “Term Loan”) and $5.0 million revolving credit facility (the “Revolver”), of which approximately $5.0 million was undrawn (the “Term Loan and Revolving Facility”). Our leverage could have important consequences, including:</w:t>
      </w:r>
    </w:p>
    <w:p>
      <w:pPr>
        <w:spacing w:after="0" w:line="129" w:lineRule="exact"/>
        <w:rPr>
          <w:sz w:val="20"/>
          <w:szCs w:val="20"/>
          <w:color w:val="auto"/>
        </w:rPr>
      </w:pPr>
    </w:p>
    <w:p>
      <w:pPr>
        <w:ind w:left="660" w:hanging="328"/>
        <w:spacing w:after="0" w:line="234" w:lineRule="auto"/>
        <w:tabs>
          <w:tab w:leader="none" w:pos="655"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making it more difficult for us to satisfy our obligations with respect to our indebtedness, and any failure to comply with the obligations under any of our debt instruments, including restrictive covenants, could result in an event of default under such instruments;</w:t>
      </w:r>
    </w:p>
    <w:p>
      <w:pPr>
        <w:spacing w:after="0" w:line="1" w:lineRule="exact"/>
        <w:rPr>
          <w:rFonts w:ascii="Arial" w:cs="Arial" w:eastAsia="Arial" w:hAnsi="Arial"/>
          <w:sz w:val="22"/>
          <w:szCs w:val="22"/>
          <w:color w:val="auto"/>
        </w:rPr>
      </w:pPr>
    </w:p>
    <w:p>
      <w:pPr>
        <w:ind w:left="660" w:right="20" w:hanging="328"/>
        <w:spacing w:after="0" w:line="239" w:lineRule="auto"/>
        <w:tabs>
          <w:tab w:leader="none" w:pos="655"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making us more vulnerable to adverse changes in general economic, industry and competitive conditions and adverse changes in government regulation;</w:t>
      </w:r>
    </w:p>
    <w:p>
      <w:pPr>
        <w:ind w:left="660" w:hanging="328"/>
        <w:spacing w:after="0" w:line="232" w:lineRule="auto"/>
        <w:tabs>
          <w:tab w:leader="none" w:pos="655"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limiting cash flow available for general corporate purposes, including capital expenditures and opening new centers, because a substantial portion of our cash flow from operations must be dedicated to servicing our debt;</w:t>
      </w:r>
    </w:p>
    <w:p>
      <w:pPr>
        <w:ind w:left="660" w:hanging="328"/>
        <w:spacing w:after="0" w:line="230"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limiting our ability to obtain additional debt financing in the future for working capital, capital expenditures or opening new centers;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limiting our flexibility in reacting to competitive and other changes in our industry and economic conditions generally; and</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5"/>
        </w:numPr>
        <w:rPr>
          <w:rFonts w:ascii="Arial" w:cs="Arial" w:eastAsia="Arial" w:hAnsi="Arial"/>
          <w:sz w:val="22"/>
          <w:szCs w:val="22"/>
          <w:color w:val="auto"/>
        </w:rPr>
      </w:pPr>
      <w:r>
        <w:rPr>
          <w:rFonts w:ascii="Times New Roman" w:cs="Times New Roman" w:eastAsia="Times New Roman" w:hAnsi="Times New Roman"/>
          <w:sz w:val="18"/>
          <w:szCs w:val="18"/>
          <w:color w:val="auto"/>
        </w:rPr>
        <w:t>exposing us to risks inherent in interest rate fluctuations because some of our borrowings will be at variable rates of interest, which could result in higher interest expense in the event of increases in interest rates.</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ability to pay or to refinance our indebtedness will depend upon our future operating performance, which will be affected by general economic, financial, competitive, legislative, regulatory, business and other factors beyond our control.</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in our debt instruments may adversely affect 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Term Loan and Revolving Facility contain various covenants that limit, among other things, our ability and the ability of our restricted subsidiaries to:</w:t>
      </w:r>
    </w:p>
    <w:p>
      <w:pPr>
        <w:spacing w:after="0" w:line="15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incur additional indebtedness;</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make certain distributions, investments and other restricted payments;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dispose of our assets;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grant liens on our assets;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engage in transactions with affiliates;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merge, consolidate or transfer substantially all of our assets;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make payments to us (in the case of our restricted subsidiaries).</w:t>
      </w:r>
    </w:p>
    <w:p>
      <w:pPr>
        <w:spacing w:after="0" w:line="13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our Term Loan and Revolving Facility contain other and more restrictive covenants, including covenants requiring us to maintain specified financial ratios triggered in certain situations and to satisfy other financial condition tests.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ability to meet those financial ratios and tests can be affected by events beyond our control, and we cannot assure you that we will continue to meet those tests. A breach of any of these covenants could result in a default under our Term Loan and Revolving Facility. Upon the occurrence of an event of default under our Term Loan and Revolving Facility, the lenders could elect to declare all amounts outstanding under our Term Loan and Revolving Facility to be immediately due and payable and terminate all commitments to extend further credit. If we were unable to repay those amounts, the lenders could proceed against the collateral granted to them to secure that indebtedness. We have pledged substantially all of our assets, excluding assets of our non-guarantor subsidiaries, as security under our Term Loan and Revolving Facility. If the lenders under our Term Loan and Revolving Facility accelerate the repayment of borrowings, we cannot assure you that we will have sufficient assets to repay our Term Loan and Revolving Facility and our other indebtedness.</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that currently anticipated revenue growth and operating improvements will be realized or that future borrowings will be available to us under our Term Loan and Revolving Facility in amounts sufficient to enable us to pay our indebtedness, or to fund our other liquidity needs. If we are unable to meet our debt service obligations or fund our other liquidity needs, we could attempt to restructure or refinance our indebtedness or seek additional equity capital. We cannot assure you that we will be able to accomplish those actions on satisfactory terms, if at all.</w:t>
      </w:r>
    </w:p>
    <w:p>
      <w:pPr>
        <w:spacing w:after="0" w:line="1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current indebtedness levels, we and our subsidiaries may still be able to incur substantially more debt, which could further exacerbate the risks associated with our substantial leverage.</w:t>
      </w:r>
    </w:p>
    <w:p>
      <w:pPr>
        <w:spacing w:after="0" w:line="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indebtedness in the future, including secured indebtedness. Although the Term Loan and Revolving Facility contains restrictions on the incurrence of additional indebtedness, these restrictions are subject to a number of significant qualifications and exceptions, and the indebtedness incurred in compliance with these restrictions could be substantial. In addition, as of December 31, 2022 we had approximately $5.0 million available for additional borrowings under our Revolver, all of which is permitted to be incurred under the Term Loan and Revolving Facility subject to the conditions to borrowing thereunder. If new debt is added to our or our subsidiaries’ current debt levels, the related risks that we face would be increased.</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we will require a significant amount of cash. Our ability to generate cash depends on many factors beyond our control, and any failure to meet our debt service obligations could have a material adverse effect on our business, prospects, results of operations and financial condition.</w:t>
      </w:r>
    </w:p>
    <w:p>
      <w:pPr>
        <w:spacing w:after="0" w:line="1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pay interest on and principal of our debt obligations principally depends upon our operating performance. As a result, prevailing economic conditions and financial, business and other factors, many of which are beyond our control, will affect our ability to make these payments.</w:t>
      </w:r>
    </w:p>
    <w:p>
      <w:pPr>
        <w:spacing w:after="0" w:line="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we conduct our operations through our subsidiaries. Accordingly, repayment of our indebtedness is dependent on the generation of cash flow by our subsidiaries and their ability to make such cash available to us by dividend, debt repayment or otherwise. Our subsidiaries may not be able to, or may not be permitted to, make distributions to enable us to make payments in respect of our indebtedness. Each of our subsidiaries is a distinct legal entity and, under certain circumstances, legal and contractual restrictions may limit our ability to obtain cash from our subsidiaries.</w:t>
      </w:r>
    </w:p>
    <w:p>
      <w:pPr>
        <w:spacing w:after="0" w:line="1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we do not generate sufficient cash flow from operations to satisfy our debt service obligations, we may have to undertake alternative financing plans, such as refinancing or restructuring our indebtedness, selling assets, reducing or delaying capital investments or capital expenditures or seeking to raise additional capital. Our ability to restructure or refinance our debt, if at all, will depend on the condition of the capital markets and our financial condition at such time. Any refinancing of our debt could be at higher interest rates and may require us to comply with more onerous covenants, which could further restrict our business operations. In addition, the terms of existing or future debt instruments may restrict us from adopting some of these alternatives. Our inability to generate sufficient cash flow to satisfy our debt service obligations, or to refinance our obligations at all or on commercially reasonable terms, could affect our ability to satisfy our debt obligations and have a material adverse effect on our business, prospects, results of operations and financial condition.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with no operations of our own.</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a holding company, and our ability to service our debt is dependent upon the earnings from the business conducted by our subsidiaries that operate the centers. The effect of this structure is that we depend on the earnings of our subsidiaries, and the distribution or payment to us of a portion of these earnings to meet our obligations, including those under our Term Loan and Revolving Facility and any of our other debt obligations. The distributions of those earnings or advances or other distributions of funds by these entities to us, all of which are contingent upon our subsidiaries’ earnings, are subject to various business considerations. In addition, distributions by our subsidiaries could be subject to statutory restrictions, including state laws requiring that such subsidiaries be solvent, or contractual restrictions. Some of our subsidiaries may become subject to agreements that restrict the sale of assets and significantly restrict or prohibit the payment of dividends or the making of distributions, loans or other payments to stockholders, partners or members.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variable rate debt exposes us to risks associated with rising interest rates, including as a result of the phase out of </w:t>
      </w:r>
      <w:r>
        <w:rPr>
          <w:rFonts w:ascii="Times New Roman" w:cs="Times New Roman" w:eastAsia="Times New Roman" w:hAnsi="Times New Roman"/>
          <w:sz w:val="18"/>
          <w:szCs w:val="18"/>
          <w:b w:val="1"/>
          <w:bCs w:val="1"/>
          <w:i w:val="1"/>
          <w:iCs w:val="1"/>
          <w:color w:val="3D3D3D"/>
        </w:rPr>
        <w:t>LIBOR</w:t>
      </w:r>
      <w:r>
        <w:rPr>
          <w:rFonts w:ascii="Times New Roman" w:cs="Times New Roman" w:eastAsia="Times New Roman" w:hAnsi="Times New Roman"/>
          <w:sz w:val="18"/>
          <w:szCs w:val="18"/>
          <w:b w:val="1"/>
          <w:bCs w:val="1"/>
          <w:i w:val="1"/>
          <w:iCs w:val="1"/>
          <w:color w:val="auto"/>
        </w:rPr>
        <w:t>, which could adversely affect our cash flows.</w:t>
      </w:r>
    </w:p>
    <w:p>
      <w:pPr>
        <w:spacing w:after="0" w:line="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December 31, 2022, we had borrowings under our Term Loan and Revolving Facility with variable rate debt that was indexed to the Secured Overnight Financing Rate (“SOFR”).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of 1.5% or 2.5% for base rate or SOFR, respectively. If the Company's total leverage ratio is below 1.0x, the applicable per annum margin is 1.0% or 2.0% for base rate or SOFR, respectively. There is significant uncertainty with respect to the implementation of the phase out of the LIBOR and what alternative indexes will be adopted which will ultimately be determined by the market as a whole. It therefore remains uncertain how such changes will be implemented and the effects such changes would have on us and the financial markets generally. These changes may have a material adverse impact on the availability of financing and on our financing costs. Also, increases in interest rates on variable rate debt would increase our interest expense and the cost of refinancing existing debt and incurring new debt, unless we make arrangements that hedge the risk of rising interest rates, which would adversely affect net income and cash available for payment of our debt obligations and distributions to equity holders.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or adverse outcomes resulting from examination of our income or other tax returns could adversely affect our financial condition and results of operations.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subject to income and other taxes in the United States and foreign jurisdictions, and our domestic tax liabilities are subject to the allocation of expenses in differing jurisdictions.</w:t>
      </w:r>
    </w:p>
    <w:p>
      <w:pPr>
        <w:spacing w:after="0" w:line="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instance, the Coronavirus Aid, Relief, and Economic Security Act enacted in 2020 (the “CARES Act”) modified certain provisions of the Tax Cuts and Jobs Act. In addition, it is uncertain if and to what extent various states will conform to the Tax Cuts and Jobs Act, the CARES Act, or any newly enacted federal tax legislation.</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Proposals to change U.S. or foreign tax laws could have an adverse impact on our effective tax rate, income tax expense, and financial performance. For example, the U.S. Congress, the Organization for Economic Cooperation and Development (“OECD”), and other government agencies are considering various proposals that may affect the taxation of multinational corporations. Although we cannot predict whether or in what form these proposals may pass, changes in corporate tax rates, the realization of net deferred tax assets relating to our operations, the taxation of foreign earnings, or other changes could have a material impact on the value of our deferred tax assets, could result in significant one-time charges, or could increase our future tax expense.</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U.S. federal, state, local and foreign authorities. We regularly assess the likelihood of an adverse outcome resulting from such an examination to determine the adequacy of our provision for income taxes. Outcomes from these examinations and audits could have an adverse effect on our financial condition and results of operations.</w:t>
      </w:r>
    </w:p>
    <w:p>
      <w:pPr>
        <w:spacing w:after="0" w:line="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there is a change in accounting standards by the Financial Accounting Standards Board or the interpretation thereof affecting consolidation of entities, it could have a material adverse effect on our consolidation of total revenue derived from the Professional Associations.</w:t>
      </w:r>
    </w:p>
    <w:p>
      <w:pPr>
        <w:spacing w:after="0" w:line="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financial statements are consolidated in accordance with applicable accounting standards and include the accounts of our subsidiaries and the Professional Associations, which we manage under the MSAs but are not owned by us. Such consolidation for accounting and/or tax purposes does not, is not intended to, and should not be deemed to, imply or provide us any control over the medical or clinical affairs of our affiliated Professional Associations. In the event a change in accounting standards promulgated by FASB or in interpretation of its standards, or if there is an adverse determination by a regulatory agency or a court, or a change in state or federal law relating to the ability to maintain present agreements or arrangements with our affiliated Professional Associations, we may not be permitted to continue to consolidate the total revenue of such practices.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We are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subject to significant regulatory oversight and reporting obligations under the federal securities laws, Nasdaq Stock Market,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financial condition, and operating results.</w:t>
      </w:r>
    </w:p>
    <w:p>
      <w:pPr>
        <w:spacing w:after="0" w:line="1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global pandemic could negatively affect our operations, business and financial condition, and our liquidity could be negatively impacted if the United States economy remains unstable for a significant amount of time.</w:t>
      </w:r>
    </w:p>
    <w:p>
      <w:pPr>
        <w:spacing w:after="0" w:line="7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COVID-19 crisis is still evolving and much of its impact remains unknown and difficult to predict. It could potentially negatively impact our financial performance in 2023 and beyond. We are uncertain of the full effect COVID-19 will have on our business for the longer term since the scope and duration of the pandemic is unknown, and evolving factors will impact the stability of economic recovery and growth.</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COVID-19 pandemic recently appeared to be trending downward, new variants of COVID-19 continue to emerge and spread throughout the U.S. and globally. The global economy, our employees, patients, centers, communities, and business operations have been, and may continue to be, significantly affected by the COVID-19 pandemic and new variants. As new variants continue to emerge, the full extent to which the COVID-19 pandemic will impact our business, results of operations, financial condition and liquidity will depend on future developments that are highly uncertain and cannot be accurately predicted.</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Broad economic factors resulting from the current COVID-19 pandemic, including increasing unemployment rates and reduced consumer spending, could also negatively affect our patient volumes, Business closings and layoffs in the areas in which we operate may adversely affect demand for our services, as well as the ability of patients to pay for services as rendered. If general economic conditions deteriorate or remain uncertain or diminished for an extended period of time, our liquidity and ability to repay our outstanding debt may be harmed.</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results and financial condition may be adversely affected by future federal or state laws, regulations, orders, or other governmental or regulatory actions addressing new COVID-19 variants or the United States’ health care system, which, if adopted, could result in direct or indirect restrictions to our business, financial condition, results of operations and cash flow.</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foregoing potential disruptions to our business as a result of the COVID-19 pandemic (including the potential resurgences of COVID-19 and the emergence of new variants of COVID-19) may have a material adverse effect on our business and could have a material adverse effect on our results of operations, financial condition, cash flows and our ability to service our indebtedness.</w:t>
      </w:r>
    </w:p>
    <w:p>
      <w:pPr>
        <w:spacing w:after="0" w:line="1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 contagious disease in the markets in which we operate or that otherwise impacts our centers could adversely impact our business.</w:t>
      </w:r>
    </w:p>
    <w:p>
      <w:pPr>
        <w:spacing w:after="0" w:line="7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a pandemic, epidemic or outbreak of an infectious disease, including new COVID-19 variants, or other public health crisis were to affect the areas in which we operate, our business, including our revenue, profitability and cash flows, could be adversely affected. If any of our centers were involved, or perceived to be involved, in treating patients with a highly contagious disease, or there was an outbreak of a highly contagious disease in areas in which our centers are located, our patients might cancel or defer cosmetic procedures. This could result in reduced patient volumes and operating revenue, potentially over an extended period. Further, a pandemic, epidemic or outbreak of an infectious disease might adversely impact our business by causing temporary shutdowns of our centers or diversion of patients or by causing staffing shortages in our centers. We may be unable to locate replacement supplies, and ongoing delays could require us to reduce procedure volume or cause temporary shutdowns of our centers. Although we have disaster plans in place and operate pursuant to infectious disease protocols, the extent to which new COVID-19 variants or other public health crisis will impact our business is difficult to predict and will depend on many factors beyond our control, including the speed of contagion, the development and implementation of effective preventative measures and possible treatments, the scope of governmental and other restrictions on travel and other activity, and public reactions to these factors.</w:t>
      </w:r>
    </w:p>
    <w:p>
      <w:pPr>
        <w:spacing w:after="0" w:line="11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centers may be adversely impacted by weather and other factors beyond our control, and disruptions in our disaster recovery systems or management continuity planning could limit our ability to operate our business effectively.</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financial results of our centers may be negatively impacted by adverse weather conditions, such as tornadoes, earthquakes and hurricanes, or other factors beyond our control, such as wildfires. These weather conditions or other factors could disrupt patient scheduling, displace our patients, employees and surgeon partners and force certain of our centers to close temporarily or for an extended period of time. In certain markets, we have a large concentration of centers that may be simultaneously affected by adverse weather condition or events beyond our control.</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disaster recovery systems and business continuity plans in place, any disruptions in our disaster recovery systems or the failure of these systems to operate as expected could, depending on the magnitude of the problem, adversely</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affect our operating results by limiting our capacity to effectively monitor and control our operations. Despite our implementation of a variety of security measures, our technology systems could be subject to physical or electronic break-ins, and similar disruptions from unauthorized tampering or weather related disruptions where our centers are located. In addition, in the event that a significant number of our management personnel were unavailable in the event of a disaster, our ability to effectively conduct business could be adversely affected.</w:t>
      </w:r>
    </w:p>
    <w:p>
      <w:pPr>
        <w:spacing w:after="0" w:line="1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Use and storage of paper medical records increases risk of loss, destruction and could increase human error with respect to documentation and patient care.</w:t>
      </w:r>
    </w:p>
    <w:p>
      <w:pPr>
        <w:spacing w:after="0" w:line="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affiliated Professional Associations continue to rely on the use paper medical records, which are initially stored on-site at our centers. Paper records are more susceptible to human error both in terms of accurately capturing patient information, as well as with respect to misplacing or losing the same. There is no duplicate or backup copy of the paper records and in the event of a flood, fire, theft, or other adverse event, the records, and all patient information, could be lost or destroyed. Paper records do not allow for a number of the benefits of electronic medical records systems, including interoperability with other providers allowing for better coordination of care, and other features designed to improve privacy, security, accuracy and accessibility of patient records. This may create more risk for the Professional Associations, surgeons and our centers to the extent it could lead to clinical issues or breaches of patient privacy.</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our manufacturers, other contractors, consultants, collaborators, or third party service providers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use information technology systems, infrastructure, and data in many aspects of our business operations, and our ability to effectively manage our business depends significantly on the availability, reliability and capacity of these systems. We are critically dependent on the integrity, security and consistent operations of these systems. We also collect, process and store significant sensitive, personally identifiable, and/or confidential information and intellectual property, including patients’ information, private information about employees, and financial and strategic information about us and our business partners. The secure processing, maintenance and transmission of this information is critical to our operations.</w:t>
      </w:r>
    </w:p>
    <w:p>
      <w:pPr>
        <w:spacing w:after="0" w:line="1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systems (including those of our contractors, consultants, collaborators, and third-party service providers) may be subject to damage or interruption from cyber-attacks, power outages, telecommunications problems, data corruption, software errors, network failures, acts of war or terrorist attacks, fire, flood, global pandemics and natural disasters; our existing safety systems, data backup, access protection, user management and information technology emergency planning may not be sufficient to prevent data loss or long-term network outages. In addition, we and our contractors, consultants, collaborators, and third-party service providers may have to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our business and result in transaction errors, processing inefficiencies and loss of production or sales, causing our business and reputation to suffer. Any material disruption or slowdown of our systems or those of our third-party service providers and business partners, could have a material adverse effect on our business, financial condition, and results of operations.</w:t>
      </w:r>
    </w:p>
    <w:p>
      <w:pPr>
        <w:spacing w:after="0" w:line="1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Further, our systems and facilities, and those of our contractors, consultants, collaborators, and third-party service providers, may be vulnerable to security incidents, including cyber-attacks, ransomware, acts of vandalism, computer viruses, misplaced or lost data, human errors or other similar events. Recent cyberattacks purportedly originated in Russian controlled entities have exacerbated in the wake of Russia's invasion of Ukraine and our systems may be infiltrated by foreign actors. If unauthorized parties gain access to our facilities, networks, or databases, or those of our third-party vendors or business partners, they may be able to steal, publish, delete, use inappropriately, render unreadable or unusable, or modify our private and sensitive third-party information, including personally identifiable information, credit card information, and other sensitive, confidential, or proprietary information. In addition, employees may intentionally or inadvertently cause security incidents that result in unauthorized release of personally identifiable, sensitive, confidential, or proprietary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techniques or implement adequate preventive measures for all situations.</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Security incidents compromising the confidentiality, integrity, and availability of this information and our systems and those of our third party vendors and business partners could result from cyber-attacks, computer malware, ransomware, viruses, social engineering (including phishing attacks), supply chain attacks, efforts by individuals or groups of hackers and sophisticated organizations, including state-sponsored organizations, errors or malfeasance of our personnel, and security vulnerabilities in the software or systems on which we rely. We anticipate that these threats will continue to grow</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scope and complexity over time and such incidents have occurred in the past, and may occur in the future, resulting in unauthorized, unlawful, or inappropriate access to, inability to access, disclosure of, or loss of the sensitive, proprietary and confidential information that we handle. As we rely on our contractors, consultants, collaborators and third-party service providers, we are exposed to security risks outside of our direct control, and our ability to monitor these third-party service providers and business partners’ data security is limited. Despite the implementation of security measures, our internal computer systems and those of our current and any other contractors, consultants, collaborators and third-party service providers, such measures may not be effective in every instance.</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Cybercrime and hacking techniques are constantly evolving, and we and/or our third-party service providers may be unable to anticipate or avoid attempted or actual security breaches, react in a timely manner, or implement adequate preventative measures, particularly given the increasing use of hacking techniques designed to circumvent controls, avoid detection, and remove or obfuscate forensic artifacts. While we have taken measures designed to protect the security of the confidential and personal information under our control, we cannot assure you that any security measures that we or our third-party service providers have implemented will be effective against current or future security threats.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such an event were to occur and cause interruptions in our operations or result in the unauthorized acquisition of or access to personally identifiable information or individually identifiable health information (violating certain privacy laws), it could result in a material disruption of our business operations, whether due to a loss of our trade secrets or other similar disruptions.</w:t>
      </w:r>
    </w:p>
    <w:p>
      <w:pPr>
        <w:spacing w:after="0" w:line="1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Laws in all states and U.S. territories require businesses to notify affected individuals, governmental entities, media, and/or credit reporting agencies of certain security incidents affecting personal information. Such laws are inconsistent, and compliance in the event of a widespread security incident is complex and costly and may be difficult to implement. Moreover, while we maintain cyber insurance that may help provide coverage for these types of incidents, we cannot assure you that our insurance will be adequate to cover all costs and liabilities related to these incidents.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cost of investigating, mitigating and responding to potential security breaches and complying with applicable breach notification obligations to individuals, regulators, partners and others can be significant. Security breaches can also give rise to claims, and the risk of such claims is increasing. For example, as discussed below, the CCPA creates a private right of action for certain data breaches. Further, defending a suit, regardless of its merit, could be costly, divert management attention and harm our reputation. The successful assertion of one or more large claims against us could adversely affect our reputation, business, financial condition, revenue, results of operations or cash flows.</w:t>
      </w:r>
    </w:p>
    <w:p>
      <w:pPr>
        <w:spacing w:after="0" w:line="1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could compromise sensitive information related to our business or our patients, or prevent us from accessing critical information or systems and expose us to liability, and could adversely affect our business and our reputation.</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ordinary course of our business, we create, receive, maintain, transmit, collect, store, use, disclose, share and process (collectively, “Process”) sensitive data, including individually identifiable health information (“IIHI”) and other types of personal data or personally identifiable information (collectively, “PII” and, together with IIHI, “IIHI/PII”) relating to our employees, patients, and others. We also Process and contract with third-party service providers to Process sensitive information, including IIHI/PII, confidential information, and other proprietary business information.</w:t>
      </w:r>
    </w:p>
    <w:p>
      <w:pPr>
        <w:spacing w:after="0" w:line="1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highly dependent on information technology networks and systems, including the internet, to securely Process IIHI/PII and other sensitive data and information. Security breaches of this infrastructure, whether ours or of our third-party service providers, including physical or electronic break-ins, computer viruses, ransomware, attacks by hackers and similar breaches, and employee or contractor error, negligence or malfeasance, could create system disruptions, shutdowns or unauthorized access, acquisition, use, disclosure or modifications of such data or information, and could cause IIHI/PII to be accessed, acquired, used, disclosed or modified without authorization, to be made publicly available, or to be further accessed, acquired, used or disclosed.</w:t>
      </w:r>
    </w:p>
    <w:p>
      <w:pPr>
        <w:spacing w:after="0" w:line="1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use third-party service providers for important aspects of the Processing of employee and patient IIHI/PII and other confidential and sensitive data and information, and therefore rely on third parties to manage functions that have material cybersecurity risks. Because of the sensitivity of the IIHI/PII and other sensitive data and information that we and our service providers Process, the security of our technology platform and other aspects of our services, including those provided or facilitated by our third-party service providers, are important to our operations and business strategy. We have implemented certain administrative, physical and technological safeguards to address these risks; however, such policies and procedures may not adequately address certain legal requirements, certain situations that could lead to increased privacy or security risks, and certain risks related to contractors and other third-party service providers who handle this IIHI/PII and other sensitive data and information for us. The training that we provide to our workforce and measures taken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to protect our systems, the systems of our contractors or third-party service providers, or more generally the IIHI/PII or other sensitive data or information that we or our contractors or third-party service providers Process may not adequately protect us from the risks associated with Processing sensitive data and information. We may be required to expend significant capital and other resources to protect against security breaches, to safeguard the privacy, security, and confidentiality of IIHI/PII and other sensitive data and information, to investigate, contain, remediate, and mitigate actual or potential security breaches, and/or to report security breaches to patients, employees, regulators, media, credit bureaus, and other third parties in accordance with applicable law and to offer complimentary credit monitoring, identity theft protection, and similar services to patients and/or employees where required by law or otherwise appropriate. Despite our implementation of security measures, cyber-attacks are becoming more sophisticated and frequent, and we or our third-party service providers may be unable to anticipate these techniques or to implement adequate protective measures against them or to prevent additional attacks. Our information technology networks and systems used in our business, as well as those of our service providers, may experience an increase in attempted cyber-attacks, seeking to take advantage of shifts to employees working remotely using their household or personal internet networks and to leverage fears promulgated by the COVID-19 pandemic. The success of any of these attempts could substantially impact our platform and the privacy, security, or confidentiality of the IIHI/PII and other sensitive data and information contained therein or otherwise processed in the ordinary course of our business operations, and could ultimately harm our reputation and our business. In addition, any actual or perceived security incident or breach may cause us to incur increased expenses to improve our security controls and to remediate security vulnerabilities. We exercise limited control over our third-party service providers and, in the case of some third-party service providers, may not have evaluated the adequacy of their security measures, which increases our vulnerability to problems with services they provide.</w:t>
      </w:r>
    </w:p>
    <w:p>
      <w:pPr>
        <w:spacing w:after="0" w:line="1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 security breach, security incident, or privacy violation that leads to unauthorized use, disclosure, access, acquisition, loss or modification of, or that prevents access to or otherwise impacts the confidentiality, security, or integrity of, patient or employee information, including IIHI/PII that we or our third-party service providers Process, could harm our reputation, compel us to comply with breach notification laws, cause us to incur significant costs for investigation, containment, remediation, mitigation, fines, penalties, settlements, notification to individuals, regulators, media, credit bureaus, and other third parties, complimentary credit monitoring, identity theft protection, training and similar services to patients and/or employees where required by law or otherwise appropriate, for measures intended to repair or replace systems or technology and to prevent future occurrences. We may also be subject to potential increases in insurance premiums, resulting in increased costs or loss of revenue.</w:t>
      </w:r>
    </w:p>
    <w:p>
      <w:pPr>
        <w:spacing w:after="0" w:line="1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we or our third-party service providers are unable to prevent or mitigate security breaches, security incidents or privacy violations in the future, or if we or our third-party service providers are unable to implement satisfactory remedial measures with respect to known or future security incidents, or if it is perceived that we have been unable to do so, our operations could be disrupted, we may be unable to provide access to our systems, and we could suffer a loss of patients, loss of reputation, adverse impacts on patient and investor confidence, financial loss, governmental investigations or other actions, regulatory or contractual penalties, and other claims and liability. In addition, security breaches and incidents and other compromise or inappropriate access to, or acquisition or processing of, IIHI/PII or other sensitive data or information can be difficult to detect, and any delay in identifying such breaches or incidents or in providing timely notification of such incidents may lead to increased harm and increased penalties.</w:t>
      </w:r>
    </w:p>
    <w:p>
      <w:pPr>
        <w:spacing w:after="0" w:line="1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Any such security breach or incident or interruption of our systems or those of any of our third-party service providers could compromise our networks or data security processes, and IIHI/PII or other sensitive data and information could be made inaccessible or could be compromised, used, accessed, or acquired by unauthorized parties, publicly disclosed, lost or stolen. Any such interruption in access, compromise, use, improper access, acquisition, disclosure or other loss of information could result in legal claims or proceedings and/or liability or penalties under laws and regulations that protect the privacy, confidentiality, or security of IIHI/PII, including, without limitation, the Federal Trade Commission Act (“FTC Act”), the California Consumer Privacy Act (“CCPA”), other state IIHI/PII privacy, security, or consumer protection laws, and state breach notification laws. Unauthorized access, loss or dissemination of IIHI/PII could also disrupt our operations, including our ability to perform our services, access, collect, process, and prepare company financial information, provide information about our current and future services and engage in other patient and clinician education and outreach efforts.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4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of sufficient scope or at all or freedom to operate for the 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procedure or any technology we develop, our ability to successfully commercialize any procedures we may develop may be adversely affected.</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seek to protect our position by filing patent applications in the United States related to our proprietary procedures and any products that we may develop that are important to our business.</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enforce or license all necessary or desirable patents or patent applications at a reasonable cost, in a timely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manner, in all jurisdictions where protection may be commercially advantageous, or at all.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obtain, maintain, and enforce our patent rights and, more generally, could affect the value of our patents or narrow the scope of our patents. For example,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cannot predict whether the patent applications we pursue will issue as patents or whether the claims of any issued patents will provide sufficient protection from competitors. The coverage claimed in a patent application can be significantly reduced before a patent is issued, and its scope can be reinterpreted after issuance. Even if our patent applications issue as patents, they may not issue in a form that will provide us with any meaningful protection, prevent competitors or other third parties from competing with us, or otherwise provide us with any competitive advantage. As a result, the issuance, scope, validity, enforceability and commercial value of our patent rights are highly uncertain.</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our competitors or other third parties may be able to circumvent our patents by developing similar or alternative non-infringing technologies, or procedures. Our patent protection is currently limited to the United States and does not afford us protection in other countries in which we are opening new centers. These new centers may therefore face more direct competition, which may reduce the profitability of our centers outside the United States.</w:t>
      </w:r>
    </w:p>
    <w:p>
      <w:pPr>
        <w:spacing w:after="0" w:line="1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Third parties may also have blocking patents that could prevent us from marketing our procedures and practicing our technology. Alternatively, third parties may seek approval to market their own procedures similar to or otherwise competitive with our procedures.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procedures that are substantially similar to ours. Even if we have valid and enforceable patents, these patents still may not provide protection against competing procedures or technologies sufficient to achieve our business objectives.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United States Patent and Trademark Office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and patent applications will be due to the USPTO and foreign patent agencies over the lifetime of our patents and applications.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could have a material adverse effect on our business, financial condition and results of operations.</w:t>
      </w:r>
    </w:p>
    <w:p>
      <w:pPr>
        <w:spacing w:after="0" w:line="1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a party to intellectual property litigation or administrative proceedings or other intellectual property challenges that could be costly and could interfere with our ability to market and perform our services.</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cosmetic treatment procedure industry has been characterized by extensive intellectual property litigation, and companies in the industry have used intellectual property litigation to gain a competitive advantage. It is possible that United States and foreign patents and pending patent applications or trademarks of third parties may be alleged to cover our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technology or our procedures, or that we may be accused of misappropriating third parties’ trade secrets. Additionally, our equipment includes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and/or export our technology and procedures or to use our proprietary names. Because patent applications can take years to issue and are often afforded confidentiality for some period of time, there is a risk we may develop one or more procedures or other technologies without knowledge of a pending patent application, which if such patent application issued into a patent would result in our procedures or technologies infringing such patent. From time to time, we may receive threatening letters, notices or “invitations to license,” or may be the subject of claims that our procedures, technology, brands, proprietary names and marks, and/or business operations infringe or violate the intellectual property rights of others. Moreover, in recent years, individuals and groups that are non-practicing entities, commonly referred to as “patent trolls,” have purchased patents and other intellectual property assets for the purpose of making claims of infringement in order to extract settlements. The defense of any of these matters, even claims without merit, can be time consuming, divert management’s attention and resources, damage our reputation and brand and cause us to incur significant expenses, and if we settle any such claims, we may agree to make substantial payments or to redesign or cease making or using our challenged procedures or technology or to cease using our brands or proprietary names and marks. Vendors from whom we purchase hardware or software may not indemnify us in the event that such hardware or software is accused of infringing or misappropriating a third party’s intellectual property rights, or any indemnification granted by such vendors may not be sufficient to address any liability and costs we incur as a result of such claims. Additionally, we may be obligated to indemnify our business partners in connection with intellectual property litigation, which could further exhaust our resources.</w:t>
      </w:r>
    </w:p>
    <w:p>
      <w:pPr>
        <w:spacing w:after="0" w:line="1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Even if we believe a third party’s intellectual property claims are without merit, there is no assurance that a court would find in our favor, including on questions of infringement, validity, enforceability or priority of patents. The strength of our defenses relating to patent claims will depend on the patents asserted, the interpretation of these patents, and our ability to invalidate the asserted patents. A court of competent jurisdiction could hold that these third-party patents are valid and enforceable and have been infringed by us, which could materially and adversely affect our ability to commercialize any procedures or technology we may develop and any other procedures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the patent owner need only prove infringement by a preponderance of the evidence, which is a lower burden of proof.</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 any successful claims of intellectual property infringement or misappropriation against us may harm our business and result in injunctions preventing us from developing, manufacturing, using or selling our technology or procedures,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1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Even if any intellectual property disputes are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alter our procedures or redesign our equipment to avoid infringement. Any of these events could materially and adversely affect our business, financial condition and results of operations.</w:t>
      </w:r>
    </w:p>
    <w:p>
      <w:pPr>
        <w:spacing w:after="0" w:line="1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derivation, cancellation or opposition proceedings before the USPTO or other jurisdictional body relating to our intellectual property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intellectual property rights of others. Adverse determinations in a judicial or administrative proceeding or failure to obtain necessary licenses could prevent us from using or selling our procedures or technology or using proprietary names, which would have a significant adverse impact on our business, financial condition and results of operations.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Additionally, we may file lawsuits or initiate other proceedings to protect or enforce our patents, or other intellectual property rights and contractual restrictive covenants with our surgeons not to use the procedure outside of our centers, each of which could be expensive, time consuming and unsuccessful. Competitors may infringe our issued patents or other intellectual property, which we may not always be able to detect. Any claims we assert against perceived infringers could provoke these parties to assert counterclaims against us alleging that we infringe their intellectual property or alleging that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existing and future patent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outcome following legal assertions of invalidity and unenforceability is unpredictable. If a third party were to prevail on a legal assertion of invalidity or unenforceability, we would lose at least part, and perhaps all, of the patent protection on our procedures, equipment, and other technologies (including those then under development). If our patents are found to be valid and infringed by a third party, a court may refuse to grant injunctive relief against the infringer and instead grant us monetary damages and/or ongoing royalties. Such monetary compensation may be insufficient to adequately offset the damage to our business caused by the infringer’s competition in the market. Any of these events could materially and adversely affect our business, financial condition and results of operations.</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intellectual property litigation or other proceedings could have a material adverse effect on our business, financial condition and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other proprietary rights, our business and competitive position may be harmed.</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that we seek to protect, including trade secrets, and other proprietary information that is not patentable or that we elect not to patent. However, trade secrets can be difficult to protect. To maintain the confidentiality of our trade secrets and proprietary information, we rely heavily on confidentiality provisions that we have in contracts with our employees, consultants, contractors,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know-how and other proprietary information will not otherwise become known.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Enforcing a claim that a party disclosed proprietary information in an unauthorized manner or misappropriated a trade secret is difficult, expensive and time-consuming, and the outcome is unpredictable.</w:t>
      </w:r>
    </w:p>
    <w:p>
      <w:pPr>
        <w:spacing w:after="0" w:line="12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addition, we may in the future also be subject to claims by our former employees, surgeons, consultants or contractors asserting an ownership right in our intellectual property rights as a result of the work they performed on our behalf. Although it is our policy to require all of our employees, consultants, contractors and any other partners or collaborators who may be involved in the conception or development of intellectual property for us to execute agreements assigning such intellectual property to us, we cannot be certain that we have executed such agreements with all parties who may have contributed to the development of our intellectual property, that the assignment of intellectual property rights under our agreements that have been executed with such parties will be self-executing, or that our agreements with such parties will be upheld in the face of a potential challenge. Such agreements could also potentially be breached in a manner for which we may not have an adequate remedy. As a result, we may lose valuable intellectual property rights, such as exclusive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ownership of, and/or right to use, intellectual property that is important to our business. Any such events could have a material adverse effect on our business, financial condition and results of operations.</w:t>
      </w:r>
    </w:p>
    <w:p>
      <w:pPr>
        <w:spacing w:after="0" w:line="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To the extent our intellectual property or other proprietary information protection is inadequate, we are exposed to a greater risk of direct competition. A third party could, without authorization, copy or otherwise obtain and use our procedures, equipment, or technology. Our competitors could attempt to replicate some or all of the competitive advantages we derive from our development efforts or design around our intellectual property. Our failure to secure, protect and enforce our intellectual property rights could substantially harm the value of our brand and business. The theft or unauthorized use or publication of our trade secrets and other confidential proprietary information could reduce the differentiation of our procedures and harm our business, the value of our investment in development could be reduced and third parties may make claims against us related to losses of their confidential or proprietary information.</w:t>
      </w:r>
    </w:p>
    <w:p>
      <w:pPr>
        <w:spacing w:after="0" w:line="1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Further, it is possible that others will independently develop the same or similar technology or otherwise obtain access to our unpatented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rightfully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 In addition, the Federal Trade Commission has proposed new regulations, which, if such regulations come into force in their proposed form and are found enforceable, would largely prohibit future, or render unenforceable most current, non-compete agreements in the United States that would otherwise protect the business.</w:t>
      </w:r>
    </w:p>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Any of the foregoing could materially and adversely affect our business, financial condition and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to the same extent as in the United States.</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While we have applied for patent protection in the United States relating to certain of our procedures, a company may attempt to commercialize competing procedures utilizing our proprietary methods in foreign countries where we do not have any patents or patent applications and where legal recourse may be limited or unavailable. In addition, we currently own registered trademarks and trademark applications relating to our business in the United States and other markets, but other companies may own these marks in other jurisdictions. Any such third party rights may have a significant commercial impact on our ability to expand into foreign markets.</w:t>
      </w:r>
    </w:p>
    <w:p>
      <w:pPr>
        <w:spacing w:after="0" w:line="1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Filing, prosecuting and defending patents or trademarks on our current and future procedures in all countries throughout the world would be prohibitively expensive. In addition, we may not accurately predict all of the jurisdictions where patent or trademark protection will ultimately be desirable. If we fail to timely file a patent or trademark application in some jurisdictions, we may be precluded from doing so at a later date. The requirements for patentability and for obtaining trademark protection may differ in certain countries, particularly developing countries. The laws of some foreign countries do not protect intellectual property rights to the same extent as laws in the United States. Consequently, we may not be able to prevent third parties from utilizing our inventions, trademarks and other proprietary rights in all countries outside the United States. Competitors may use our technologies or trademarks in jurisdictions where we have not obtained patent or trademark protection to develop or market their own procedures. Our patents, trademarks or other intellectual property rights may not be effective or sufficient to prevent them from competing.</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or may not be sufficiently robust for, the meaningful enforcement of patents, trademarks and other intellectual property rights, which could make it difficult for us to stop the infringement or other violation of our patents, trademarks and other intellectual property rights. Proceedings to enforce our intellectual property rights in foreign jurisdictions could result in substantial costs and divert our efforts and attention from other aspects of our business, could put our patents and trademarks at risk of being invalidated or interpreted narrowly and/or result in the unsuccessful prosecution of our patent or trademark applications, and could provoke third parties to assert claims against us. We may not prevail in any lawsuits that we initiate and the damages or other remedies awarded, if any, may not be commercially meaningful. In addition, many countries, including India, China and certain countries in Europe, have compulsory licensing laws under which a patent owner may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our intellectual property. Finally, our ability to protect and enforce our intellectual property rights may be adversely affected by unforeseen changes in foreign intellectual property laws.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that could adversely impact our ability to build name recognition in certain markets.</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rely on trademarks, service marks and trade names to distinguish our procedures and services from those of our competitors and have registered or applied to register these trademarks. Our registered or unregistered trademarks, service marks and trade names may be challenged, infringed, diluted, circumvented or declared generic or determined to be infringing on other marks. Additionally, we cannot assure you that our trademark applications will be approved.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procedures or services, which could result in loss of brand recognition and could require us to devote resources towards advertising and marketing new brands. At times, competitors may adopt trade names or trademarks similar to ours, which could harm our brand identity and lead to market confusion. Certain of our current or future trademarks may become so well known by the public that their use becomes generic and they lose trademark protection. Over the long term, if we are unable to establish name recognition through our trademarks and trade names, then we may not be able to compete effectively and our business, financial condition and results of operations may be adversely affected.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Regulations</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or otherwise incur liabilities under the numerous federal and state laws and regulations relating to the operation of our centers, we could incur significant penalties or other costs or be required to make significant changes to our operations.</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cosmetic treatment industry is heavily regulated and we are subject to many laws and regulations at the federal, state and local government levels in the markets in which we operate. These laws and regulations require that our centers meet various licensing, accreditation, certification and other requirements, including, but not limited to, those relating to:</w:t>
      </w:r>
    </w:p>
    <w:p>
      <w:pPr>
        <w:spacing w:after="0" w:line="11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ownership and control of our centers and our arrangements with our affiliated Professional Associations;</w:t>
      </w:r>
    </w:p>
    <w:p>
      <w:pPr>
        <w:spacing w:after="0" w:line="13"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operating policies and procedures;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qualification, training and supervision of medical and support persons;</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the appropriateness and adequacy of medical care, equipment, personnel, operating policies and procedures; maintenance and preservation of medical records;</w:t>
      </w:r>
    </w:p>
    <w:p>
      <w:pPr>
        <w:spacing w:after="0" w:line="1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the protection and privacy of patient and other sensitive information of privacy, including, but not limited to, patient health information and credit card information;</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screening, stabilization and transfer of individuals who have emergency medical conditions and provision of emergency services;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antitrust;</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building codes;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workplace health and safety;</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licensure, certification and accreditation;</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fee-splitting and the corporate practice of medicine;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handling of medication;</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confidentiality, data breach, identity theft and maintenance and protection of health-related and other personal information and medical records;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fat removal;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environmental protection, health and safety.</w:t>
      </w:r>
    </w:p>
    <w:p>
      <w:pPr>
        <w:spacing w:after="0" w:line="13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fail or have failed to comply with applicable laws and regulations, we could subject ourselves to administrative, civil or criminal penalties, cease and desist orders, and loss of licenses necessary to operate.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Many of these laws and regulations have not been fully interpreted by regulatory authorities or the courts, and their provisions are sometimes open to a variety of interpretations. Different interpretations or enforcement of existing or new laws and regulations could subject our current practices to allegations of impropriety or illegality, or require us to make changes in our operations, arrangements with surgeons and licensed professionals, centers, equipment, personnel, services, capital expenditure programs or operating expenses to comply with the evolving rules. Any enforcement action against us, even if we successfully defend against it, could cause us to incur significant legal expenses and divert our management’s attention from the operation of our business.</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pursuing our growth strategy, we may seek to expand our presence into states in which we do not currently operate. In new geographic areas, we may encounter laws and regulations that differ from those applicable to our current operations. If we are unwilling or unable to comply with these legal requirements in a cost-effective manner, we may be unable to expand into new geographic markets or such expansion may be materially limited, which, in either case, could materially and adversely affect our ability to expand and grow the business.</w:t>
      </w:r>
    </w:p>
    <w:p>
      <w:pPr>
        <w:spacing w:after="0" w:line="1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 number of initiatives have been proposed during the past several years to reform various aspects of the healthcare system in the United States. In the future, different interpretations or enforcement of existing or new laws and regulations could subject our current practices to allegations of impropriety or illegality, or could require us to make changes in our centers, equipment, personnel, services, capital expenditure programs and operating expenses. In addition, some of the governmental and regulatory bodies that regulate us are considering or may in the future consider enhanced or new regulatory requirements. These authorities may also seek to exercise their supervisory or enforcement authority in new or more robust ways.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laws that limit the amount of fat that may be removed during the procedures we perform, and such restrictions vary depending on where the procedure is performed. If the laws were to change to materially restrict the amount of fat that may be removed during our procedures, this may limit demand for our services or the ability to continue to charge as much for the same procedures or to perform the procedures at all.</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these possibilities, if they occurred, could detrimentally affect the way we conduct our business and manage our capital, either of which, in turn, could have a material adverse effect on our business, prospects, results of operations and financial condition.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be certain if and when international regulatory agencies will approve use of the AirSculpt® procedure in their respective jurisdictions.</w:t>
      </w:r>
    </w:p>
    <w:p>
      <w:pPr>
        <w:spacing w:after="0" w:line="1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believe that our brand is important to attracting patients and high-quality surgeons. As we continue our international expansion, we cannot be certain if and when regulatory agencies outside the United States will approve use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in their respective jurisdictions. Accordingly, we may need to adapt the AirSculpt® procedure to local regulatory requirements, which could produce inferior results. Moreover, altering the AirSculpt® procedure could create confusion among consumers and dilute our brand identity. If inferior results are produced or our brand identity is diluted, we may not be able to compete effectively and our business, financial condition and results of operations may be adversely affected.</w:t>
      </w:r>
    </w:p>
    <w:p>
      <w:pPr>
        <w:spacing w:after="0" w:line="8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AirSculpt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procedures may cause or contribute to adverse medical events that we are required to report to the FDA and if we fail to do so, we could be subject to sanctions that would materially harm our business.</w:t>
      </w:r>
    </w:p>
    <w:p>
      <w:pPr>
        <w:spacing w:after="0" w:line="11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 connection with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we currently use an FDA-approved handpiece manufactured by Euromi S.A., a Belgian company that specializes in the manufacturing and distribution of medical, dermatological and plastic surgery products, and other FDA-approved parts, such as the cannula and vacuum pump, from other manufacturers. Using FDA-approved equipment in medical procedures is the practice of medicine and does not itself require further FDA review or approval. However, FDA regulations require that we report certain information about adverse medical events if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has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could take action including criminal prosecution, the imposition of civil monetary penalties, revocation of our device clearance or approval, seizure of our products, or delay in approval or clearance of future products.</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laws governing the corporate practice of medicine or fee-splitting change, we may be required to restructure some of our relationships, which may result in a significant loss of revenue and divert other resources.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contractual relationships with our affiliated Professional Associations and surgeons may implicate certain state laws that generally prohibit non-professional entities from providing licensed medical services and exercising control over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licensed physicians or other healthcare professionals (such activities generally referred to as the “corporate practice of medicine,” or CPOM) or engaging in certain practices such as fee-splitting with such licensed professionals (i.e., sharing in a percentage of professional fees). The specific requirements, interpretation and enforcement of these laws vary significantly from state to state, and is subject to change and to evolving interpretations. There can be no assurance that these laws will be interpreted in a manner consistent with our practices or that other laws or regulations will not be enacted in the future that could have a material and adverse effect on our business, financial condition and results of operations. We provide comprehensive, administrative and non-clinical Management Services to our affiliated Professional Associations in exchange for a management fee. Regulatory authorities, state boards of medicine, state attorneys general and other parties may assess or determine that our relationships with our affiliated Professional Associations and surgeons violate state CPOM and/or fee-splitting prohibitions. If any of these events occur, we could be subject to significant fines and penalties, certain relationships with our affiliated Professional Associations and surgeons could be voided and declared unenforceable and/or we could be required to materially change the way we do business, which, could adversely affect our business, financial condition and results of operations. State CPOM and fee-splitting prohibitions also often impose penalties on healthcare professionals for aiding in the improper rendering of professional services, which could discourage surgeons and other healthcare professionals from providing clinical services at our centers.</w:t>
      </w:r>
    </w:p>
    <w:p>
      <w:pPr>
        <w:spacing w:after="0" w:line="1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various federal and state laws pertaining to healthcare fraud and abuse, including anti-kickback, self-referral, false claims and fraud laws, and any violations by us of such laws could result in fines or other penalties.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none of our services are currently covered by any state or federal government healthcare program or other third-party payor, applicable agencies and regulators may interpret that we are nonetheless subject to various federal and state laws intended to prevent healthcare fraud and abuse, including, but not limited, to the following:</w:t>
      </w:r>
    </w:p>
    <w:p>
      <w:pPr>
        <w:spacing w:after="0" w:line="136" w:lineRule="exact"/>
        <w:rPr>
          <w:sz w:val="20"/>
          <w:szCs w:val="20"/>
          <w:color w:val="auto"/>
        </w:rPr>
      </w:pPr>
    </w:p>
    <w:p>
      <w:pPr>
        <w:jc w:val="both"/>
        <w:ind w:left="660" w:hanging="328"/>
        <w:spacing w:after="0" w:line="238"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cash, improper discounts and free or reduced price items and services;</w:t>
      </w:r>
    </w:p>
    <w:p>
      <w:pPr>
        <w:spacing w:after="0" w:line="10" w:lineRule="exact"/>
        <w:rPr>
          <w:rFonts w:ascii="Arial" w:cs="Arial" w:eastAsia="Arial" w:hAnsi="Arial"/>
          <w:sz w:val="22"/>
          <w:szCs w:val="22"/>
          <w:color w:val="auto"/>
        </w:rPr>
      </w:pPr>
    </w:p>
    <w:p>
      <w:pPr>
        <w:jc w:val="both"/>
        <w:ind w:left="660" w:hanging="328"/>
        <w:spacing w:after="0" w:line="237"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The federal False Claims Act includes a whistleblower provision that allows individuals to bring actions on behalf of the federal government and share a portion of the recovery of successful claims;</w:t>
      </w:r>
    </w:p>
    <w:p>
      <w:pPr>
        <w:spacing w:after="0" w:line="1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HIPAA, as amended, also created federal criminal laws that prohibit executing a scheme to defraud any healthcare benefit program or making false statements relating to healthcare matters;</w:t>
      </w:r>
    </w:p>
    <w:p>
      <w:pPr>
        <w:spacing w:after="0" w:line="1"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similar state anti-kickback and false claims laws, some of which apply to items or services reimbursed by any third party payor, including commercial insurers or services paid out-of-pocket by consumers; and</w:t>
      </w:r>
    </w:p>
    <w:p>
      <w:pPr>
        <w:ind w:left="660" w:hanging="328"/>
        <w:spacing w:after="0" w:line="239" w:lineRule="auto"/>
        <w:tabs>
          <w:tab w:leader="none" w:pos="655"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the Federal Trade Commission Act and federal and state consumer protection, advertisement and unfair competition laws, which broadly regulate marketplace activities and activities that could potentially harm consumers.</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Because of the breadth of these laws and the need to fit certain activities within one of the statutory exceptions and safe harbors available, it is possible that some of our business activities could be subject to challenge under one or more of such laws.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11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environmental, health and safety laws and regulations, and must maintain licenses or permits, and non-compliance with these laws, regulations, licenses, or permits may expose us to significant costs or liabilities.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are subject to numerous foreign, federal, state, and local environmental, health and safety laws and regulations relating to, among other matters, safe working conditions and environmental protection, including those governing the generation, storage, handling, use, transportation, and disposal of hazardous or potentially hazardous materials, including medical waste and other highly regulated substances. Some of these laws and regulations require us to obtain licenses or permits to conduct our operations. Environmental, health and safety laws and regulations are complex, occasionally change and have tended to become more stringent over time. If we violate or fail to comply with these laws, regulations, licenses, or permits, we could be fined or otherwise sanctioned by regulators.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spacing w:after="0" w:line="11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risks are inherent in providing prescription and over the counter (“OTC”) treatments, and our insurance may not be adequate to cover any claims against us.</w:t>
      </w:r>
    </w:p>
    <w:p>
      <w:pPr>
        <w:spacing w:after="0" w:line="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Sellers of prescriptions and OTC treatments are exposed to risks inherent in the packaging and distribution of prescriptions and OTC treatments and other healthcare products, such as with respect to improper filling of prescriptions, labeling of prescriptions, adequacy of warnings, unintentional distribution of counterfeit drugs and expiration of drugs. Our medical professionals may also have a duty to warn customers regarding any potential negative effects of a prescription drug if the warning could reduce or negate these effects. Although we maintain professional liability and errors and omissions liability insurance, from time to time, claims may result in the payment of significant amounts, some portions of which are not funded by insurance. We cannot assure you that the coverage limits under our insurance policies will be adequate to protect us against future claims or that we will be able to maintain this insurance on acceptable terms in the future. Our business, financial condition and results of operations may be adversely affected if our insurance coverage proves to be inadequate or unavailable or there is an increase in liability for which we self-insure or we suffer reputational harm as a result of an error or omission in the process of prescribing, dispensing and administering prescription and OTC treatments.</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antitrust enforcement authorities conclude that our market share in any particular market is too concentrated or that we violate antitrust laws, we could be subject to enforcement actions that could have a material adverse effect on our business, prospects, results of operations and financial condition.</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federal government and most states have enacted antitrust laws that prohibit certain types of conduct deemed to be anti-competitive. These laws prohibit price fixing, concerted refusal to deal, market monopolization, price discrimination, tying arrangements, acquisitions of competitors and other practices that have, or may have, an adverse effect on competition. Violations of federal or state antitrust laws can result in various sanctions, including criminal and civil penalties. Antitrust enforcement in the healthcare industry is currently a priority of the Federal Trade Commission (the “FTC”). We believe we are in compliance with federal and state antitrust laws, but courts or regulatory authorities may reach a determination in the future that could have a material adverse effect on our business, prospects, results of operations and financial condition.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healthcare laws and regulation to which we are subject is constantly evolving and may change significantly in the future.</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regulation applicable to our business and to the healthcare industry generally to which we are subject is constantly in a state of flux. While we believe that we have structured our agreements and operations in material compliance with applicable healthcare laws and regulations, there can be no assurance that we will be able to successfully address changes in the current regulatory environment or changes in interpretation of existing laws and regulations. We believe that our business operations materially comply with applicable healthcare laws and regulations. However, some of the healthcare laws and regulations applicable to us are subject to limited or evolving interpretations, and a review of our business or operations by a court, law enforcement or a regulatory authority might result in a determination that could have a material adverse effect on us. Furthermore, the healthcare laws and regulations applicable to us may be amended or interpreted in a manner that could have a material adverse effect on our business, prospects, results of operations and financial condition.</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rapidly changing and increasingly stringent laws, regulations, industry standards, and other obligations relating to privacy, data protection, and data security. The restrictions and costs imposed by these requirements, or our actual or perceived failure to comply with them, could materially harm our business.</w:t>
      </w:r>
    </w:p>
    <w:p>
      <w:pPr>
        <w:spacing w:after="0" w:line="1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collect, use, and disclose IIHI/PII of patients, personnel, business contacts, and others in the course of operating our business. These activities are or may become regulated by a variety of domestic and foreign laws and regulations relating to privacy, data protection, and data security, which are complex and increasingly stringent and the scope of which is constantly changing, and in some cases, inconsistent and conflicting and subject to differing interpretations as new laws of this nature are proposed and adopted, and we currently, and from time to time, may not be in technical compliance with all such laws.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Federal Trade Commission (“FTC”) has brought legal actions against organizations that have violated consumers’ privacy rights or misled them by failing to maintain security for sensitive consumer information, or caused substantial consumer injury. In many of these cases, the FTC has charged the defendants with violating Section 5 of the FTC Act, which bars unfair and deceptive acts and practices in or affecting commerce.</w:t>
      </w:r>
    </w:p>
    <w:p>
      <w:pPr>
        <w:spacing w:after="0" w:line="1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State statutes and regulations also protect the confidentiality, privacy, availability, integrity, security, and other Processing of IIHI/PII and vary from state to state. These laws and regulations are often ambiguous, contradictory, and subject to changing or differing interpretations, and we expect new laws, rules and regulations regarding privacy, data protection, and information security to be proposed and enacted in the future. For example, the California Confidentiality of Medical Information Act (CMIA) regulates the disclosure of medical information, and applies to the IIHI we Process in the ordinary course of our Business. Violations of the CMIA can result in personal liability to the patient, the imposition of administrative fines and civil penalties, and even criminal liability. Additionally, the CCPA provides certain exceptions for some IIHI, but is still applicable to certain PII we process in the ordinary course of our business. The effects of the CCPA are wide-ranging and afford consumers certain rights with respect to PII, including a private right of action for data breaches involving certain personal information of California residents. The California voters also passed, on November 3, 2020, the California Privacy Rights Act, or CPRA, which went into effect on January 1, 2023, and expanded the rights of consumers under the CCPA and create a new enforcement agency. As new data security laws are implemented, we may not be able to timely comply with such requirements, or such requirements may not be compatible with our current processes. Changing our processes could be time consuming and expensive, and failure to implement required changes in a timely manner could subject us to liability for non-compliance. Consumers may also be afforded a private right of action for certain violations of privacy laws. This complex, dynamic legal landscape regarding privacy, data protection, and information security creates significant compliance issues for us and potentially restricts our ability to Process data and may expose us to additional expense, adverse publicity and liability. While we believe we have implemented data privacy and security measures in an effort to comply with applicable laws and regulations, and we have implemented measures to require our third-party service providers to maintain reasonable data privacy and security measures, we cannot guarantee that these efforts will be adequate, and we may be subject to cybersecurity, ransomware or other security incidents. Further, it is possible that laws, rules and regulations relating to privacy, data protection, or information security may be interpreted and applied in a manner that is inconsistent with our practices or those of our third-party service providers.</w:t>
      </w:r>
    </w:p>
    <w:p>
      <w:pPr>
        <w:spacing w:after="0" w:line="1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or these third parties are found to have violated such laws, rules or regulations, it could result in regulatory investigations, litigation awards or settlements, government 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publish statements to our patients and consumers that describe how we handle and protect IIHI/PII. If federal or state regulatory authorities or private litigants consider any portion of these statements to be untrue, we may be subject to claims of deceptive practices, which could lead to significant liabilities and consequences, including, without limitation, costs of responding to investigations, defending against litigation, settling claims, and complying with regulatory or court orders. Any of the foregoing consequences could seriously harm our business and our financial results.</w:t>
      </w:r>
    </w:p>
    <w:p>
      <w:pPr>
        <w:spacing w:after="0" w:line="1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Further, we are subject to the Payment Card Industry Data Security Standard (“PCI DSS”), a security standard applicable to companies that collect, store or transmit certain data regarding credit and debit cards, holders and transactions. We rely on vendors to handle PCI DSS matters and to ensure PCI DSS compliance. Despite our compliance efforts, we may become subject to claims that we have violated the PCI DSS based on past, present, and future business practices. Our actual or perceived failure to comply with the PCI DSS can subject us to fines, termination of banking relationships, and increased transaction fees. In addition, there is no guarantee that the PCI DSS compliance will prevent illegal or improper use of our payment systems or the theft, loss or misuse of payment card data or transaction information.</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Despite our efforts, we may not be successful in complying with the rapidly evolving privacy, data protection, and data security requirements discussed above. Any actual or perceived non-compliance with such requirements could result in litigation and proceedings against us by governmental entities, customers, or others, fines, civil or criminal penalties, limited ability or inability to operate our business, offer services, or market our platform in certain jurisdictions, negative publicity and harm to our brand and reputation, changes to our business practices, and reduced overall demand for our platform. Such occurrences could have an adverse effect on our business, financial condition or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Securities Act, and we cannot be certain if the reduced disclosure requirements applicable to emerging growth companies will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2(a)(19) of the Securities Act, as modified by the JOBS Act, and we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and exemptions from the requirements of holding a non-binding stockholder advisory vote on executive compensation and stockholder approval of any golden parachute payments not previously approved. As a result, our stockholders may not have access to certain information that they may deem important. We could be an emerging growth company for up to five years, although circumstances could cause us to lose that status earlier, including if our total annual gross revenue are $1.07 billion or more, if we issue more than $1 billion in non-convertible debt during the previous three-year period, or if the Company qualifies as a “large accelerated filer” as defined in Rule 12b-2 under the Exchange Act.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recently filed a registration statement on Form S-3 with the SEC, and the number of shares of common stock being registered for sale is significant in relation to the number of our outstanding shares of common stock.</w:t>
      </w:r>
    </w:p>
    <w:p>
      <w:pPr>
        <w:spacing w:after="0" w:line="77"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We recently filed a registration statement on Form S-3 with the SEC to register the shares offered thereunder for sale into the public market by the selling stockholders. These shares of common stock represent a large number of shares of our common stock, and if sold in the market all at once or at about the same time, could depress the market price of our common stock during the period the registration statement remains effective and could also affect our ability to raise equity capital.</w:t>
      </w:r>
    </w:p>
    <w:p>
      <w:pPr>
        <w:spacing w:after="0" w:line="1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do not expect to rely on the “controlled company” exemption, we are a “controlled company” within the meaning of the Nasdaq listing standards, and we qualify for exemptions from certain corporate governance requirements.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“controlled company,” as defined in the Nasdaq listing standards, is a company of which more than 50% of the voting power for the election of directors is held by an individual, a group or another company. Controlled companies are not required to comply with certain Nasdaq listing standards relating to corporate governance, including:</w:t>
      </w:r>
    </w:p>
    <w:p>
      <w:pPr>
        <w:spacing w:after="0" w:line="11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requirement that a majority of its board of directors consist of independent directors;</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requirement that its nominating and corporate governance committee be composed entirely of independent directors with a written charter addressing the committee’s purpose and responsibilities; and</w:t>
      </w:r>
    </w:p>
    <w:p>
      <w:pPr>
        <w:spacing w:after="0" w:line="1" w:lineRule="exact"/>
        <w:rPr>
          <w:rFonts w:ascii="Arial" w:cs="Arial" w:eastAsia="Arial" w:hAnsi="Arial"/>
          <w:sz w:val="22"/>
          <w:szCs w:val="22"/>
          <w:color w:val="auto"/>
        </w:rPr>
      </w:pPr>
    </w:p>
    <w:p>
      <w:pPr>
        <w:ind w:left="660" w:right="20" w:hanging="328"/>
        <w:spacing w:after="0" w:line="239" w:lineRule="auto"/>
        <w:tabs>
          <w:tab w:leader="none" w:pos="65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requirement that its compensation committee be composed entirely of independent directors with a written charter addressing the committee’s purpose and responsibilities.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Sponsor currently owns a majority of the voting power for the election of our directors, and thus we meet the definition of a “controlled company.” As a result, these requirements do not apply to us as long as we remain a “controlled company.”</w:t>
      </w:r>
    </w:p>
    <w:p>
      <w:pPr>
        <w:spacing w:after="0" w:line="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we qualify as a “controlled company,” we currently do not, and we do not expect to, rely on this exemption and we currently comply with, and we expect to continue to comply with, all relevant corporate governance requirements under the Nasdaq listing standards. However, if we were to utilize some or all of these exemptions, you may not have the same protections afforded to shareholders of companies that are subject to all of the Nasdaq listing standards that relate to corporate governance.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could be extremely volatile, and, as a result, you may not be able to resell your shares at or above the price you paid for them.</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stock market in general has been highly volatile. As a result, the market price of our common stock is likely to be similarly volatile, and investors in our common stock may experience a decrease, which could be substantial, in the value of their stock, including decreases unrelated to our operating performance or prospects, and could lose part or all of their investment. The price of our common stock could be subject to wide fluctuations in response to a number of factors, including those described elsewhere in this Annual Report on Form 10-K and others such as:</w:t>
      </w:r>
    </w:p>
    <w:p>
      <w:pPr>
        <w:spacing w:after="0" w:line="11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variations in our operating performance and the performance of our competitors;</w:t>
      </w:r>
    </w:p>
    <w:p>
      <w:pPr>
        <w:spacing w:after="0" w:line="13"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14"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by us, our competitors or our vendors of significant contracts, acquisitions, joint marketing relationships, joint ventures or capital commitments;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additions and departures of key personnel;</w:t>
      </w:r>
    </w:p>
    <w:p>
      <w:pPr>
        <w:spacing w:after="0" w:line="22"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the passage of legislation or other regulatory developments affecting us or our industry;</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speculation in the press or investment community;</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accounting principles;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conditions such as acts of terrorism, military or armed conflicts, such as the Russian invasion of Ukraine, or global pandemics;</w:t>
      </w:r>
    </w:p>
    <w:p>
      <w:pPr>
        <w:spacing w:after="0" w:line="7" w:lineRule="exact"/>
        <w:rPr>
          <w:rFonts w:ascii="Times New Roman" w:cs="Times New Roman" w:eastAsia="Times New Roman" w:hAnsi="Times New Roman"/>
          <w:sz w:val="18"/>
          <w:szCs w:val="18"/>
          <w:color w:val="auto"/>
        </w:rPr>
      </w:pPr>
    </w:p>
    <w:p>
      <w:pPr>
        <w:ind w:left="660" w:hanging="328"/>
        <w:spacing w:after="0" w:line="230" w:lineRule="auto"/>
        <w:tabs>
          <w:tab w:leader="none" w:pos="660"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natural disasters and other calamities; and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general market and economic conditions.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There may be sales of a substantial amount of our common stock by our current stockholders, and these sales could cause the price of our common stock to fall.</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March 10, 2023, there are 56,385,671 shares of common stock outstanding. Such shares are freely transferable, except for any shares held by our “affiliates,” as that term is defined in Rule 144 under the Securities Act of 1933, as amended (the “Securities Act”). As of March 10, 2023, approximately 78.8% of our outstanding common stock is held by investment funds affiliated with our Sponsor and members of our management and employees.</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such sales will occur, could adversely affect the market price of our common stock and make it difficult for us to raise funds through securities offerings in the future.</w:t>
      </w:r>
    </w:p>
    <w:p>
      <w:pPr>
        <w:spacing w:after="0" w:line="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Subject to certain exceptions, holders of shares of our common stock may require us to register their shares for resale under the federal securities laws and holders of additional shares of our common stock would be entitled to have their shares included in any such registration statement, all subject to reduction upon the request of the underwriter of the closing of this offering, if any. Registration of those shares would allow the holders to immediately resell their shares in the public market. Any such sales or anticipation thereof could cause the market price of our common stock to decline.</w:t>
      </w:r>
    </w:p>
    <w:p>
      <w:pPr>
        <w:spacing w:after="0" w:line="1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capital stock may dilute your percentage ownership in us, which could reduce your influence over matters on which stockholders vote.</w:t>
      </w:r>
    </w:p>
    <w:p>
      <w:pPr>
        <w:spacing w:after="0" w:line="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board of directors has the authority, without action or vote of our stockholders, to issue all or any part of our authorized but unissued shares of common stock, including shares issuable upon the exercise of options, or shares of our authorized but unissued voting preferred stock. Issuances of common stock or preferred stock would reduce your influence over matters on which our stockholders vote and, in the case of issuances of preferred stock, would likely result in your interest in us being subject to the prior rights of holders of that preferred stock.</w:t>
      </w:r>
    </w:p>
    <w:p>
      <w:pPr>
        <w:spacing w:after="0" w:line="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of our directors and executive officers hold a substantial portion of our common stock, which may lead to conflicts of interest with other stockholders over corporate transactions and other corporate matters.</w:t>
      </w:r>
    </w:p>
    <w:p>
      <w:pPr>
        <w:spacing w:after="0" w:line="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Certain of our directors and executive officers beneficially own a substantial portion of our outstanding common stock. This concentration of ownership may not be in the best interests of our other stockholders. These stockholders, acting together, would be able to influence significantly all matters requiring stockholder approval, including the election of directors and significant corporate transactions such as mergers or other business combinations. This control could delay, deter, or prevent a third party from acquiring or merging with us, which could adversely affect the market price of our common stock.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deter takeover efforts that could be beneficial to stockholder value.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and Delaware law contains, provisions that could make it harder for a third party to acquire us, even if doing so might be beneficial to our stockholders. These provisions in our charter documents include the following:</w:t>
      </w:r>
    </w:p>
    <w:p>
      <w:pPr>
        <w:spacing w:after="0" w:line="129" w:lineRule="exact"/>
        <w:rPr>
          <w:sz w:val="20"/>
          <w:szCs w:val="20"/>
          <w:color w:val="auto"/>
        </w:rPr>
      </w:pPr>
    </w:p>
    <w:p>
      <w:pPr>
        <w:ind w:left="660" w:right="20" w:hanging="328"/>
        <w:spacing w:after="0" w:line="234"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4" w:lineRule="exact"/>
        <w:rPr>
          <w:rFonts w:ascii="Arial" w:cs="Arial" w:eastAsia="Arial" w:hAnsi="Arial"/>
          <w:sz w:val="22"/>
          <w:szCs w:val="22"/>
          <w:color w:val="auto"/>
        </w:rPr>
      </w:pPr>
    </w:p>
    <w:p>
      <w:pPr>
        <w:jc w:val="both"/>
        <w:ind w:left="660" w:hanging="328"/>
        <w:spacing w:after="0" w:line="237"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2" w:lineRule="exact"/>
        <w:rPr>
          <w:rFonts w:ascii="Arial" w:cs="Arial" w:eastAsia="Arial" w:hAnsi="Arial"/>
          <w:sz w:val="22"/>
          <w:szCs w:val="22"/>
          <w:color w:val="auto"/>
        </w:rPr>
      </w:pPr>
    </w:p>
    <w:p>
      <w:pPr>
        <w:ind w:left="660" w:hanging="328"/>
        <w:spacing w:after="0" w:line="233"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required approval of at least 66</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 of the shares entitled to vote to remove a director for cause, and the prohibition on removal of directors without cause;</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4" w:lineRule="exact"/>
        <w:rPr>
          <w:rFonts w:ascii="Arial" w:cs="Arial" w:eastAsia="Arial" w:hAnsi="Arial"/>
          <w:sz w:val="22"/>
          <w:szCs w:val="22"/>
          <w:color w:val="auto"/>
        </w:rPr>
      </w:pPr>
    </w:p>
    <w:p>
      <w:pPr>
        <w:ind w:left="660" w:hanging="328"/>
        <w:spacing w:after="0" w:line="233"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required approval of at least 66</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 of the shares entitled to vote to adopt, amend or repeal our amended and restated bylaws or repeal the provisions of our amended and restated certificate of incorporation regarding the election and removal of directors;</w:t>
      </w:r>
    </w:p>
    <w:p>
      <w:pPr>
        <w:ind w:left="660" w:hanging="328"/>
        <w:spacing w:after="0" w:line="232"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9"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an exclusive forum provision providing that the Court of Chancery of the State of Delaware will be the exclusive forum for certain actions and proceedings;</w:t>
      </w:r>
    </w:p>
    <w:p>
      <w:pPr>
        <w:spacing w:after="0" w:line="1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w:t>
      </w:r>
    </w:p>
    <w:p>
      <w:pPr>
        <w:spacing w:after="0" w:line="1"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and</w:t>
      </w:r>
    </w:p>
    <w:p>
      <w:pPr>
        <w:ind w:left="660" w:hanging="328"/>
        <w:spacing w:after="0" w:line="239"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certain restrictions on mergers and other business combinations between us and any holder of 15% or more of our outstanding common stock other than affiliates of our Sponsor.</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board of directors has the right to authorize the issuance of shares of preferred stock and to determine the price and other terms of those shares, including preferences and voting rights, without stockholder approval that could be used to dilute the ownership of a potential hostile acquiror.</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 and that the federal district courts is the exclusive forum for the resolution of any complaint asserting a cause of action arising under the Securities Act, which could limit our stockholders’ ability to obtain a favorable judicial forum for disputes with us or our directors, officers or employees or the underwriters of any offering giving rise to such claim.</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(or, in the event that the Chancery Court does not have jurisdiction, the federal district court for the District of Delaware or other state courts of the State of Delaware) is the sole and exclusive forum for the following types of actions, suits or proceedings (“Proceedings”):</w:t>
      </w:r>
    </w:p>
    <w:p>
      <w:pPr>
        <w:spacing w:after="0" w:line="11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any derivative Proceeding brought on our behalf;</w:t>
      </w:r>
    </w:p>
    <w:p>
      <w:pPr>
        <w:spacing w:after="0" w:line="13"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any Proceeding asserting a claim of a breach of fiduciary duty owed by any of our current or former directors, officers, other employees or stockholders to us or our stockholders;</w:t>
      </w:r>
    </w:p>
    <w:p>
      <w:pPr>
        <w:spacing w:after="0" w:line="9" w:lineRule="exact"/>
        <w:rPr>
          <w:rFonts w:ascii="Arial" w:cs="Arial" w:eastAsia="Arial" w:hAnsi="Arial"/>
          <w:sz w:val="22"/>
          <w:szCs w:val="22"/>
          <w:color w:val="auto"/>
        </w:rPr>
      </w:pPr>
    </w:p>
    <w:p>
      <w:pPr>
        <w:jc w:val="both"/>
        <w:ind w:left="660" w:right="20" w:hanging="328"/>
        <w:spacing w:after="0" w:line="234" w:lineRule="auto"/>
        <w:tabs>
          <w:tab w:leader="none" w:pos="65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any Proceeding arising out of or pursuant to any provision of the Delaware General Corporation Law, our amended and restated certificate of incorporation or our amended and restated bylaws (in each case, as may be amended from time to time) or as to which the Delaware General Corporation Law confers jurisdiction to the Court of Chancery of the State of Delaware;</w:t>
      </w:r>
    </w:p>
    <w:p>
      <w:pPr>
        <w:spacing w:after="0" w:line="11"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any Proceeding seeking to interpret, apply, enforce or determine the validity of our amended and restated certificate of incorporation or our amended and restated bylaws; and</w:t>
      </w:r>
    </w:p>
    <w:p>
      <w:pPr>
        <w:spacing w:after="0" w:line="1"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any Proceeding asserting a claim against us or any of our current or former directors, officers, other employees or stockholders governed by the internal-affairs doctrine.</w:t>
      </w:r>
    </w:p>
    <w:p>
      <w:pPr>
        <w:spacing w:after="0" w:line="1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unless we consent in writing to the selection of an alternative forum, to the fullest extent permitted by law, the federal district courts of the United States of</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America is the exclusive forum for the resolution of any complaint asserting a cause or causes of action arising under the Securities Act, including all causes of action asserted against any defendant to such complaint. Additionally, our amended and restated certificate of incorporation provides that any person or entity holding, owning, purchasing or otherwise acquiring any interest in any of our securities is deemed to have notice of and consented to these provisions.</w:t>
      </w:r>
    </w:p>
    <w:p>
      <w:pPr>
        <w:spacing w:after="0" w:line="1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the avoidance of doubt, this provision is intended to benefit and may be enforced by us, our officers and directors, the underwriters to any offering giving rise to such Proceeding, and any other professional or entity whose profession gives authority to a statement made by that person or entity and who has prepared or certified any part of the documents underlying the offering. However, these choice of forum provisions may limit a stockholder’s ability to bring a Proceeding in a judicial forum that it finds favorable for disputes with us or our directors, officers, other employees or stockholders. Further, these choice of forum provisions may increase the costs for a stockholder to bring such a Proceeding and may discourage them from doing so.</w:t>
      </w:r>
    </w:p>
    <w:p>
      <w:pPr>
        <w:spacing w:after="0" w:line="1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 stockholder may nevertheless seek to bring a Proceeding in a venue other than those designated in the exclusive forum provisions, and there can be no assurance that such provisions will be enforced by a court in those other jurisdictions. If a court were to find either choice of forum provision contained in our amended and restated certificate of incorporation to be inapplicable or unenforceable in an action, we may incur additional costs associated with resolving such Proceeding in other jurisdictions. For example, the Court of Chancery of the State of Delaware recently determined that the exclusive forum provisions of federal district courts of the United States of America for resolving any complaint asserting a cause of action arising under the Securities Act is not enforceable. We note that investors cannot waive compliance with the federal securities laws and the rules and regulations thereunder.</w:t>
      </w:r>
    </w:p>
    <w:p>
      <w:pPr>
        <w:spacing w:after="0" w:line="11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right="2460"/>
        <w:spacing w:after="0" w:line="245" w:lineRule="auto"/>
        <w:rPr>
          <w:sz w:val="20"/>
          <w:szCs w:val="20"/>
          <w:color w:val="auto"/>
        </w:rPr>
      </w:pPr>
      <w:r>
        <w:rPr>
          <w:rFonts w:ascii="Times New Roman" w:cs="Times New Roman" w:eastAsia="Times New Roman" w:hAnsi="Times New Roman"/>
          <w:sz w:val="18"/>
          <w:szCs w:val="18"/>
          <w:color w:val="auto"/>
        </w:rPr>
        <w:t>We may retain future earnings, if any, for future operations, expansion and debt repayment and have no current plans to pay any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or our subsidiaries incur, including our senior credit facility. As a result, you may not receive any return on an investment in our common stock unless you sell our common stock for a price greater than that which you paid for it.</w:t>
      </w: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As a result of becoming a public company, we are obligated to report on the effectiveness of our internal controls over financial reporting. These internal controls may not be effective and our independent registered public accounting firm may not be able to certify as to their effectiveness, which could have a significant and adverse effect on our business and reputation.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public company, we are required to evaluate our internal controls over financial reporting. Furthermore, at such time as we cease to be an “emerging</w:t>
      </w: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growth company,” as more fully described in the risk factor “</w:t>
      </w:r>
      <w:r>
        <w:rPr>
          <w:rFonts w:ascii="Times New Roman" w:cs="Times New Roman" w:eastAsia="Times New Roman" w:hAnsi="Times New Roman"/>
          <w:sz w:val="18"/>
          <w:szCs w:val="18"/>
          <w:i w:val="1"/>
          <w:iCs w:val="1"/>
          <w:color w:val="auto"/>
        </w:rPr>
        <w:t>We are an “emerging growth company,” as defined in the Securities Act, and we cannot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if the reduced disclosure requirements applicable to emerging growth companies will make our common stock less attractive to investors,</w:t>
      </w:r>
      <w:r>
        <w:rPr>
          <w:rFonts w:ascii="Times New Roman" w:cs="Times New Roman" w:eastAsia="Times New Roman" w:hAnsi="Times New Roman"/>
          <w:sz w:val="18"/>
          <w:szCs w:val="18"/>
          <w:color w:val="auto"/>
        </w:rPr>
        <w:t>”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be required to comply with Section 404 of the Sarbanes-Oxley Act. At such time, we may identify material weaknesses that we may not be able to</w:t>
      </w:r>
    </w:p>
    <w:p>
      <w:pPr>
        <w:jc w:val="both"/>
        <w:spacing w:after="0" w:line="241" w:lineRule="auto"/>
        <w:rPr>
          <w:sz w:val="20"/>
          <w:szCs w:val="20"/>
          <w:color w:val="auto"/>
        </w:rPr>
      </w:pPr>
      <w:r>
        <w:rPr>
          <w:rFonts w:ascii="Times New Roman" w:cs="Times New Roman" w:eastAsia="Times New Roman" w:hAnsi="Times New Roman"/>
          <w:sz w:val="18"/>
          <w:szCs w:val="18"/>
          <w:color w:val="auto"/>
        </w:rPr>
        <w:t>remediate in time to meet the applicable deadline imposed upon us for compliance with the requirements of Section 404 of the Sarbanes-Oxley Act.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not be able to certify as to their effectiveness, which could have a significant and adverse effect on our business and reputation.</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distract our management, which could make it difficult to manage our business, particularly after we are no longer an “emerging growth company” under the JOBS Act.</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Nasdaq-related reporting requirements, and requirements of the Sarbanes-Oxley Act. These requirements may place a strain on our systems and resources. The Exchange Act requires that we file annual, quarterly and current reports with respect to our business and financial condition. The Sarbanes-Oxley Act requires that we maintain effective disclosure controls and procedures and internal controls over financial reporting. To maintain and improve the effectiveness of our disclosure controls and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procedures, we need to commit significant resources, hire additional staff and provide additional management oversight. We have been, and will continue to be, implementing additional procedures and processes for the purpose of addressing the standards and requirements applicable to public companies. Sustaining our growth also will require us to commit additional management, operational and financial resources to identify new professionals to join our firm and to maintain appropriate operational and financial systems to adequately support expansion. These activities may divert management’s attention from other business concerns, which could have a material adverse effect on our business, financial condition, results of operations and cash flows.</w:t>
      </w:r>
    </w:p>
    <w:p>
      <w:pPr>
        <w:spacing w:after="0" w:line="11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Operating as a public company makes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our board committees, or as executive officers.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if we are unable to satisfy our obligations as a public company, we could be subject to delisting of our common stock, fines, sanctions, and other regulatory action and potentially civil litigation, which could have a material adverse effect on our financial condition and results of operations.</w:t>
      </w:r>
    </w:p>
    <w:p>
      <w:pPr>
        <w:spacing w:after="0" w:line="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As an “emerging growth company” under the JOBS Act, we are permitted to, and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reduced disclosure obligations regarding executive compensation in our periodic reports and proxy statements. When these exemptions cease to apply, we expect to incur additional expenses and devote increased management effort toward ensuring compliance with them. We will remain an “emerging growth company” for up to five years, although we may</w:t>
      </w:r>
    </w:p>
    <w:p>
      <w:pPr>
        <w:spacing w:after="0" w:line="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cease to be an emerging growth company earlier under certain circumstances. See the risk factor “</w:t>
      </w:r>
      <w:r>
        <w:rPr>
          <w:rFonts w:ascii="Times New Roman" w:cs="Times New Roman" w:eastAsia="Times New Roman" w:hAnsi="Times New Roman"/>
          <w:sz w:val="17"/>
          <w:szCs w:val="17"/>
          <w:i w:val="1"/>
          <w:iCs w:val="1"/>
          <w:color w:val="auto"/>
        </w:rPr>
        <w:t>We are an “emerging growth company,” as defined in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Securities Act, and we cannot be certain if the reduced disclosure requirements applicable to emerging growth companies will make our common stock less attractive to investors</w:t>
      </w:r>
      <w:r>
        <w:rPr>
          <w:rFonts w:ascii="Times New Roman" w:cs="Times New Roman" w:eastAsia="Times New Roman" w:hAnsi="Times New Roman"/>
          <w:sz w:val="17"/>
          <w:szCs w:val="17"/>
          <w:color w:val="auto"/>
        </w:rPr>
        <w:t>” for additional information on when we may cease to be an emerging growth company. We cannot predict or estimate the amount of</w:t>
      </w:r>
    </w:p>
    <w:p>
      <w:pPr>
        <w:spacing w:after="0"/>
        <w:rPr>
          <w:sz w:val="20"/>
          <w:szCs w:val="20"/>
          <w:color w:val="auto"/>
        </w:rPr>
      </w:pPr>
      <w:r>
        <w:rPr>
          <w:rFonts w:ascii="Times New Roman" w:cs="Times New Roman" w:eastAsia="Times New Roman" w:hAnsi="Times New Roman"/>
          <w:sz w:val="18"/>
          <w:szCs w:val="18"/>
          <w:color w:val="auto"/>
        </w:rPr>
        <w:t>additional costs we may incur as a result of becoming a public company or the timing of such costs.</w:t>
      </w:r>
    </w:p>
    <w:p>
      <w:pPr>
        <w:spacing w:after="0" w:line="1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We do not currently have and may never obtain research coverage by securities and industry analysts. If no securities or industry analysts commence coverage of our Company, the trading price for our common stock would be negatively impacted. If we obtain securities or industry analyst coverage and if one or more of the analysts who covers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and other operating metrics may fluctuate from quarter to quarter, which makes these metrics difficult to predict.</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18"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the continued market acceptance of, and the growth of the body contouring market;</w:t>
      </w:r>
    </w:p>
    <w:p>
      <w:pPr>
        <w:spacing w:after="0" w:line="13"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maintain and attract new customers;</w:t>
      </w:r>
    </w:p>
    <w:p>
      <w:pPr>
        <w:spacing w:after="0" w:line="14" w:lineRule="exact"/>
        <w:rPr>
          <w:rFonts w:ascii="Arial" w:cs="Arial" w:eastAsia="Arial" w:hAnsi="Arial"/>
          <w:sz w:val="22"/>
          <w:szCs w:val="22"/>
          <w:color w:val="auto"/>
        </w:rPr>
      </w:pPr>
    </w:p>
    <w:p>
      <w:pPr>
        <w:ind w:left="660" w:hanging="328"/>
        <w:spacing w:after="0" w:line="233" w:lineRule="auto"/>
        <w:tabs>
          <w:tab w:leader="none" w:pos="655"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our development and improvement of the quality of the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experience, including, improving our proprietary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and innovating new procedures;</w:t>
      </w:r>
    </w:p>
    <w:p>
      <w:pPr>
        <w:ind w:left="660" w:hanging="328"/>
        <w:spacing w:after="0" w:line="217" w:lineRule="auto"/>
        <w:tabs>
          <w:tab w:leader="none" w:pos="660"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any change in the competitive landscape of our market;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pricing pressure as a result of competition or otherwise;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delays or disruptions in our supply of handpieces;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errors in our forecasting of the demand for our services, which could lead to lower revenue or increased costs, or both;</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increases in marketing, sales, and other operating expenses that we may incur to grow and expand our footprint and to remain competitive;</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to maintain and open new centers;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successful expansion into international markets;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constraints on the availability of consumer financing or increased down payment requirements to finance our procedures;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system failures or breaches of security or privacy;</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adverse litigation judgments, settlements, or other litigation-related costs;</w:t>
      </w:r>
    </w:p>
    <w:p>
      <w:pPr>
        <w:spacing w:after="0" w:line="14"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legislative or regulatory environment, including with respect to healthcare regulation, privacy, consumer product safety, and advertising, or enforcement by government regulators, including fines, orders, or consent decrees;</w:t>
      </w:r>
    </w:p>
    <w:p>
      <w:pPr>
        <w:ind w:left="660" w:hanging="328"/>
        <w:spacing w:after="0" w:line="217" w:lineRule="auto"/>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currency exchange rates and changes in the proportion of our revenue and expenses denominated in foreign currencies;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our effective tax rate;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accounting standards, policies, guidance, interpretations, or principles; and</w:t>
      </w:r>
    </w:p>
    <w:p>
      <w:pPr>
        <w:spacing w:after="0" w:line="14"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36"/>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business or macroeconomic conditions, including lower consumer confidence, recessionary conditions, increased unemployment rates, or stagnant or declining wages.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above may result in significant fluctuations in our operating results.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Miami Beach, Florida, where we occupy approximately 3,714 rentable square feet and Nashville, TN where we occupy approximately 3,332 square feet. We use these locations primarily for sales and marketing, information technology, social media content management, research and development, supply chain and logistics, finance, human resources, and editing related to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TV.</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 addition to our corporate headquarters, as of the date of this Annual Report on Form 10-K, we operate twenty-two centers* from which we offer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State/Country</w:t>
            </w:r>
          </w:p>
        </w:tc>
        <w:tc>
          <w:tcPr>
            <w:tcW w:w="3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City</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3780" w:type="dxa"/>
            <w:vAlign w:val="bottom"/>
            <w:gridSpan w:val="2"/>
            <w:vMerge w:val="continue"/>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Procedure Rooms</w:t>
            </w:r>
          </w:p>
        </w:tc>
        <w:tc>
          <w:tcPr>
            <w:tcW w:w="0" w:type="dxa"/>
            <w:vAlign w:val="bottom"/>
          </w:tcPr>
          <w:p>
            <w:pPr>
              <w:spacing w:after="0"/>
              <w:rPr>
                <w:sz w:val="1"/>
                <w:szCs w:val="1"/>
                <w:color w:val="auto"/>
              </w:rPr>
            </w:pPr>
          </w:p>
        </w:tc>
      </w:tr>
      <w:tr>
        <w:trPr>
          <w:trHeight w:val="223"/>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Scottsdale</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Beverly Hills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Sacramento</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San Diego</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Denver</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Orlando</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Miami</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Atlanta</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Chicago</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Boston</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Minneapolis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Las Vegas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New York</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Charlotte</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Philadelphia</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Nashville</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Dallas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Houston</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Salt Lake City</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Seattle</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Vienna</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Toronto</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99"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Leases have been signed with facilities in Austin, Irvine, San Jose, Raleigh and London, UK, but it is not yet known when these facilities will open for business.</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procure additional space as we hire additional employees and expand geographically. We believe that our facilities are adequate to meet our needs for the immediate future and that suitable additional space will be available to accommodate any expansion of our operations as needed.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ind w:right="1840"/>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Information</w:t>
      </w:r>
    </w:p>
    <w:p>
      <w:pPr>
        <w:spacing w:after="0" w:line="1" w:lineRule="exact"/>
        <w:rPr>
          <w:sz w:val="20"/>
          <w:szCs w:val="20"/>
          <w:color w:val="auto"/>
        </w:rPr>
      </w:pPr>
    </w:p>
    <w:p>
      <w:pPr>
        <w:ind w:right="4820"/>
        <w:spacing w:after="0" w:line="399" w:lineRule="auto"/>
        <w:rPr>
          <w:sz w:val="20"/>
          <w:szCs w:val="20"/>
          <w:color w:val="auto"/>
        </w:rPr>
      </w:pPr>
      <w:r>
        <w:rPr>
          <w:rFonts w:ascii="Times New Roman" w:cs="Times New Roman" w:eastAsia="Times New Roman" w:hAnsi="Times New Roman"/>
          <w:sz w:val="18"/>
          <w:szCs w:val="18"/>
          <w:color w:val="auto"/>
        </w:rPr>
        <w:t xml:space="preserve">Our Common Shares are traded on the Nasdaq Global Market under the symbol “AIRS.” </w:t>
      </w:r>
      <w:r>
        <w:rPr>
          <w:rFonts w:ascii="Times New Roman" w:cs="Times New Roman" w:eastAsia="Times New Roman" w:hAnsi="Times New Roman"/>
          <w:sz w:val="18"/>
          <w:szCs w:val="18"/>
          <w:b w:val="1"/>
          <w:bCs w:val="1"/>
          <w:i w:val="1"/>
          <w:iCs w:val="1"/>
          <w:color w:val="auto"/>
        </w:rPr>
        <w:t>Dividends</w:t>
      </w: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twelve months ended December 31, 2022, we paid a $23.2 million dividend on our common stock. We currently intend to retain all available funds and future earnings and do not anticipate declaring or paying any cash dividends in the foreseeable future. Any determination to pay future dividends to holders of our common stock will be at the discretion of our board of directors and will depend on many factors, including our financial condition, results of operations, projections, liquidity, earnings, legal requirements, restrictions in the agreements governing any indebtedness we may enter into and other factors that our board of directors deems relevant.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As of March 10, 2023, there were </w:t>
      </w:r>
      <w:r>
        <w:rPr>
          <w:rFonts w:ascii="Times New Roman" w:cs="Times New Roman" w:eastAsia="Times New Roman" w:hAnsi="Times New Roman"/>
          <w:sz w:val="16"/>
          <w:szCs w:val="16"/>
          <w:color w:val="auto"/>
        </w:rPr>
        <w:t>56,385,671</w:t>
      </w:r>
      <w:r>
        <w:rPr>
          <w:rFonts w:ascii="Times New Roman" w:cs="Times New Roman" w:eastAsia="Times New Roman" w:hAnsi="Times New Roman"/>
          <w:sz w:val="18"/>
          <w:szCs w:val="18"/>
          <w:color w:val="auto"/>
        </w:rPr>
        <w:t xml:space="preserve"> issued and outstanding shares of common stock held by 40 stockholders of record. The number of record holders was determined from the records of our transfer agent and does not include beneficial owners whose shares of common stock are held in the names of various security brokers, dealers, and registered clearing agencies.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Plans Information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201(d) of Regulation S-K is provided under “Item 12. Security Ownership of Certain Beneficial Owners and Management and Related Stockholder Matters—Equity Compensation Plan Information”,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has been removed and reserved pursuant to SEC order.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financial statements and related notes and other financial information appearing elsewhere in this Annual Report on Form 10-K. This discussion and analysis contains forward-looking statements that involve risk, uncertainties and assumptions. See the section entitled “Cautionary Note Regarding Forward-Looking Statements” in this Annual Report on Form 10-K. Our actual results could differ materially from those anticipated in the forward-looking statements as a result of many factors, including those discussed in “Risk Factors” and elsewhere in this Annual Report on Form 10-K.</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Annual Report on Form 10-K to the “Company,” “Elite Body Sculpture,” “we,” “us” and “our” refer to AirSculpt Technologies, Inc. and its consolidated subsidiaries and the Professional Associations.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and financial condition have been, and will continue to be, affected by a number of factors, including the following: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Attract New Patients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decision to undergo an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is driven by patient demand, which may be influenced by a number of factors, such as:</w:t>
      </w:r>
    </w:p>
    <w:p>
      <w:pPr>
        <w:spacing w:after="0" w:line="49" w:lineRule="exact"/>
        <w:rPr>
          <w:sz w:val="20"/>
          <w:szCs w:val="20"/>
          <w:color w:val="auto"/>
        </w:rPr>
      </w:pPr>
    </w:p>
    <w:p>
      <w:pPr>
        <w:ind w:left="480" w:hanging="148"/>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consumer confidence, which may be impacted by economic and political conditions;</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levels of disposable income to pay for our procedures and the continued availability of financing for our patients;</w:t>
      </w:r>
    </w:p>
    <w:p>
      <w:pPr>
        <w:spacing w:after="0" w:line="100"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safety and efficacy of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relative to other aesthetic products and alternative treatments;</w:t>
      </w:r>
    </w:p>
    <w:p>
      <w:pPr>
        <w:spacing w:after="0" w:line="4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sales and marketing programs;</w:t>
      </w:r>
    </w:p>
    <w:p>
      <w:pPr>
        <w:spacing w:after="0" w:line="11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advantages or disadvantages of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compared to other aesthetic products and treatments;</w:t>
      </w:r>
    </w:p>
    <w:p>
      <w:pPr>
        <w:spacing w:after="0" w:line="46"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 satisfies patient expectations;</w:t>
      </w:r>
    </w:p>
    <w:p>
      <w:pPr>
        <w:spacing w:after="0" w:line="49" w:lineRule="exact"/>
        <w:rPr>
          <w:rFonts w:ascii="Times New Roman" w:cs="Times New Roman" w:eastAsia="Times New Roman" w:hAnsi="Times New Roman"/>
          <w:sz w:val="18"/>
          <w:szCs w:val="18"/>
          <w:color w:val="auto"/>
        </w:rPr>
      </w:pPr>
    </w:p>
    <w:p>
      <w:pPr>
        <w:ind w:left="500" w:hanging="168"/>
        <w:spacing w:after="0" w:line="229" w:lineRule="auto"/>
        <w:tabs>
          <w:tab w:leader="none" w:pos="4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train our surgeons in performing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procedures such that our patients do not experience excessive discomfort during treatment or adverse side effects; and</w:t>
      </w:r>
    </w:p>
    <w:p>
      <w:pPr>
        <w:spacing w:after="0" w:line="7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sentiment about the benefits and risks of aesthetic procedures generally and AirSculpt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particular.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Successfully Expand our Footprint</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growth strategy depends, in large part, on growing and expanding our operations, both in existing and new geographic regions, particularly in densely populated and affluent metropolitan and suburban regions, and operating our new centers successfully.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successfully open and operate new centers depends on many factors, including, among others, our ability to:</w:t>
      </w:r>
    </w:p>
    <w:p>
      <w:pPr>
        <w:spacing w:after="0" w:line="104" w:lineRule="exact"/>
        <w:rPr>
          <w:sz w:val="20"/>
          <w:szCs w:val="20"/>
          <w:color w:val="auto"/>
        </w:rPr>
      </w:pPr>
    </w:p>
    <w:p>
      <w:pPr>
        <w:ind w:left="480" w:hanging="148"/>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qualified surgeons for our new centers;</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regulatory, competitive, marketing, and other challenges encountered in connection with expansion into new markets;</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surgeons and other personnel;</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adequate information system and other operational system capabilities;</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new centers into our existing management structure and operations, including information system integration;</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acceptable lease terms at suitable locations;</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sufficient levels of medical supplies at acceptable costs;</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permits and licenses;</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 and open our centers on a timely basis;</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levels of cash or obtain financing on acceptable terms to support our expansion;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80" w:hanging="148"/>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brand awareness in new and existing markets; and</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satisfy the needs and preferences of our patients.</w:t>
      </w:r>
    </w:p>
    <w:p>
      <w:pPr>
        <w:spacing w:after="0" w:line="14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failure to effectively address challenges such as these could adversely affect our ability to successfully open and operate new centers in a timely and cost-effective manner.</w:t>
      </w:r>
    </w:p>
    <w:p>
      <w:pPr>
        <w:spacing w:after="0" w:line="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there can be no assurance that newly-opened centers will achieve net sales or profitability levels comparable to those of our existing centers in the time periods estimated by us, or at all.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Twelve months ended December 31, 2022, 2021 and 2020</w:t>
      </w:r>
    </w:p>
    <w:p>
      <w:pPr>
        <w:spacing w:after="0" w:line="121" w:lineRule="exact"/>
        <w:rPr>
          <w:sz w:val="20"/>
          <w:szCs w:val="20"/>
          <w:color w:val="auto"/>
        </w:rPr>
      </w:pPr>
    </w:p>
    <w:p>
      <w:pPr>
        <w:ind w:left="480" w:hanging="148"/>
        <w:spacing w:after="0"/>
        <w:tabs>
          <w:tab w:leader="none" w:pos="4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Cases performed were 13,063, 11,050 and 5,885 in 2022, 2021 and 2020, respectively;</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case was $12,922, $12,065 and $10,665 in 2022, 2021 and 2020, respectively;</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Same-center information;</w:t>
      </w:r>
    </w:p>
    <w:p>
      <w:pPr>
        <w:spacing w:after="0" w:line="103"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Same-center revenue per case increased 7.4% and 12.1% in 2022 and 2021, respectively;</w:t>
      </w:r>
    </w:p>
    <w:p>
      <w:pPr>
        <w:spacing w:after="0" w:line="103" w:lineRule="exact"/>
        <w:rPr>
          <w:rFonts w:ascii="Times New Roman" w:cs="Times New Roman" w:eastAsia="Times New Roman" w:hAnsi="Times New Roman"/>
          <w:sz w:val="18"/>
          <w:szCs w:val="18"/>
          <w:color w:val="auto"/>
        </w:rPr>
      </w:pPr>
    </w:p>
    <w:p>
      <w:pPr>
        <w:ind w:left="1140" w:hanging="160"/>
        <w:spacing w:after="0"/>
        <w:tabs>
          <w:tab w:leader="none" w:pos="114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Same-center volume increased 0.7% and 55.5% in 2022 and 2021, respectively;</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was $(14.7) million, $10.6 million and $7.6 million in 2022, 2021 and 2020, respectively;</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$43.2 million, $46.1 million and $17.5 million in 2022, 2021 and 2020, respectively;</w:t>
      </w:r>
    </w:p>
    <w:p>
      <w:pPr>
        <w:spacing w:after="0" w:line="10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was 25.6%, 34.6% and 27.9% in 2022, 2021 and 2020, respectively;</w:t>
      </w:r>
    </w:p>
    <w:p>
      <w:pPr>
        <w:spacing w:after="0" w:line="11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$(0.26) and $(0.01) for 2022 and 2021, respectively; and</w:t>
      </w:r>
    </w:p>
    <w:p>
      <w:pPr>
        <w:spacing w:after="0" w:line="4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share (diluted)* was $0.37 and $0.08 in 2022 and 2021, respectively.</w:t>
      </w:r>
    </w:p>
    <w:p>
      <w:pPr>
        <w:spacing w:after="0" w:line="90" w:lineRule="exact"/>
        <w:rPr>
          <w:rFonts w:ascii="Times New Roman" w:cs="Times New Roman" w:eastAsia="Times New Roman" w:hAnsi="Times New Roman"/>
          <w:sz w:val="18"/>
          <w:szCs w:val="18"/>
          <w:color w:val="auto"/>
        </w:rPr>
      </w:pPr>
    </w:p>
    <w:p>
      <w:pPr>
        <w:jc w:val="both"/>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 a reconciliation of Adjusted EBITDA, Adjusted EBITDA margin, Adjusted Net Income and Adjusted Net Income per share, which are all non-GAAP measures, to the most directly comparable GAAP financial measures, information about why we consider them useful and a discussion of the material risks and limitations of these measures, please see “—Non-GAAP Financial Measures—Adjusted EBITDA, Adjusted EBITDA Margin, Adjusted Net Income and Adjusted Net Income per Share.”</w:t>
      </w:r>
    </w:p>
    <w:p>
      <w:pPr>
        <w:spacing w:after="0" w:line="73" w:lineRule="exact"/>
        <w:rPr>
          <w:sz w:val="20"/>
          <w:szCs w:val="20"/>
          <w:color w:val="auto"/>
        </w:rPr>
      </w:pPr>
    </w:p>
    <w:p>
      <w:pPr>
        <w:jc w:val="both"/>
        <w:ind w:firstLine="8"/>
        <w:spacing w:after="0" w:line="228" w:lineRule="auto"/>
        <w:tabs>
          <w:tab w:leader="none" w:pos="19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Prior to the IPO, the EBS Intermediate Parent, LLC structure included only LLC common units issued and outstanding to pre-IPO LLC members. The Company analyzed the calculation of earnings per unit for periods prior to the IPO and determined that it resulted in values that would not be meaningful to the users of these consolidated financial statements. Therefore, earnings per share information has not been presented for periods prior to the IPO on October 28, 2021. Thus, the basic and diluted earnings (loss) per share represent only the period from October 28, 2021 to December 31, 2021.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Cases Performed and Revenue per Case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case volumes in the table below, which are used for calculating revenue per case, represent one patient visit; notwithstanding that, a patient may have multiple areas treated during one visit. We believe this provides the best approach for assessing our revenue performance and trends. Our cases per procedure room is lower in the current period due to the recent addition of four de novo centers and expansions of existing centers which increased our procedure rooms by 15 over the prior year. We believe this decline to be temporary as the new procedure rooms ramp up. The expansion of procedure rooms will provide an ample platform for the Company's continued future growth.</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Case and Revenue Metrics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420" w:type="dxa"/>
            <w:vAlign w:val="bottom"/>
            <w:tcBorders>
              <w:bottom w:val="single" w:sz="8" w:color="D2EDFE"/>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D2EDFE"/>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4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Cases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33"/>
              <w:spacing w:after="0"/>
              <w:rPr>
                <w:sz w:val="20"/>
                <w:szCs w:val="20"/>
                <w:color w:val="auto"/>
              </w:rPr>
            </w:pPr>
            <w:r>
              <w:rPr>
                <w:rFonts w:ascii="Times New Roman" w:cs="Times New Roman" w:eastAsia="Times New Roman" w:hAnsi="Times New Roman"/>
                <w:sz w:val="18"/>
                <w:szCs w:val="18"/>
                <w:color w:val="auto"/>
              </w:rPr>
              <w:t>13,063</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33"/>
              <w:spacing w:after="0"/>
              <w:rPr>
                <w:sz w:val="20"/>
                <w:szCs w:val="20"/>
                <w:color w:val="auto"/>
              </w:rPr>
            </w:pPr>
            <w:r>
              <w:rPr>
                <w:rFonts w:ascii="Times New Roman" w:cs="Times New Roman" w:eastAsia="Times New Roman" w:hAnsi="Times New Roman"/>
                <w:sz w:val="18"/>
                <w:szCs w:val="18"/>
                <w:color w:val="auto"/>
              </w:rPr>
              <w:t>11,050</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5,885</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64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 per case</w:t>
            </w: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D2EDFE"/>
          </w:tcPr>
          <w:p>
            <w:pPr>
              <w:jc w:val="right"/>
              <w:ind w:right="133"/>
              <w:spacing w:after="0"/>
              <w:rPr>
                <w:sz w:val="20"/>
                <w:szCs w:val="20"/>
                <w:color w:val="auto"/>
              </w:rPr>
            </w:pPr>
            <w:r>
              <w:rPr>
                <w:rFonts w:ascii="Times New Roman" w:cs="Times New Roman" w:eastAsia="Times New Roman" w:hAnsi="Times New Roman"/>
                <w:sz w:val="18"/>
                <w:szCs w:val="18"/>
                <w:color w:val="auto"/>
              </w:rPr>
              <w:t>12,922</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2EDFE"/>
          </w:tcPr>
          <w:p>
            <w:pPr>
              <w:jc w:val="right"/>
              <w:ind w:right="133"/>
              <w:spacing w:after="0"/>
              <w:rPr>
                <w:sz w:val="20"/>
                <w:szCs w:val="20"/>
                <w:color w:val="auto"/>
              </w:rPr>
            </w:pPr>
            <w:r>
              <w:rPr>
                <w:rFonts w:ascii="Times New Roman" w:cs="Times New Roman" w:eastAsia="Times New Roman" w:hAnsi="Times New Roman"/>
                <w:sz w:val="18"/>
                <w:szCs w:val="18"/>
                <w:color w:val="auto"/>
              </w:rPr>
              <w:t>12,065</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10,665</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642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Number of facilities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Same-Center Case and Revenue Metrics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Same-Center Information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twelve months ended December 31, 2022 and 2021, we define same-center case and revenue growth as the growth in each of our cases and revenue at facilities that have been owned and operated since January 1, 2021. We define same-center facilities and procedure rooms as facilities and procedure rooms that have been owned or operated since January 1,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900" w:type="dxa"/>
            <w:vAlign w:val="bottom"/>
          </w:tcPr>
          <w:p>
            <w:pPr>
              <w:spacing w:after="0"/>
              <w:rPr>
                <w:sz w:val="13"/>
                <w:szCs w:val="13"/>
                <w:color w:val="auto"/>
              </w:rPr>
            </w:pPr>
          </w:p>
        </w:tc>
      </w:tr>
      <w:tr>
        <w:trPr>
          <w:trHeight w:val="195"/>
        </w:trPr>
        <w:tc>
          <w:tcPr>
            <w:tcW w:w="80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195"/>
        </w:trPr>
        <w:tc>
          <w:tcPr>
            <w:tcW w:w="8060" w:type="dxa"/>
            <w:vAlign w:val="bottom"/>
            <w:tcBorders>
              <w:bottom w:val="single" w:sz="8" w:color="D2EDFE"/>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D2EDFE"/>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9"/>
        </w:trPr>
        <w:tc>
          <w:tcPr>
            <w:tcW w:w="8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Cases</w:t>
            </w:r>
          </w:p>
        </w:tc>
        <w:tc>
          <w:tcPr>
            <w:tcW w:w="380" w:type="dxa"/>
            <w:vAlign w:val="bottom"/>
            <w:shd w:val="clear" w:color="auto" w:fill="D2EDFE"/>
          </w:tcPr>
          <w:p>
            <w:pPr>
              <w:spacing w:after="0"/>
              <w:rPr>
                <w:sz w:val="19"/>
                <w:szCs w:val="19"/>
                <w:color w:val="auto"/>
              </w:rPr>
            </w:pPr>
          </w:p>
        </w:tc>
        <w:tc>
          <w:tcPr>
            <w:tcW w:w="124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10,497</w:t>
            </w:r>
          </w:p>
        </w:tc>
        <w:tc>
          <w:tcPr>
            <w:tcW w:w="8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10,421</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 growth</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8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 per case</w:t>
            </w: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D2EDFE"/>
          </w:tcPr>
          <w:p>
            <w:pPr>
              <w:jc w:val="right"/>
              <w:ind w:right="136"/>
              <w:spacing w:after="0"/>
              <w:rPr>
                <w:sz w:val="20"/>
                <w:szCs w:val="20"/>
                <w:color w:val="auto"/>
              </w:rPr>
            </w:pPr>
            <w:r>
              <w:rPr>
                <w:rFonts w:ascii="Times New Roman" w:cs="Times New Roman" w:eastAsia="Times New Roman" w:hAnsi="Times New Roman"/>
                <w:sz w:val="18"/>
                <w:szCs w:val="18"/>
                <w:color w:val="auto"/>
              </w:rPr>
              <w:t>12,895</w:t>
            </w:r>
          </w:p>
        </w:tc>
        <w:tc>
          <w:tcPr>
            <w:tcW w:w="80" w:type="dxa"/>
            <w:vAlign w:val="bottom"/>
            <w:shd w:val="clear" w:color="auto" w:fill="D2EDFE"/>
          </w:tcPr>
          <w:p>
            <w:pPr>
              <w:spacing w:after="0"/>
              <w:rPr>
                <w:sz w:val="19"/>
                <w:szCs w:val="19"/>
                <w:color w:val="auto"/>
              </w:rPr>
            </w:pPr>
          </w:p>
        </w:tc>
        <w:tc>
          <w:tcPr>
            <w:tcW w:w="580" w:type="dxa"/>
            <w:vAlign w:val="bottom"/>
            <w:shd w:val="clear" w:color="auto" w:fill="D2EDFE"/>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12,008</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case growth</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80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Number of facilities</w:t>
            </w:r>
          </w:p>
        </w:tc>
        <w:tc>
          <w:tcPr>
            <w:tcW w:w="380" w:type="dxa"/>
            <w:vAlign w:val="bottom"/>
            <w:shd w:val="clear" w:color="auto" w:fill="D2EDFE"/>
          </w:tcPr>
          <w:p>
            <w:pPr>
              <w:spacing w:after="0"/>
              <w:rPr>
                <w:sz w:val="19"/>
                <w:szCs w:val="19"/>
                <w:color w:val="auto"/>
              </w:rPr>
            </w:pPr>
          </w:p>
        </w:tc>
        <w:tc>
          <w:tcPr>
            <w:tcW w:w="12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2021 and 2020, we define same-center case and revenue growth as the growth in each of our cases and revenue at facilities that have been owned and operated since January 1, 2020. We define same-center facilities and procedure rooms as facilities and procedure rooms that have been owned or operated since January 1, 2020.</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tcPr>
          <w:p>
            <w:pPr>
              <w:spacing w:after="0"/>
              <w:rPr>
                <w:sz w:val="14"/>
                <w:szCs w:val="14"/>
                <w:color w:val="auto"/>
              </w:rPr>
            </w:pPr>
          </w:p>
        </w:tc>
        <w:tc>
          <w:tcPr>
            <w:tcW w:w="2280" w:type="dxa"/>
            <w:vAlign w:val="bottom"/>
            <w:gridSpan w:val="3"/>
          </w:tcPr>
          <w:p>
            <w:pPr>
              <w:jc w:val="center"/>
              <w:ind w:left="816"/>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900" w:type="dxa"/>
            <w:vAlign w:val="bottom"/>
          </w:tcPr>
          <w:p>
            <w:pPr>
              <w:spacing w:after="0"/>
              <w:rPr>
                <w:sz w:val="14"/>
                <w:szCs w:val="14"/>
                <w:color w:val="auto"/>
              </w:rPr>
            </w:pPr>
          </w:p>
        </w:tc>
      </w:tr>
      <w:tr>
        <w:trPr>
          <w:trHeight w:val="190"/>
        </w:trPr>
        <w:tc>
          <w:tcPr>
            <w:tcW w:w="8060" w:type="dxa"/>
            <w:vAlign w:val="bottom"/>
          </w:tcPr>
          <w:p>
            <w:pPr>
              <w:spacing w:after="0"/>
              <w:rPr>
                <w:sz w:val="16"/>
                <w:szCs w:val="16"/>
                <w:color w:val="auto"/>
              </w:rPr>
            </w:pPr>
          </w:p>
        </w:tc>
        <w:tc>
          <w:tcPr>
            <w:tcW w:w="2280" w:type="dxa"/>
            <w:vAlign w:val="bottom"/>
            <w:gridSpan w:val="3"/>
          </w:tcPr>
          <w:p>
            <w:pPr>
              <w:jc w:val="center"/>
              <w:ind w:left="7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r>
      <w:tr>
        <w:trPr>
          <w:trHeight w:val="23"/>
        </w:trPr>
        <w:tc>
          <w:tcPr>
            <w:tcW w:w="8060" w:type="dxa"/>
            <w:vAlign w:val="bottom"/>
          </w:tcPr>
          <w:p>
            <w:pPr>
              <w:spacing w:after="0"/>
              <w:rPr>
                <w:sz w:val="2"/>
                <w:szCs w:val="2"/>
                <w:color w:val="auto"/>
              </w:rPr>
            </w:pPr>
          </w:p>
        </w:tc>
        <w:tc>
          <w:tcPr>
            <w:tcW w:w="1620" w:type="dxa"/>
            <w:vAlign w:val="bottom"/>
            <w:tcBorders>
              <w:bottom w:val="single" w:sz="8" w:color="3D5588"/>
            </w:tcBorders>
          </w:tcPr>
          <w:p>
            <w:pPr>
              <w:spacing w:after="0"/>
              <w:rPr>
                <w:sz w:val="2"/>
                <w:szCs w:val="2"/>
                <w:color w:val="auto"/>
              </w:rPr>
            </w:pPr>
          </w:p>
        </w:tc>
        <w:tc>
          <w:tcPr>
            <w:tcW w:w="80" w:type="dxa"/>
            <w:vAlign w:val="bottom"/>
            <w:tcBorders>
              <w:bottom w:val="single" w:sz="8" w:color="3D5588"/>
            </w:tcBorders>
          </w:tcPr>
          <w:p>
            <w:pPr>
              <w:spacing w:after="0"/>
              <w:rPr>
                <w:sz w:val="2"/>
                <w:szCs w:val="2"/>
                <w:color w:val="auto"/>
              </w:rPr>
            </w:pPr>
          </w:p>
        </w:tc>
        <w:tc>
          <w:tcPr>
            <w:tcW w:w="580" w:type="dxa"/>
            <w:vAlign w:val="bottom"/>
            <w:tcBorders>
              <w:bottom w:val="single" w:sz="8" w:color="3D5588"/>
            </w:tcBorders>
          </w:tcPr>
          <w:p>
            <w:pPr>
              <w:spacing w:after="0"/>
              <w:rPr>
                <w:sz w:val="2"/>
                <w:szCs w:val="2"/>
                <w:color w:val="auto"/>
              </w:rPr>
            </w:pPr>
          </w:p>
        </w:tc>
        <w:tc>
          <w:tcPr>
            <w:tcW w:w="900" w:type="dxa"/>
            <w:vAlign w:val="bottom"/>
            <w:tcBorders>
              <w:bottom w:val="single" w:sz="8" w:color="3D5588"/>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1620" w:type="dxa"/>
            <w:vAlign w:val="bottom"/>
            <w:tcBorders>
              <w:bottom w:val="single" w:sz="8" w:color="3D5588"/>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3D5588"/>
            </w:tcBorders>
          </w:tcPr>
          <w:p>
            <w:pPr>
              <w:spacing w:after="0"/>
              <w:rPr>
                <w:sz w:val="16"/>
                <w:szCs w:val="16"/>
                <w:color w:val="auto"/>
              </w:rPr>
            </w:pPr>
          </w:p>
        </w:tc>
        <w:tc>
          <w:tcPr>
            <w:tcW w:w="900" w:type="dxa"/>
            <w:vAlign w:val="bottom"/>
            <w:tcBorders>
              <w:bottom w:val="single" w:sz="8" w:color="3D5588"/>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Cases</w:t>
            </w:r>
          </w:p>
        </w:tc>
        <w:tc>
          <w:tcPr>
            <w:tcW w:w="16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8,851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 growth</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per case</w:t>
            </w:r>
          </w:p>
        </w:tc>
        <w:tc>
          <w:tcPr>
            <w:tcW w:w="16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$11,917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$10,630</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case growth</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total facilities</w:t>
            </w:r>
          </w:p>
        </w:tc>
        <w:tc>
          <w:tcPr>
            <w:tcW w:w="16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total procedure rooms</w:t>
            </w:r>
          </w:p>
        </w:tc>
        <w:tc>
          <w:tcPr>
            <w:tcW w:w="16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Measures—Adjusted EBITDA, Adjusted EBITDA Margin, Adjusted Net Income, and Adjusted Net Income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our financial results in accordance with accounting principles generally accepted in the United States of America ("GAAP"), however, management believes the evaluation of our ongoing operating results may be enhanced by a presentation of Adjusted EBITDA and Adjusted EBITDA Margin, which are non-GAAP financial measures.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income/(loss) excluding depreciation and amortization, net interest expense, income tax expense/(benefit), loss on debt modification, sponsor management fee, pre-opening de novo and relocation costs, restructuring and related severance costs, IPO related costs, (gain)/loss on disposal of long-lived assets, and equity-based compensation.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define Adjusted Net Income as net income/(loss) excluding loss on debt modification, pre-opening de novo and relocation costs, restructuring and related severance costs, IPO related costs, (gain)/loss on disposal of long-lived assets, and equity-based compensation. These items are tax effected when reconciling back to the closest GAAP measure of net income/(loss).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include Adjusted EBITDA and Adjusted Net Income because they are important measures on which our management assesses and believes investors should assess our operating performance. We consider Adjusted EBITDA and Adjusted Net Income each to be an important measure because they help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 interest expense on our debt or the cash requirements necessary to service interest or principal payments. Adjusted Net Income has limitations as an analytical tool including that Adjusted Net Income does not include results from equity-based compensation.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Margin as Adjusted EBITDA as a percentage of revenue. We define Adjusted Net Income per Share as Adjusted Net Income divided by weighted average basic and diluted shares. We included Adjusted EBITDA Margin and Adjusted Net Income per Share because they are important measures on which our management assesses and believes investors should assess our operating performance. We consider Adjusted EBITDA Margin and Adjusted Net Income per Share to be important measures because they help illustrate underlying trends in our business and our historical operating performance on a more consistent basis.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EBITDA and Adjusted EBITDA Margin to net (loss)/income, the most directly comparable GAAP financial measure: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96"/>
        </w:trPr>
        <w:tc>
          <w:tcPr>
            <w:tcW w:w="6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6"/>
        </w:trPr>
        <w:tc>
          <w:tcPr>
            <w:tcW w:w="624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D2EDFE"/>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24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D2EDFE"/>
          </w:tcPr>
          <w:p>
            <w:pPr>
              <w:jc w:val="right"/>
              <w:ind w:right="111"/>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shd w:val="clear" w:color="auto" w:fill="D2EDFE"/>
          </w:tcPr>
          <w:p>
            <w:pPr>
              <w:spacing w:after="0"/>
              <w:rPr>
                <w:sz w:val="19"/>
                <w:szCs w:val="19"/>
                <w:color w:val="auto"/>
              </w:rPr>
            </w:pPr>
          </w:p>
        </w:tc>
        <w:tc>
          <w:tcPr>
            <w:tcW w:w="1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D2EDFE"/>
          </w:tcPr>
          <w:p>
            <w:pPr>
              <w:jc w:val="right"/>
              <w:ind w:right="153"/>
              <w:spacing w:after="0"/>
              <w:rPr>
                <w:sz w:val="20"/>
                <w:szCs w:val="20"/>
                <w:color w:val="auto"/>
              </w:rPr>
            </w:pPr>
            <w:r>
              <w:rPr>
                <w:rFonts w:ascii="Times New Roman" w:cs="Times New Roman" w:eastAsia="Times New Roman" w:hAnsi="Times New Roman"/>
                <w:sz w:val="18"/>
                <w:szCs w:val="18"/>
                <w:color w:val="auto"/>
              </w:rPr>
              <w:t>10,551</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7,577</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24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Sponsor management fee</w:t>
            </w:r>
          </w:p>
        </w:tc>
        <w:tc>
          <w:tcPr>
            <w:tcW w:w="380" w:type="dxa"/>
            <w:vAlign w:val="bottom"/>
            <w:shd w:val="clear" w:color="auto" w:fill="D2EDFE"/>
          </w:tcPr>
          <w:p>
            <w:pPr>
              <w:spacing w:after="0"/>
              <w:rPr>
                <w:sz w:val="19"/>
                <w:szCs w:val="19"/>
                <w:color w:val="auto"/>
              </w:rPr>
            </w:pPr>
          </w:p>
        </w:tc>
        <w:tc>
          <w:tcPr>
            <w:tcW w:w="1320" w:type="dxa"/>
            <w:vAlign w:val="bottom"/>
            <w:gridSpan w:val="2"/>
            <w:shd w:val="clear" w:color="auto" w:fill="D2EDF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2EDFE"/>
          </w:tcPr>
          <w:p>
            <w:pPr>
              <w:spacing w:after="0"/>
              <w:rPr>
                <w:sz w:val="19"/>
                <w:szCs w:val="19"/>
                <w:color w:val="auto"/>
              </w:rPr>
            </w:pPr>
          </w:p>
        </w:tc>
        <w:tc>
          <w:tcPr>
            <w:tcW w:w="1500" w:type="dxa"/>
            <w:vAlign w:val="bottom"/>
            <w:shd w:val="clear" w:color="auto" w:fill="D2EDFE"/>
          </w:tcPr>
          <w:p>
            <w:pPr>
              <w:jc w:val="right"/>
              <w:ind w:right="153"/>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29,457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7,185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624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500" w:type="dxa"/>
            <w:vAlign w:val="bottom"/>
            <w:shd w:val="clear" w:color="auto" w:fill="D2EDFE"/>
          </w:tcPr>
          <w:p>
            <w:pPr>
              <w:jc w:val="right"/>
              <w:ind w:right="153"/>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IPO related costs</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11,837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Pre-opening de novo and relocation costs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500" w:type="dxa"/>
            <w:vAlign w:val="bottom"/>
            <w:shd w:val="clear" w:color="auto" w:fill="D2EDFE"/>
          </w:tcPr>
          <w:p>
            <w:pPr>
              <w:jc w:val="right"/>
              <w:ind w:right="153"/>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879</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related severance costs</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624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8,061</w:t>
            </w:r>
          </w:p>
        </w:tc>
        <w:tc>
          <w:tcPr>
            <w:tcW w:w="1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500" w:type="dxa"/>
            <w:vAlign w:val="bottom"/>
            <w:shd w:val="clear" w:color="auto" w:fill="D2EDFE"/>
          </w:tcPr>
          <w:p>
            <w:pPr>
              <w:jc w:val="right"/>
              <w:ind w:right="153"/>
              <w:spacing w:after="0"/>
              <w:rPr>
                <w:sz w:val="20"/>
                <w:szCs w:val="20"/>
                <w:color w:val="auto"/>
              </w:rPr>
            </w:pPr>
            <w:r>
              <w:rPr>
                <w:rFonts w:ascii="Times New Roman" w:cs="Times New Roman" w:eastAsia="Times New Roman" w:hAnsi="Times New Roman"/>
                <w:sz w:val="18"/>
                <w:szCs w:val="18"/>
                <w:color w:val="auto"/>
              </w:rPr>
              <w:t>6,597</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5,641</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(Gain)/loss on disposal of long-lived assets</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shd w:val="clear" w:color="auto" w:fill="D2EDFE"/>
          </w:tcPr>
          <w:p>
            <w:pPr>
              <w:spacing w:after="0"/>
              <w:rPr>
                <w:sz w:val="19"/>
                <w:szCs w:val="19"/>
                <w:color w:val="auto"/>
              </w:rPr>
            </w:pPr>
          </w:p>
        </w:tc>
        <w:tc>
          <w:tcPr>
            <w:tcW w:w="100" w:type="dxa"/>
            <w:vAlign w:val="bottom"/>
            <w:shd w:val="clear" w:color="auto" w:fill="D2EDFE"/>
          </w:tcPr>
          <w:p>
            <w:pPr>
              <w:spacing w:after="0"/>
              <w:rPr>
                <w:sz w:val="19"/>
                <w:szCs w:val="19"/>
                <w:color w:val="auto"/>
              </w:rPr>
            </w:pPr>
          </w:p>
        </w:tc>
        <w:tc>
          <w:tcPr>
            <w:tcW w:w="1500" w:type="dxa"/>
            <w:vAlign w:val="bottom"/>
            <w:shd w:val="clear" w:color="auto" w:fill="D2EDFE"/>
          </w:tcPr>
          <w:p>
            <w:pPr>
              <w:jc w:val="right"/>
              <w:ind w:right="153"/>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color w:val="auto"/>
              </w:rPr>
              <w:t>2,456</w:t>
            </w:r>
          </w:p>
        </w:tc>
      </w:tr>
      <w:tr>
        <w:trPr>
          <w:trHeight w:val="230"/>
        </w:trPr>
        <w:tc>
          <w:tcPr>
            <w:tcW w:w="6240" w:type="dxa"/>
            <w:vAlign w:val="bottom"/>
            <w:tcBorders>
              <w:bottom w:val="single" w:sz="8" w:color="D2EDFE"/>
            </w:tcBorders>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Borders>
              <w:bottom w:val="single" w:sz="8" w:color="D2EDF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D2EDF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4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80" w:type="dxa"/>
            <w:vAlign w:val="bottom"/>
            <w:tcBorders>
              <w:bottom w:val="single" w:sz="8" w:color="auto"/>
            </w:tcBorders>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43,187</w:t>
            </w:r>
          </w:p>
        </w:tc>
        <w:tc>
          <w:tcPr>
            <w:tcW w:w="100" w:type="dxa"/>
            <w:vAlign w:val="bottom"/>
            <w:shd w:val="clear" w:color="auto" w:fill="D2EDFE"/>
          </w:tcPr>
          <w:p>
            <w:pPr>
              <w:spacing w:after="0"/>
              <w:rPr>
                <w:sz w:val="19"/>
                <w:szCs w:val="19"/>
                <w:color w:val="auto"/>
              </w:rPr>
            </w:pPr>
          </w:p>
        </w:tc>
        <w:tc>
          <w:tcPr>
            <w:tcW w:w="10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D2EDFE"/>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46,111</w:t>
            </w:r>
          </w:p>
        </w:tc>
        <w:tc>
          <w:tcPr>
            <w:tcW w:w="100" w:type="dxa"/>
            <w:vAlign w:val="bottom"/>
            <w:shd w:val="clear" w:color="auto" w:fill="D2EDFE"/>
          </w:tcPr>
          <w:p>
            <w:pPr>
              <w:spacing w:after="0"/>
              <w:rPr>
                <w:sz w:val="19"/>
                <w:szCs w:val="19"/>
                <w:color w:val="auto"/>
              </w:rPr>
            </w:pPr>
          </w:p>
        </w:tc>
        <w:tc>
          <w:tcPr>
            <w:tcW w:w="380" w:type="dxa"/>
            <w:vAlign w:val="bottom"/>
            <w:tcBorders>
              <w:bottom w:val="single" w:sz="8" w:color="auto"/>
            </w:tcBorders>
            <w:shd w:val="clear" w:color="auto" w:fill="D2EDFE"/>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D2EDFE"/>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17,493</w:t>
            </w:r>
          </w:p>
        </w:tc>
      </w:tr>
      <w:tr>
        <w:trPr>
          <w:trHeight w:val="232"/>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27.9 %</w:t>
            </w:r>
          </w:p>
        </w:tc>
      </w:tr>
    </w:tbl>
    <w:p>
      <w:pPr>
        <w:spacing w:after="0" w:line="2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adjusted EBITDA was impacted by a full year's worth of public company costs during 2022. This added an additional $6.7 million of incremental public company costs in 2022. Normalizing 2021 for these costs, our adjusted EBITDA grew by $3.7 million or 9.4%.</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uses tax-adjusted amounts to reconciles Adjusted Net Income and Adjusted Net Income per Share to net loss, the most directly comparable GAAP financial measure:</w:t>
      </w:r>
    </w:p>
    <w:p>
      <w:pPr>
        <w:spacing w:after="0" w:line="18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Borders>
              <w:bottom w:val="single" w:sz="8" w:color="D2EDF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D2EDF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1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Plus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28,801</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4,615</w:t>
            </w: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IPO related costs</w:t>
            </w: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Pre-opening de novo and relocation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Restructuring and related severance costs</w:t>
            </w: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Borders>
              <w:bottom w:val="single" w:sz="8" w:color="D2EDFE"/>
            </w:tcBorders>
          </w:tcPr>
          <w:p>
            <w:pPr>
              <w:ind w:left="140"/>
              <w:spacing w:after="0"/>
              <w:rPr>
                <w:sz w:val="20"/>
                <w:szCs w:val="20"/>
                <w:color w:val="auto"/>
              </w:rPr>
            </w:pPr>
            <w:r>
              <w:rPr>
                <w:rFonts w:ascii="Times New Roman" w:cs="Times New Roman" w:eastAsia="Times New Roman" w:hAnsi="Times New Roman"/>
                <w:sz w:val="18"/>
                <w:szCs w:val="18"/>
                <w:color w:val="auto"/>
              </w:rPr>
              <w:t>(Gain)/loss on disposal of long-lived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D2EDF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21,681</w:t>
            </w:r>
          </w:p>
        </w:tc>
        <w:tc>
          <w:tcPr>
            <w:tcW w:w="100" w:type="dxa"/>
            <w:vAlign w:val="bottom"/>
            <w:shd w:val="clear" w:color="auto" w:fill="D2EDFE"/>
          </w:tcPr>
          <w:p>
            <w:pPr>
              <w:spacing w:after="0"/>
              <w:rPr>
                <w:sz w:val="19"/>
                <w:szCs w:val="19"/>
                <w:color w:val="auto"/>
              </w:rPr>
            </w:pPr>
          </w:p>
        </w:tc>
        <w:tc>
          <w:tcPr>
            <w:tcW w:w="340" w:type="dxa"/>
            <w:vAlign w:val="bottom"/>
            <w:tcBorders>
              <w:bottom w:val="single" w:sz="8" w:color="auto"/>
            </w:tcBorders>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b w:val="1"/>
                <w:bCs w:val="1"/>
                <w:color w:val="auto"/>
              </w:rPr>
              <w:t>4,457</w:t>
            </w: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81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 xml:space="preserve">Adjusted net income per share of common stock </w:t>
            </w:r>
            <w:r>
              <w:rPr>
                <w:rFonts w:ascii="Times New Roman" w:cs="Times New Roman" w:eastAsia="Times New Roman" w:hAnsi="Times New Roman"/>
                <w:sz w:val="23"/>
                <w:szCs w:val="23"/>
                <w:color w:val="auto"/>
                <w:vertAlign w:val="superscript"/>
              </w:rPr>
              <w:t>(1) (2)</w:t>
            </w:r>
          </w:p>
        </w:tc>
        <w:tc>
          <w:tcPr>
            <w:tcW w:w="340" w:type="dxa"/>
            <w:vAlign w:val="bottom"/>
            <w:shd w:val="clear" w:color="auto" w:fill="D2EDFE"/>
          </w:tcPr>
          <w:p>
            <w:pPr>
              <w:spacing w:after="0"/>
              <w:rPr>
                <w:sz w:val="23"/>
                <w:szCs w:val="23"/>
                <w:color w:val="auto"/>
              </w:rPr>
            </w:pPr>
          </w:p>
        </w:tc>
        <w:tc>
          <w:tcPr>
            <w:tcW w:w="1140" w:type="dxa"/>
            <w:vAlign w:val="bottom"/>
            <w:shd w:val="clear" w:color="auto" w:fill="D2EDFE"/>
          </w:tcPr>
          <w:p>
            <w:pPr>
              <w:spacing w:after="0"/>
              <w:rPr>
                <w:sz w:val="23"/>
                <w:szCs w:val="23"/>
                <w:color w:val="auto"/>
              </w:rPr>
            </w:pPr>
          </w:p>
        </w:tc>
        <w:tc>
          <w:tcPr>
            <w:tcW w:w="100" w:type="dxa"/>
            <w:vAlign w:val="bottom"/>
            <w:shd w:val="clear" w:color="auto" w:fill="D2EDFE"/>
          </w:tcPr>
          <w:p>
            <w:pPr>
              <w:spacing w:after="0"/>
              <w:rPr>
                <w:sz w:val="23"/>
                <w:szCs w:val="23"/>
                <w:color w:val="auto"/>
              </w:rPr>
            </w:pPr>
          </w:p>
        </w:tc>
        <w:tc>
          <w:tcPr>
            <w:tcW w:w="340" w:type="dxa"/>
            <w:vAlign w:val="bottom"/>
            <w:shd w:val="clear" w:color="auto" w:fill="D2EDFE"/>
          </w:tcPr>
          <w:p>
            <w:pPr>
              <w:spacing w:after="0"/>
              <w:rPr>
                <w:sz w:val="23"/>
                <w:szCs w:val="23"/>
                <w:color w:val="auto"/>
              </w:rPr>
            </w:pPr>
          </w:p>
        </w:tc>
        <w:tc>
          <w:tcPr>
            <w:tcW w:w="1140" w:type="dxa"/>
            <w:vAlign w:val="bottom"/>
            <w:shd w:val="clear" w:color="auto" w:fill="D2EDFE"/>
          </w:tcPr>
          <w:p>
            <w:pPr>
              <w:spacing w:after="0"/>
              <w:rPr>
                <w:sz w:val="23"/>
                <w:szCs w:val="23"/>
                <w:color w:val="auto"/>
              </w:rPr>
            </w:pPr>
          </w:p>
        </w:tc>
      </w:tr>
      <w:tr>
        <w:trPr>
          <w:trHeight w:val="26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77"/>
        </w:trPr>
        <w:tc>
          <w:tcPr>
            <w:tcW w:w="8180" w:type="dxa"/>
            <w:vAlign w:val="bottom"/>
            <w:shd w:val="clear" w:color="auto" w:fill="D2EDFE"/>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D2EDFE"/>
          </w:tcPr>
          <w:p>
            <w:pPr>
              <w:spacing w:after="0"/>
              <w:rPr>
                <w:sz w:val="24"/>
                <w:szCs w:val="24"/>
                <w:color w:val="auto"/>
              </w:rPr>
            </w:pPr>
          </w:p>
        </w:tc>
        <w:tc>
          <w:tcPr>
            <w:tcW w:w="340" w:type="dxa"/>
            <w:vAlign w:val="bottom"/>
            <w:shd w:val="clear" w:color="auto" w:fill="D2EDF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shares outstanding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8180" w:type="dxa"/>
            <w:vAlign w:val="bottom"/>
            <w:shd w:val="clear" w:color="auto" w:fill="D2EDFE"/>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D2EDFE"/>
          </w:tcPr>
          <w:p>
            <w:pPr>
              <w:spacing w:after="0"/>
              <w:rPr>
                <w:sz w:val="23"/>
                <w:szCs w:val="23"/>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55,684,701</w:t>
            </w:r>
          </w:p>
        </w:tc>
        <w:tc>
          <w:tcPr>
            <w:tcW w:w="100" w:type="dxa"/>
            <w:vAlign w:val="bottom"/>
            <w:shd w:val="clear" w:color="auto" w:fill="D2EDFE"/>
          </w:tcPr>
          <w:p>
            <w:pPr>
              <w:spacing w:after="0"/>
              <w:rPr>
                <w:sz w:val="23"/>
                <w:szCs w:val="23"/>
                <w:color w:val="auto"/>
              </w:rPr>
            </w:pPr>
          </w:p>
        </w:tc>
        <w:tc>
          <w:tcPr>
            <w:tcW w:w="340" w:type="dxa"/>
            <w:vAlign w:val="bottom"/>
            <w:shd w:val="clear" w:color="auto" w:fill="D2EDFE"/>
          </w:tcPr>
          <w:p>
            <w:pPr>
              <w:spacing w:after="0"/>
              <w:rPr>
                <w:sz w:val="23"/>
                <w:szCs w:val="23"/>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55,640,154</w:t>
            </w:r>
          </w:p>
        </w:tc>
      </w:tr>
      <w:tr>
        <w:trPr>
          <w:trHeight w:val="257"/>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57,918,005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58,329,428</w:t>
            </w:r>
          </w:p>
        </w:tc>
      </w:tr>
    </w:tbl>
    <w:p>
      <w:pPr>
        <w:spacing w:after="0" w:line="288" w:lineRule="exact"/>
        <w:rPr>
          <w:sz w:val="20"/>
          <w:szCs w:val="20"/>
          <w:color w:val="auto"/>
        </w:rPr>
      </w:pPr>
    </w:p>
    <w:p>
      <w:pPr>
        <w:ind w:left="660" w:hanging="652"/>
        <w:spacing w:after="0" w:line="302" w:lineRule="auto"/>
        <w:tabs>
          <w:tab w:leader="none" w:pos="35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2021, basic and diluted weighted average shares outstanding and loss per share represent only the period from October 28, 2021 to December 31, 2021 (see Note 7). As the Company completed its IPO in 2021, we do not believe adjusted net income per share is a meaningful metric for the 2020 period.</w:t>
      </w:r>
    </w:p>
    <w:p>
      <w:pPr>
        <w:spacing w:after="0" w:line="161" w:lineRule="exact"/>
        <w:rPr>
          <w:rFonts w:ascii="Times New Roman" w:cs="Times New Roman" w:eastAsia="Times New Roman" w:hAnsi="Times New Roman"/>
          <w:sz w:val="14"/>
          <w:szCs w:val="14"/>
          <w:color w:val="auto"/>
        </w:rPr>
      </w:pPr>
    </w:p>
    <w:p>
      <w:pPr>
        <w:ind w:left="660" w:hanging="652"/>
        <w:spacing w:after="0" w:line="302" w:lineRule="auto"/>
        <w:tabs>
          <w:tab w:leader="none" w:pos="327"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Adjusted Net Income Per Share is computed by dividing adjusted net income by the weighted-average number of shares of common stock outstanding adjusted for the dilutive effect of all potential shares of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2022, we experienced only minor impact at our centers, primarily due to staffing challenges brought on by COVID-19. We continue to monitor the current COVID-19 situation in each market where we perform procedures and will react accordingly.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Structure</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owns and operates non-clinical assets and provides Management Services, through its wholly-owned subsidiaries, to our affiliated Professional Associations located across the United States under the MSAs. The Management Services provide for the administration of the non-clinical aspects of the medical operations and include, but are not limited to, financial, administrative, technical, marketing and personnel services. We do not practice medicine. The Professional Associations, which are all owned by licensed surgeons, are responsible for all clinical aspects of the medical operations that take place in each of our centers.</w:t>
      </w:r>
    </w:p>
    <w:p>
      <w:pPr>
        <w:spacing w:after="0" w:line="1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present the results of operations and financial position of the Company, its wholly-owned subsidiaries and each of the Professional Associations that we manage under the MSAs.</w:t>
      </w:r>
    </w:p>
    <w:p>
      <w:pPr>
        <w:spacing w:after="0" w:line="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Even though we do not have voting control over the Professional Associations, we have a long-term and unilateral controlling financial interest over such Professional Associations’ assets and operations under the MSAs. As a result, GAAP require us to consolidate the results of the Professional Associations into our financial statements. All of our revenue is earned from services provided by the Professional Associations we manage. See “Critical Accounting Policies and Estimates—Principles of Consolidation.”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 is generated from our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procedures performed on our patients. We are 100% self-pay and do not accept payments from the U.S. federal government or payer organizations. We assist patients, as needed, by providing third-party financing options to pay for procedures. We have arrangements with various financing companies to facilitate this option. There is a financing transaction fee based on a set percentage of the amount financed. We recognize revenue based on the expected transaction price which is reduced for financing fees.</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policy is to require full payment for services in advance of performing a procedure. Payments received for which services have yet to been performed for all reported periods are included in deferred revenue and patient deposits on our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 (excluding depreciation and amortization)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 is comprised of all service and product costs related to the delivery of procedures, including but not limited to compensation to our physicians and clinical staff, medical supply costs, and facility-related rent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consists of marketing and advertising expenses we incur to market our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procedures to potential patients and general and administrative costs, including rent for our corporate offices.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Expenses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Our advertising costs include both national and site-based advertising used to generate greater awareness and engagement among our current and potential patients. Our advertising costs include social media, digital marketing and traditional advertising. Selling expenses include salaries and commissions for employees engaged in marketing and sales. We define our customer acquisition costs as the total selling expenses per case.</w:t>
      </w:r>
    </w:p>
    <w:p>
      <w:pPr>
        <w:spacing w:after="0" w:line="1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generally expect our selling expenses to increase as we continue to grow our brand and expand our national footprint. We evaluate our selling expense as compared to growth in our sales volume and will invest accordingly to the extent we believe we can increase our growth without materially negatively impacting our Adjusted EBITDA Margins.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w:t>
      </w:r>
    </w:p>
    <w:p>
      <w:pPr>
        <w:spacing w:after="0" w:line="1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and the salaries and commissions of sales and marketing employees), equity-based compensation, technology, operations, finance, legal, corporate office rent and human resources. We expect our general and administrative expenses to increase over time due to the additional legal, accounting, insurance, investor relations and other costs that we will continue to incur as a public company. We also expect increases from other costs associated with continuing to grow our business. As we continue to expand the number of centers and procedures rooms, we anticipate general and administrative expenses to decrease as a percentage of revenue over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consists primarily of interest costs on our outstanding borrowings under our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and notes summarize certain results from the statements of operations for each of the periods indicated and the changes between periods. The table also show the percentage relationship to revenue for the periods indicated:</w:t>
      </w:r>
    </w:p>
    <w:p>
      <w:pPr>
        <w:spacing w:after="0" w:line="188"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jc w:val="center"/>
        <w:ind w:left="4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35"/>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80" w:type="dxa"/>
            <w:vAlign w:val="bottom"/>
          </w:tcPr>
          <w:p>
            <w:pPr>
              <w:spacing w:after="0"/>
              <w:rPr>
                <w:sz w:val="11"/>
                <w:szCs w:val="11"/>
                <w:color w:val="auto"/>
              </w:rPr>
            </w:pPr>
          </w:p>
        </w:tc>
        <w:tc>
          <w:tcPr>
            <w:tcW w:w="116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center"/>
              <w:ind w:right="193"/>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center"/>
              <w:ind w:right="193"/>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ind w:right="354"/>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43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360" w:type="dxa"/>
            <w:vAlign w:val="bottom"/>
            <w:tcBorders>
              <w:top w:val="single" w:sz="8" w:color="D2EDFE"/>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168,794</w:t>
            </w:r>
          </w:p>
        </w:tc>
        <w:tc>
          <w:tcPr>
            <w:tcW w:w="100" w:type="dxa"/>
            <w:vAlign w:val="bottom"/>
            <w:tcBorders>
              <w:top w:val="single" w:sz="8" w:color="D2EDFE"/>
            </w:tcBorders>
            <w:shd w:val="clear" w:color="auto" w:fill="D2EDFE"/>
          </w:tcPr>
          <w:p>
            <w:pPr>
              <w:spacing w:after="0"/>
              <w:rPr>
                <w:sz w:val="19"/>
                <w:szCs w:val="19"/>
                <w:color w:val="auto"/>
              </w:rPr>
            </w:pPr>
          </w:p>
        </w:tc>
        <w:tc>
          <w:tcPr>
            <w:tcW w:w="240" w:type="dxa"/>
            <w:vAlign w:val="bottom"/>
            <w:tcBorders>
              <w:top w:val="single" w:sz="8" w:color="auto"/>
            </w:tcBorders>
            <w:shd w:val="clear" w:color="auto" w:fill="D2EDFE"/>
          </w:tcPr>
          <w:p>
            <w:pPr>
              <w:spacing w:after="0"/>
              <w:rPr>
                <w:sz w:val="19"/>
                <w:szCs w:val="19"/>
                <w:color w:val="auto"/>
              </w:rPr>
            </w:pPr>
          </w:p>
        </w:tc>
        <w:tc>
          <w:tcPr>
            <w:tcW w:w="9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D2EDFE"/>
            </w:tcBorders>
            <w:shd w:val="clear" w:color="auto" w:fill="D2EDFE"/>
          </w:tcPr>
          <w:p>
            <w:pPr>
              <w:spacing w:after="0"/>
              <w:rPr>
                <w:sz w:val="19"/>
                <w:szCs w:val="19"/>
                <w:color w:val="auto"/>
              </w:rPr>
            </w:pPr>
          </w:p>
        </w:tc>
        <w:tc>
          <w:tcPr>
            <w:tcW w:w="16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133,315</w:t>
            </w:r>
          </w:p>
        </w:tc>
        <w:tc>
          <w:tcPr>
            <w:tcW w:w="100" w:type="dxa"/>
            <w:vAlign w:val="bottom"/>
            <w:tcBorders>
              <w:top w:val="single" w:sz="8" w:color="D2EDFE"/>
            </w:tcBorders>
            <w:shd w:val="clear" w:color="auto" w:fill="D2EDFE"/>
          </w:tcPr>
          <w:p>
            <w:pPr>
              <w:spacing w:after="0"/>
              <w:rPr>
                <w:sz w:val="19"/>
                <w:szCs w:val="19"/>
                <w:color w:val="auto"/>
              </w:rPr>
            </w:pPr>
          </w:p>
        </w:tc>
        <w:tc>
          <w:tcPr>
            <w:tcW w:w="240" w:type="dxa"/>
            <w:vAlign w:val="bottom"/>
            <w:tcBorders>
              <w:top w:val="single" w:sz="8" w:color="auto"/>
            </w:tcBorders>
            <w:shd w:val="clear" w:color="auto" w:fill="D2EDFE"/>
          </w:tcPr>
          <w:p>
            <w:pPr>
              <w:spacing w:after="0"/>
              <w:rPr>
                <w:sz w:val="19"/>
                <w:szCs w:val="19"/>
                <w:color w:val="auto"/>
              </w:rPr>
            </w:pPr>
          </w:p>
        </w:tc>
        <w:tc>
          <w:tcPr>
            <w:tcW w:w="9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62,766</w:t>
            </w:r>
          </w:p>
        </w:tc>
        <w:tc>
          <w:tcPr>
            <w:tcW w:w="60" w:type="dxa"/>
            <w:vAlign w:val="bottom"/>
            <w:tcBorders>
              <w:top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14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Cost of service</w:t>
            </w:r>
          </w:p>
        </w:tc>
        <w:tc>
          <w:tcPr>
            <w:tcW w:w="18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62,781</w:t>
            </w:r>
          </w:p>
        </w:tc>
        <w:tc>
          <w:tcPr>
            <w:tcW w:w="10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shd w:val="clear" w:color="auto" w:fill="D2EDFE"/>
          </w:tcPr>
          <w:p>
            <w:pPr>
              <w:spacing w:after="0"/>
              <w:rPr>
                <w:sz w:val="19"/>
                <w:szCs w:val="19"/>
                <w:color w:val="auto"/>
              </w:rPr>
            </w:pPr>
          </w:p>
        </w:tc>
        <w:tc>
          <w:tcPr>
            <w:tcW w:w="16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44,536</w:t>
            </w:r>
          </w:p>
        </w:tc>
        <w:tc>
          <w:tcPr>
            <w:tcW w:w="10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7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23,471</w:t>
            </w:r>
          </w:p>
        </w:tc>
        <w:tc>
          <w:tcPr>
            <w:tcW w:w="1280" w:type="dxa"/>
            <w:vAlign w:val="bottom"/>
            <w:gridSpan w:val="3"/>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29"/>
        </w:trPr>
        <w:tc>
          <w:tcPr>
            <w:tcW w:w="43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18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D2EDFE"/>
          </w:tcPr>
          <w:p>
            <w:pPr>
              <w:spacing w:after="0"/>
              <w:rPr>
                <w:sz w:val="19"/>
                <w:szCs w:val="19"/>
                <w:color w:val="auto"/>
              </w:rPr>
            </w:pPr>
          </w:p>
        </w:tc>
        <w:tc>
          <w:tcPr>
            <w:tcW w:w="16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7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30"/>
        </w:trPr>
        <w:tc>
          <w:tcPr>
            <w:tcW w:w="43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Loss on disposal of long-lived assets</w:t>
            </w:r>
          </w:p>
        </w:tc>
        <w:tc>
          <w:tcPr>
            <w:tcW w:w="18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D2EDFE"/>
          </w:tcPr>
          <w:p>
            <w:pPr>
              <w:spacing w:after="0"/>
              <w:rPr>
                <w:sz w:val="19"/>
                <w:szCs w:val="19"/>
                <w:color w:val="auto"/>
              </w:rPr>
            </w:pPr>
          </w:p>
        </w:tc>
        <w:tc>
          <w:tcPr>
            <w:tcW w:w="160" w:type="dxa"/>
            <w:vAlign w:val="bottom"/>
            <w:shd w:val="clear" w:color="auto" w:fill="D2EDFE"/>
          </w:tcPr>
          <w:p>
            <w:pPr>
              <w:spacing w:after="0"/>
              <w:rPr>
                <w:sz w:val="19"/>
                <w:szCs w:val="19"/>
                <w:color w:val="auto"/>
              </w:rPr>
            </w:pPr>
          </w:p>
        </w:tc>
        <w:tc>
          <w:tcPr>
            <w:tcW w:w="1160" w:type="dxa"/>
            <w:vAlign w:val="bottom"/>
            <w:gridSpan w:val="3"/>
            <w:shd w:val="clear" w:color="auto" w:fill="D2EDFE"/>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D2EDFE"/>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D2EDFE"/>
          </w:tcPr>
          <w:p>
            <w:pPr>
              <w:spacing w:after="0"/>
              <w:rPr>
                <w:sz w:val="19"/>
                <w:szCs w:val="19"/>
                <w:color w:val="auto"/>
              </w:rPr>
            </w:pPr>
          </w:p>
        </w:tc>
        <w:tc>
          <w:tcPr>
            <w:tcW w:w="7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D2EDFE"/>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173,339</w:t>
            </w:r>
          </w:p>
        </w:tc>
        <w:tc>
          <w:tcPr>
            <w:tcW w:w="100" w:type="dxa"/>
            <w:vAlign w:val="bottom"/>
            <w:tcBorders>
              <w:bottom w:val="single" w:sz="8" w:color="D2EDF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102.7 %</w:t>
            </w:r>
          </w:p>
        </w:tc>
        <w:tc>
          <w:tcPr>
            <w:tcW w:w="100" w:type="dxa"/>
            <w:vAlign w:val="bottom"/>
            <w:tcBorders>
              <w:bottom w:val="single" w:sz="8" w:color="D2EDFE"/>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117,547</w:t>
            </w:r>
          </w:p>
        </w:tc>
        <w:tc>
          <w:tcPr>
            <w:tcW w:w="100" w:type="dxa"/>
            <w:vAlign w:val="bottom"/>
            <w:tcBorders>
              <w:bottom w:val="single" w:sz="8" w:color="D2EDF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88.2 %</w:t>
            </w:r>
          </w:p>
        </w:tc>
        <w:tc>
          <w:tcPr>
            <w:tcW w:w="100" w:type="dxa"/>
            <w:vAlign w:val="bottom"/>
            <w:tcBorders>
              <w:bottom w:val="single" w:sz="8" w:color="D2EDFE"/>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52,733</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D2EDFE"/>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84.0 %</w:t>
            </w:r>
          </w:p>
        </w:tc>
        <w:tc>
          <w:tcPr>
            <w:tcW w:w="0" w:type="dxa"/>
            <w:vAlign w:val="bottom"/>
          </w:tcPr>
          <w:p>
            <w:pPr>
              <w:spacing w:after="0"/>
              <w:rPr>
                <w:sz w:val="1"/>
                <w:szCs w:val="1"/>
                <w:color w:val="auto"/>
              </w:rPr>
            </w:pPr>
          </w:p>
        </w:tc>
      </w:tr>
      <w:tr>
        <w:trPr>
          <w:trHeight w:val="223"/>
        </w:trPr>
        <w:tc>
          <w:tcPr>
            <w:tcW w:w="43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(Loss)/Income from operations</w:t>
            </w:r>
          </w:p>
        </w:tc>
        <w:tc>
          <w:tcPr>
            <w:tcW w:w="18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D2EDFE"/>
          </w:tcPr>
          <w:p>
            <w:pPr>
              <w:spacing w:after="0"/>
              <w:rPr>
                <w:sz w:val="19"/>
                <w:szCs w:val="19"/>
                <w:color w:val="auto"/>
              </w:rPr>
            </w:pPr>
          </w:p>
        </w:tc>
        <w:tc>
          <w:tcPr>
            <w:tcW w:w="16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10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shd w:val="clear" w:color="auto" w:fill="D2EDFE"/>
          </w:tcPr>
          <w:p>
            <w:pPr>
              <w:spacing w:after="0"/>
              <w:rPr>
                <w:sz w:val="19"/>
                <w:szCs w:val="19"/>
                <w:color w:val="auto"/>
              </w:rPr>
            </w:pPr>
          </w:p>
        </w:tc>
        <w:tc>
          <w:tcPr>
            <w:tcW w:w="180" w:type="dxa"/>
            <w:vAlign w:val="bottom"/>
            <w:shd w:val="clear" w:color="auto" w:fill="D2EDFE"/>
          </w:tcPr>
          <w:p>
            <w:pPr>
              <w:spacing w:after="0"/>
              <w:rPr>
                <w:sz w:val="19"/>
                <w:szCs w:val="19"/>
                <w:color w:val="auto"/>
              </w:rPr>
            </w:pPr>
          </w:p>
        </w:tc>
        <w:tc>
          <w:tcPr>
            <w:tcW w:w="7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60" w:type="dxa"/>
            <w:vAlign w:val="bottom"/>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3"/>
        </w:trPr>
        <w:tc>
          <w:tcPr>
            <w:tcW w:w="4360" w:type="dxa"/>
            <w:vAlign w:val="bottom"/>
            <w:tcBorders>
              <w:top w:val="single" w:sz="8" w:color="D2EDFE"/>
            </w:tcBorders>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Pre-tax net (loss)/income</w:t>
            </w:r>
          </w:p>
        </w:tc>
        <w:tc>
          <w:tcPr>
            <w:tcW w:w="180" w:type="dxa"/>
            <w:vAlign w:val="bottom"/>
            <w:tcBorders>
              <w:top w:val="single" w:sz="8" w:color="auto"/>
            </w:tcBorders>
            <w:shd w:val="clear" w:color="auto" w:fill="D2EDFE"/>
          </w:tcPr>
          <w:p>
            <w:pPr>
              <w:spacing w:after="0"/>
              <w:rPr>
                <w:sz w:val="19"/>
                <w:szCs w:val="19"/>
                <w:color w:val="auto"/>
              </w:rPr>
            </w:pPr>
          </w:p>
        </w:tc>
        <w:tc>
          <w:tcPr>
            <w:tcW w:w="8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100" w:type="dxa"/>
            <w:vAlign w:val="bottom"/>
            <w:tcBorders>
              <w:top w:val="single" w:sz="8" w:color="D2EDFE"/>
            </w:tcBorders>
            <w:shd w:val="clear" w:color="auto" w:fill="D2EDFE"/>
          </w:tcPr>
          <w:p>
            <w:pPr>
              <w:spacing w:after="0"/>
              <w:rPr>
                <w:sz w:val="19"/>
                <w:szCs w:val="19"/>
                <w:color w:val="auto"/>
              </w:rPr>
            </w:pPr>
          </w:p>
        </w:tc>
        <w:tc>
          <w:tcPr>
            <w:tcW w:w="240" w:type="dxa"/>
            <w:vAlign w:val="bottom"/>
            <w:tcBorders>
              <w:top w:val="single" w:sz="8" w:color="auto"/>
            </w:tcBorders>
            <w:shd w:val="clear" w:color="auto" w:fill="D2EDFE"/>
          </w:tcPr>
          <w:p>
            <w:pPr>
              <w:spacing w:after="0"/>
              <w:rPr>
                <w:sz w:val="19"/>
                <w:szCs w:val="19"/>
                <w:color w:val="auto"/>
              </w:rPr>
            </w:pPr>
          </w:p>
        </w:tc>
        <w:tc>
          <w:tcPr>
            <w:tcW w:w="9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D2EDFE"/>
            </w:tcBorders>
            <w:shd w:val="clear" w:color="auto" w:fill="D2EDFE"/>
          </w:tcPr>
          <w:p>
            <w:pPr>
              <w:spacing w:after="0"/>
              <w:rPr>
                <w:sz w:val="19"/>
                <w:szCs w:val="19"/>
                <w:color w:val="auto"/>
              </w:rPr>
            </w:pPr>
          </w:p>
        </w:tc>
        <w:tc>
          <w:tcPr>
            <w:tcW w:w="160" w:type="dxa"/>
            <w:vAlign w:val="bottom"/>
            <w:tcBorders>
              <w:top w:val="single" w:sz="8" w:color="auto"/>
            </w:tcBorders>
            <w:shd w:val="clear" w:color="auto" w:fill="D2EDFE"/>
          </w:tcPr>
          <w:p>
            <w:pPr>
              <w:spacing w:after="0"/>
              <w:rPr>
                <w:sz w:val="19"/>
                <w:szCs w:val="19"/>
                <w:color w:val="auto"/>
              </w:rPr>
            </w:pPr>
          </w:p>
        </w:tc>
        <w:tc>
          <w:tcPr>
            <w:tcW w:w="82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100" w:type="dxa"/>
            <w:vAlign w:val="bottom"/>
            <w:tcBorders>
              <w:top w:val="single" w:sz="8" w:color="D2EDFE"/>
            </w:tcBorders>
            <w:shd w:val="clear" w:color="auto" w:fill="D2EDFE"/>
          </w:tcPr>
          <w:p>
            <w:pPr>
              <w:spacing w:after="0"/>
              <w:rPr>
                <w:sz w:val="19"/>
                <w:szCs w:val="19"/>
                <w:color w:val="auto"/>
              </w:rPr>
            </w:pPr>
          </w:p>
        </w:tc>
        <w:tc>
          <w:tcPr>
            <w:tcW w:w="240" w:type="dxa"/>
            <w:vAlign w:val="bottom"/>
            <w:tcBorders>
              <w:top w:val="single" w:sz="8" w:color="auto"/>
            </w:tcBorders>
            <w:shd w:val="clear" w:color="auto" w:fill="D2EDFE"/>
          </w:tcPr>
          <w:p>
            <w:pPr>
              <w:spacing w:after="0"/>
              <w:rPr>
                <w:sz w:val="19"/>
                <w:szCs w:val="19"/>
                <w:color w:val="auto"/>
              </w:rPr>
            </w:pPr>
          </w:p>
        </w:tc>
        <w:tc>
          <w:tcPr>
            <w:tcW w:w="90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Borders>
              <w:top w:val="single" w:sz="8" w:color="D2EDFE"/>
            </w:tcBorders>
            <w:shd w:val="clear" w:color="auto" w:fill="D2EDFE"/>
          </w:tcPr>
          <w:p>
            <w:pPr>
              <w:spacing w:after="0"/>
              <w:rPr>
                <w:sz w:val="19"/>
                <w:szCs w:val="19"/>
                <w:color w:val="auto"/>
              </w:rPr>
            </w:pPr>
          </w:p>
        </w:tc>
        <w:tc>
          <w:tcPr>
            <w:tcW w:w="180" w:type="dxa"/>
            <w:vAlign w:val="bottom"/>
            <w:tcBorders>
              <w:top w:val="single" w:sz="8" w:color="auto"/>
            </w:tcBorders>
            <w:shd w:val="clear" w:color="auto" w:fill="D2EDFE"/>
          </w:tcPr>
          <w:p>
            <w:pPr>
              <w:spacing w:after="0"/>
              <w:rPr>
                <w:sz w:val="19"/>
                <w:szCs w:val="19"/>
                <w:color w:val="auto"/>
              </w:rPr>
            </w:pPr>
          </w:p>
        </w:tc>
        <w:tc>
          <w:tcPr>
            <w:tcW w:w="76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60" w:type="dxa"/>
            <w:vAlign w:val="bottom"/>
            <w:tcBorders>
              <w:top w:val="single" w:sz="8" w:color="auto"/>
            </w:tcBorders>
            <w:shd w:val="clear" w:color="auto" w:fill="D2EDFE"/>
          </w:tcPr>
          <w:p>
            <w:pPr>
              <w:spacing w:after="0"/>
              <w:rPr>
                <w:sz w:val="19"/>
                <w:szCs w:val="19"/>
                <w:color w:val="auto"/>
              </w:rPr>
            </w:pPr>
          </w:p>
        </w:tc>
        <w:tc>
          <w:tcPr>
            <w:tcW w:w="80" w:type="dxa"/>
            <w:vAlign w:val="bottom"/>
            <w:tcBorders>
              <w:top w:val="single" w:sz="8" w:color="D2EDFE"/>
            </w:tcBorders>
            <w:shd w:val="clear" w:color="auto" w:fill="D2EDFE"/>
          </w:tcPr>
          <w:p>
            <w:pPr>
              <w:spacing w:after="0"/>
              <w:rPr>
                <w:sz w:val="19"/>
                <w:szCs w:val="19"/>
                <w:color w:val="auto"/>
              </w:rPr>
            </w:pPr>
          </w:p>
        </w:tc>
        <w:tc>
          <w:tcPr>
            <w:tcW w:w="1140" w:type="dxa"/>
            <w:vAlign w:val="bottom"/>
            <w:tcBorders>
              <w:top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Borders>
              <w:bottom w:val="single" w:sz="8" w:color="D2EDF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D2EDF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D2EDF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D2EDF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D2EDFE"/>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D2EDFE"/>
            </w:tcBorders>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Net (loss)/income</w:t>
            </w:r>
          </w:p>
        </w:tc>
        <w:tc>
          <w:tcPr>
            <w:tcW w:w="1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tcBorders>
              <w:bottom w:val="single" w:sz="8" w:color="D2EDFE"/>
            </w:tcBorders>
            <w:shd w:val="clear" w:color="auto" w:fill="D2EDFE"/>
          </w:tcPr>
          <w:p>
            <w:pPr>
              <w:spacing w:after="0"/>
              <w:rPr>
                <w:sz w:val="21"/>
                <w:szCs w:val="21"/>
                <w:color w:val="auto"/>
              </w:rPr>
            </w:pPr>
          </w:p>
        </w:tc>
        <w:tc>
          <w:tcPr>
            <w:tcW w:w="240" w:type="dxa"/>
            <w:vAlign w:val="bottom"/>
            <w:tcBorders>
              <w:bottom w:val="single" w:sz="8" w:color="auto"/>
            </w:tcBorders>
            <w:shd w:val="clear" w:color="auto" w:fill="D2EDFE"/>
          </w:tcPr>
          <w:p>
            <w:pPr>
              <w:spacing w:after="0"/>
              <w:rPr>
                <w:sz w:val="21"/>
                <w:szCs w:val="21"/>
                <w:color w:val="auto"/>
              </w:rPr>
            </w:pPr>
          </w:p>
        </w:tc>
        <w:tc>
          <w:tcPr>
            <w:tcW w:w="90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D2EDFE"/>
            </w:tcBorders>
            <w:shd w:val="clear" w:color="auto" w:fill="D2EDFE"/>
          </w:tcPr>
          <w:p>
            <w:pPr>
              <w:spacing w:after="0"/>
              <w:rPr>
                <w:sz w:val="21"/>
                <w:szCs w:val="21"/>
                <w:color w:val="auto"/>
              </w:rPr>
            </w:pPr>
          </w:p>
        </w:tc>
        <w:tc>
          <w:tcPr>
            <w:tcW w:w="16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100" w:type="dxa"/>
            <w:vAlign w:val="bottom"/>
            <w:tcBorders>
              <w:bottom w:val="single" w:sz="8" w:color="D2EDFE"/>
            </w:tcBorders>
            <w:shd w:val="clear" w:color="auto" w:fill="D2EDFE"/>
          </w:tcPr>
          <w:p>
            <w:pPr>
              <w:spacing w:after="0"/>
              <w:rPr>
                <w:sz w:val="21"/>
                <w:szCs w:val="21"/>
                <w:color w:val="auto"/>
              </w:rPr>
            </w:pPr>
          </w:p>
        </w:tc>
        <w:tc>
          <w:tcPr>
            <w:tcW w:w="240" w:type="dxa"/>
            <w:vAlign w:val="bottom"/>
            <w:tcBorders>
              <w:bottom w:val="single" w:sz="8" w:color="auto"/>
            </w:tcBorders>
            <w:shd w:val="clear" w:color="auto" w:fill="D2EDFE"/>
          </w:tcPr>
          <w:p>
            <w:pPr>
              <w:spacing w:after="0"/>
              <w:rPr>
                <w:sz w:val="21"/>
                <w:szCs w:val="21"/>
                <w:color w:val="auto"/>
              </w:rPr>
            </w:pPr>
          </w:p>
        </w:tc>
        <w:tc>
          <w:tcPr>
            <w:tcW w:w="90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Borders>
              <w:bottom w:val="single" w:sz="8" w:color="D2EDFE"/>
            </w:tcBorders>
            <w:shd w:val="clear" w:color="auto" w:fill="D2EDFE"/>
          </w:tcPr>
          <w:p>
            <w:pPr>
              <w:spacing w:after="0"/>
              <w:rPr>
                <w:sz w:val="21"/>
                <w:szCs w:val="21"/>
                <w:color w:val="auto"/>
              </w:rPr>
            </w:pPr>
          </w:p>
        </w:tc>
        <w:tc>
          <w:tcPr>
            <w:tcW w:w="18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60" w:type="dxa"/>
            <w:vAlign w:val="bottom"/>
            <w:tcBorders>
              <w:bottom w:val="single" w:sz="8" w:color="auto"/>
            </w:tcBorders>
            <w:shd w:val="clear" w:color="auto" w:fill="D2EDFE"/>
          </w:tcPr>
          <w:p>
            <w:pPr>
              <w:spacing w:after="0"/>
              <w:rPr>
                <w:sz w:val="21"/>
                <w:szCs w:val="21"/>
                <w:color w:val="auto"/>
              </w:rPr>
            </w:pPr>
          </w:p>
        </w:tc>
        <w:tc>
          <w:tcPr>
            <w:tcW w:w="80" w:type="dxa"/>
            <w:vAlign w:val="bottom"/>
            <w:tcBorders>
              <w:bottom w:val="single" w:sz="8" w:color="D2EDFE"/>
            </w:tcBorders>
            <w:shd w:val="clear" w:color="auto" w:fill="D2EDFE"/>
          </w:tcPr>
          <w:p>
            <w:pPr>
              <w:spacing w:after="0"/>
              <w:rPr>
                <w:sz w:val="21"/>
                <w:szCs w:val="21"/>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0"/>
        </w:trPr>
        <w:tc>
          <w:tcPr>
            <w:tcW w:w="4360" w:type="dxa"/>
            <w:vAlign w:val="bottom"/>
            <w:tcBorders>
              <w:top w:val="single" w:sz="8" w:color="D2EDFE"/>
            </w:tcBorders>
          </w:tcPr>
          <w:p>
            <w:pPr>
              <w:spacing w:after="0" w:line="20" w:lineRule="exact"/>
              <w:rPr>
                <w:sz w:val="1"/>
                <w:szCs w:val="1"/>
                <w:color w:val="auto"/>
              </w:rPr>
            </w:pPr>
          </w:p>
        </w:tc>
        <w:tc>
          <w:tcPr>
            <w:tcW w:w="180" w:type="dxa"/>
            <w:vAlign w:val="bottom"/>
            <w:tcBorders>
              <w:top w:val="single" w:sz="8" w:color="D2EDFE"/>
              <w:bottom w:val="single" w:sz="8" w:color="auto"/>
            </w:tcBorders>
          </w:tcPr>
          <w:p>
            <w:pPr>
              <w:spacing w:after="0" w:line="20" w:lineRule="exact"/>
              <w:rPr>
                <w:sz w:val="1"/>
                <w:szCs w:val="1"/>
                <w:color w:val="auto"/>
              </w:rPr>
            </w:pPr>
          </w:p>
        </w:tc>
        <w:tc>
          <w:tcPr>
            <w:tcW w:w="82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240" w:type="dxa"/>
            <w:vAlign w:val="bottom"/>
            <w:tcBorders>
              <w:top w:val="single" w:sz="8" w:color="D2EDFE"/>
              <w:bottom w:val="single" w:sz="8" w:color="auto"/>
            </w:tcBorders>
          </w:tcPr>
          <w:p>
            <w:pPr>
              <w:spacing w:after="0" w:line="20" w:lineRule="exact"/>
              <w:rPr>
                <w:sz w:val="1"/>
                <w:szCs w:val="1"/>
                <w:color w:val="auto"/>
              </w:rPr>
            </w:pPr>
          </w:p>
        </w:tc>
        <w:tc>
          <w:tcPr>
            <w:tcW w:w="90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160" w:type="dxa"/>
            <w:vAlign w:val="bottom"/>
            <w:tcBorders>
              <w:top w:val="single" w:sz="8" w:color="D2EDFE"/>
              <w:bottom w:val="single" w:sz="8" w:color="auto"/>
            </w:tcBorders>
          </w:tcPr>
          <w:p>
            <w:pPr>
              <w:spacing w:after="0" w:line="20" w:lineRule="exact"/>
              <w:rPr>
                <w:sz w:val="1"/>
                <w:szCs w:val="1"/>
                <w:color w:val="auto"/>
              </w:rPr>
            </w:pPr>
          </w:p>
        </w:tc>
        <w:tc>
          <w:tcPr>
            <w:tcW w:w="82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240" w:type="dxa"/>
            <w:vAlign w:val="bottom"/>
            <w:tcBorders>
              <w:top w:val="single" w:sz="8" w:color="D2EDFE"/>
              <w:bottom w:val="single" w:sz="8" w:color="auto"/>
            </w:tcBorders>
          </w:tcPr>
          <w:p>
            <w:pPr>
              <w:spacing w:after="0" w:line="20" w:lineRule="exact"/>
              <w:rPr>
                <w:sz w:val="1"/>
                <w:szCs w:val="1"/>
                <w:color w:val="auto"/>
              </w:rPr>
            </w:pPr>
          </w:p>
        </w:tc>
        <w:tc>
          <w:tcPr>
            <w:tcW w:w="900" w:type="dxa"/>
            <w:vAlign w:val="bottom"/>
            <w:tcBorders>
              <w:top w:val="single" w:sz="8" w:color="D2EDFE"/>
              <w:bottom w:val="single" w:sz="8" w:color="auto"/>
            </w:tcBorders>
          </w:tcPr>
          <w:p>
            <w:pPr>
              <w:spacing w:after="0" w:line="20" w:lineRule="exact"/>
              <w:rPr>
                <w:sz w:val="1"/>
                <w:szCs w:val="1"/>
                <w:color w:val="auto"/>
              </w:rPr>
            </w:pPr>
          </w:p>
        </w:tc>
        <w:tc>
          <w:tcPr>
            <w:tcW w:w="100" w:type="dxa"/>
            <w:vAlign w:val="bottom"/>
            <w:tcBorders>
              <w:top w:val="single" w:sz="8" w:color="D2EDFE"/>
            </w:tcBorders>
          </w:tcPr>
          <w:p>
            <w:pPr>
              <w:spacing w:after="0" w:line="20" w:lineRule="exact"/>
              <w:rPr>
                <w:sz w:val="1"/>
                <w:szCs w:val="1"/>
                <w:color w:val="auto"/>
              </w:rPr>
            </w:pPr>
          </w:p>
        </w:tc>
        <w:tc>
          <w:tcPr>
            <w:tcW w:w="180" w:type="dxa"/>
            <w:vAlign w:val="bottom"/>
            <w:tcBorders>
              <w:top w:val="single" w:sz="8" w:color="D2EDFE"/>
              <w:bottom w:val="single" w:sz="8" w:color="auto"/>
            </w:tcBorders>
          </w:tcPr>
          <w:p>
            <w:pPr>
              <w:spacing w:after="0" w:line="20" w:lineRule="exact"/>
              <w:rPr>
                <w:sz w:val="1"/>
                <w:szCs w:val="1"/>
                <w:color w:val="auto"/>
              </w:rPr>
            </w:pPr>
          </w:p>
        </w:tc>
        <w:tc>
          <w:tcPr>
            <w:tcW w:w="760" w:type="dxa"/>
            <w:vAlign w:val="bottom"/>
            <w:tcBorders>
              <w:top w:val="single" w:sz="8" w:color="D2EDFE"/>
              <w:bottom w:val="single" w:sz="8" w:color="auto"/>
            </w:tcBorders>
          </w:tcPr>
          <w:p>
            <w:pPr>
              <w:spacing w:after="0" w:line="20" w:lineRule="exact"/>
              <w:rPr>
                <w:sz w:val="1"/>
                <w:szCs w:val="1"/>
                <w:color w:val="auto"/>
              </w:rPr>
            </w:pPr>
          </w:p>
        </w:tc>
        <w:tc>
          <w:tcPr>
            <w:tcW w:w="60" w:type="dxa"/>
            <w:vAlign w:val="bottom"/>
            <w:tcBorders>
              <w:top w:val="single" w:sz="8" w:color="D2EDFE"/>
              <w:bottom w:val="single" w:sz="8" w:color="auto"/>
            </w:tcBorders>
          </w:tcPr>
          <w:p>
            <w:pPr>
              <w:spacing w:after="0" w:line="20" w:lineRule="exact"/>
              <w:rPr>
                <w:sz w:val="1"/>
                <w:szCs w:val="1"/>
                <w:color w:val="auto"/>
              </w:rPr>
            </w:pPr>
          </w:p>
        </w:tc>
        <w:tc>
          <w:tcPr>
            <w:tcW w:w="80" w:type="dxa"/>
            <w:vAlign w:val="bottom"/>
            <w:tcBorders>
              <w:top w:val="single" w:sz="8" w:color="D2EDFE"/>
            </w:tcBorders>
          </w:tcPr>
          <w:p>
            <w:pPr>
              <w:spacing w:after="0" w:line="20" w:lineRule="exact"/>
              <w:rPr>
                <w:sz w:val="1"/>
                <w:szCs w:val="1"/>
                <w:color w:val="auto"/>
              </w:rPr>
            </w:pPr>
          </w:p>
        </w:tc>
        <w:tc>
          <w:tcPr>
            <w:tcW w:w="1140" w:type="dxa"/>
            <w:vAlign w:val="bottom"/>
            <w:tcBorders>
              <w:top w:val="single" w:sz="8" w:color="D2EDFE"/>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Twelve Months Ended December 31, 2022 Compared to Twelve Months Ended December 31, 2021</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Our financial results for the twelve months ended December 31, 2022 compared to the twelve months ended December 31, 2021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of four de novo centers.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Our revenue increased $35.5 million, or 26.6%, compared to the same period in 2021. The increase is the result of adding four de novo centers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increased our footprint from 18 centers to 22 centers as of December 31, 2022. We have also experienced strong revenue per case growth over the prior year of 7.1%. This increase is primarily due to patients having more areas treated at one visit as compared to prior periods and we attribute this to our brand awareness focus and more specifically to AirSculpt TV, which allows prospective patients to see live procedures being performed.</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also increased due to our same-center revenue, which increased to $135.4 million from $125.1 million for the twelve months ended December 31, 2022 compared to the same period in 2021. This increase at our existing centers relates to continued expansion of our social media and marketing capabilities to drive further brand awareness and increase consumer acceptance for our procedures.</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Cost of Service—</w:t>
      </w:r>
      <w:r>
        <w:rPr>
          <w:rFonts w:ascii="Times New Roman" w:cs="Times New Roman" w:eastAsia="Times New Roman" w:hAnsi="Times New Roman"/>
          <w:sz w:val="18"/>
          <w:szCs w:val="18"/>
          <w:color w:val="auto"/>
        </w:rPr>
        <w:t>Our cost of service increased $18.2 million, or 41.0%, compared to the twelve months ended December 31, 2021. This increase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attributable to opening four de novo centers since the 2021 period and an increase in our same center volumes and revenue. Cost of service was 37.2% and 33.4% as a percentage of revenue for the twelve months ended December 31, 2022 and 2021, respectively. This increase is primarily due to adding four de novo centers over the prior period. Cost of service as a percent of revenue is higher for a de novo center in the first year until the center reaches maturity, which can take up to two years. Cost of service was also impacted by clinical additions to our nursing teams. These investments will further enhance quality and safety for our patients and better prepare us for future growth in both existing centers and the new centers we are developing.</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Selling, general and administrative expenses increased $35.7 million, or 54.3%, for the twelve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2022 compared to the same period in 2021. This increase is primarily related to the addition of public company costs of approximately $6.7 million and an increase in equity-based compensation of $22.3 million. This increase is also related to additional expenses we incurred for marketing and corporate support as we grow our center count through de novo expansion and providing support for our centers. We expect these costs to continue to increase as we continue to open de novo centers and expand the support we provide to our centers.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as a percent of revenue were 60.1% and 49.3% for the twelve months ended December 31, 2022 and 2021, respectively. Normalizing the prior year for the increase in equity-based compensation and public company costs, selling, general and administrative expenses as a percent of revenue were 60.1% and 71.1% for the twelve months ended December 31, 2022 and 2021, respectively.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Total selling expenses were approximately $22.4 million and $13.5 million for the twelve months ended December 31, 2022 and 2021, respectively. Our customer acquisition costs were approximately $2,300 and $1,902 per customer in the twelve months ended December 31, 2022 and 2021, respectively. We intend to continue investing in our sales and marketing capabilities as we add new centers and further increase our brand awareness, which will also drive further same-center growth. As a result, we expect these costs to increase on an absolute dollar basis. Additionally, selling expenses as a percentage of revenue may fluctuate from quarter to quarter based on the timing and scope of our initiatives and the related impact to our revenue.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 were approximately $79.0 million and $52.2 million for the twelve months ended December 31, 2022 and 2021, respectively. As previously mentioned, equity-based compensation and public company costs were the two main drivers for this increase. We expect our general and administrative expenses to increase over time in absolute dollars due to the additional legal, accounting, insurance, investor relations and other costs that we incur as a public company. We also expect to expand our corporate team to support the opening of new centers and growth at existing facilities.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Loss on debt modification—</w:t>
      </w:r>
      <w:r>
        <w:rPr>
          <w:rFonts w:ascii="Times New Roman" w:cs="Times New Roman" w:eastAsia="Times New Roman" w:hAnsi="Times New Roman"/>
          <w:sz w:val="18"/>
          <w:szCs w:val="18"/>
          <w:color w:val="auto"/>
        </w:rPr>
        <w:t>We recognized a $932,000 loss related to refinancing our existing credit agreement by entering a new agreement in November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Depreciation and amortization increased to approximately $8.1 million for the twelve months ended December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$6.6 million for the same period in 2021. This increase is the result of having four additional de novo centers during the twelve months ended December 31, 2022 as compared to the 2021 period.</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Loss on disposal of long-lived assets—</w:t>
      </w:r>
      <w:r>
        <w:rPr>
          <w:rFonts w:ascii="Times New Roman" w:cs="Times New Roman" w:eastAsia="Times New Roman" w:hAnsi="Times New Roman"/>
          <w:sz w:val="18"/>
          <w:szCs w:val="18"/>
          <w:color w:val="auto"/>
        </w:rPr>
        <w:t>We recognized a $147,000 loss related to the disposal of previous leasehold improvements as a result of relocation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 certain centers.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Interest expense increased to $6.8 million from $4.9 million for the twelve months ended December 31, 2022 and 2021,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is primarily the result of adding an incremental $52.0 million of senior secured term loans in May 2021. Further, the variable component of interest on our debt has increased during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As a result of the Reorganization, the Company became subject to taxation as a C corporation for periods after October 28, 2021.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is (29.9)% for the twelve months ended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Twelve Months Ended December 31, 2021 Compared to Twelve Months Ended December 31, 2020</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—Our financial results for the twelve months ended December 31, 2021 compared to the twelve months ended December 31, 2020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of four de novo centers which increased our procedure rooms by eight. In addition, we expanded one of our existing facilities from one to two procedure rooms.</w:t>
      </w:r>
    </w:p>
    <w:p>
      <w:pPr>
        <w:spacing w:after="0" w:line="19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—Our revenue increased $70.5 million, or 112.4%, compared to the same period in 2020. The increase is the result of adding four de novo centers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adding a procedure room to an existing facility which expanded our footprint from 14 centers to 18 centers.</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 increase was also driven by our same-center case and revenue per case growth of 55.5% and 12.1%, respectively, for the twelve months ended December 31, 2021 as compared to the same period in 2020. This increase was primarily due to continued growth at our existing centers as we continue to increase our social media and marketing capabilities to drive our brand awareness and increase consumer acceptance for our procedures. Further, during the twelve months ended December 31, 2020, our facilities were shut down for two to three months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Cost of Service</w:t>
      </w:r>
      <w:r>
        <w:rPr>
          <w:rFonts w:ascii="Times New Roman" w:cs="Times New Roman" w:eastAsia="Times New Roman" w:hAnsi="Times New Roman"/>
          <w:sz w:val="18"/>
          <w:szCs w:val="18"/>
          <w:color w:val="auto"/>
        </w:rPr>
        <w:t>—Our cost of service increased $21.1 million, or 89.7%, compared to the twelve months ended December 31, 2020. This increase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attributable to our increase in revenue related to our de novo centers and our same-center case and revenue per case growth. The increase in our cost of service also relates to the increase in our same center volumes and revenue. Cost of service was 33.4% and 37.4% as a percentage of revenue for the twelve months ended December 31, 2021 and 2020, respectively. This decrease is due to leveraging certain fixed costs, such as rent at our facilities, as well as improved efficiencies with our clinical staff.</w:t>
      </w:r>
    </w:p>
    <w:p>
      <w:pPr>
        <w:spacing w:after="0" w:line="2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—Selling, general and administrative expenses increased $42.1 million, or 178.3%, for the twelve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2021 compared to the same period in 2020. This increase is related to cost incurred with our IPO of $11.8 million and an increase in equity-based compensation of $6.9 million primarily related to awards granted in connection with our IPO. We also incurred additional expenses related to marketing and corporate support as we grow our center count through de novo expansion and providing support for our centers. We expect these costs to continue to increase as we continue to open de novo centers and expand the support we provide to our centers. Selling, general and administrative expenses as a percent of revenue was 49.3% and 37.6% for the twelve months ended December 31, 2021 and 2020, respectively. This increase is tied to the previously mentioned cost incurred with the IPO, increase in equity-based compensation and growth in our infrastructure supporting our centers. We expect this percentage to decrease over time as we expand our national footprint, however, we do expect additional absolute dollar increases as we expand our footprint and related support services. Additionally, we expect our selling, general and administrative expenses to increase over time due to the additional legal, accounting, insurance, investor relations and other costs that we incur as a public company.</w:t>
      </w:r>
    </w:p>
    <w:p>
      <w:pPr>
        <w:spacing w:after="0" w:line="2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Selling expenses consist of advertising costs for social, digital and traditional marketing and sales and marketing personnel. Total selling expenses were approximately $21.0 million and $9.5 million for the twelve months ended December 31, 2021 and 2020, respectively. Our customer acquisition costs were approximately $1,902 and $1,619 per customer in 2021 and 2020, respectively. We intend to continue investing in our sales and marketing capabilities and expect these costs to increase on an absolute dollar basis. Additionally, selling expenses as a percentage of revenue may fluctuate from quarter to quarter based on the timing and scope of our investments.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 were approximately $44.7 million and $14.1 million for the twelve months ended December 31, 2021 and 2020, respectively. We expect our general and administrative expenses to increase over time in absolute dollars following the closing of our IPO due to the additional legal, accounting, insurance, investor relations and other costs that we will incur as a public company. General and administrative includes our sponsor management fees of $1.6 million and $0.5 million for the twelve months ended December 31, 2021 and 2020, respectively. The twelve months ended December 31, 2021 includes a one-time $1.0 million termination fee related to our sponsor management and advisory agreement.</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Loss on Debt Modification</w:t>
      </w:r>
      <w:r>
        <w:rPr>
          <w:rFonts w:ascii="Times New Roman" w:cs="Times New Roman" w:eastAsia="Times New Roman" w:hAnsi="Times New Roman"/>
          <w:sz w:val="18"/>
          <w:szCs w:val="18"/>
          <w:color w:val="auto"/>
        </w:rPr>
        <w:t>—We recognized a $0.7 million loss related to amending our existing credit agreement in May 2021, adding an incremental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$52.0 million of senior secured term loans.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—Depreciation and amortization increased to approximately $6.6 million for the twelve months ended December 31,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$5.6 million for the same period in 2020. This increase is the result of opening four de novo centers and expanding an existing facility by one procedure room during the 12 months ended December 31, 2021 and having a full twelve months of depreciation in 2021 for facilities opened during the 2020 period.</w:t>
      </w:r>
    </w:p>
    <w:p>
      <w:pPr>
        <w:spacing w:after="0" w:line="2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—Interest expense increased to $4.9 million from $2.5 million for the twelve months ended December 31, 2021 and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increase is the result of adding an incremental $52.0 million of senior secured term loans in May 2021.</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—As a result of the Reorganization, the Company became subject to taxation as a C corporation for periods after October 28,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effective tax rate is 3.0% and 0% for the twelve months ended December 31, 2021 and 2020, respectively. We expect our effective tax rate to increase in the future as we will be a C corporation for the full financial periods presented.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principally rely on cash flows from operations as our primary source of liquidity and, if needed, up to $5.0 million in revolving loans under our revolving credit facility. Our primary cash needs are for payroll, marketing and advertisements, rent, capital expenditures associated with de novo locations and new procedure room additions, as well as information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technology and infrastructure, including our corporate office. We believe that the cash expected to be generated from operations and the availability of borrowings under the revolving credit facility will be sufficient for our working capital requirements, liquidity obligations, anticipated capital expenditures relating to the opening of de novo centers, and the addition of new procedure rooms to our existing locations, and payments due under our existing credit facilities for at least the next 12 months.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we had $9.6 million in cash and cash equivalents and an available amount of $5.0 million under our revolving credit facility. We do not have any letters of credit outstanding as of December 31, 2022.</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2021, we had $25.3 million in cash and cash equivalents and an available amount of $5.0 million under our revolving credit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letters of credit outstanding as of December 31, 2021.</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net cash provided by (used for) operating activities, investing activities and financing activities for the periods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4"/>
        </w:trPr>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6"/>
        </w:trPr>
        <w:tc>
          <w:tcPr>
            <w:tcW w:w="6560" w:type="dxa"/>
            <w:vAlign w:val="bottom"/>
            <w:tcBorders>
              <w:bottom w:val="single" w:sz="8" w:color="D2EDFE"/>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D2EDFE"/>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D2EDFE"/>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656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(Used For):</w:t>
            </w:r>
          </w:p>
        </w:tc>
        <w:tc>
          <w:tcPr>
            <w:tcW w:w="360" w:type="dxa"/>
            <w:vAlign w:val="bottom"/>
            <w:shd w:val="clear" w:color="auto" w:fill="D2EDFE"/>
          </w:tcPr>
          <w:p>
            <w:pPr>
              <w:spacing w:after="0"/>
              <w:rPr>
                <w:sz w:val="18"/>
                <w:szCs w:val="18"/>
                <w:color w:val="auto"/>
              </w:rPr>
            </w:pPr>
          </w:p>
        </w:tc>
        <w:tc>
          <w:tcPr>
            <w:tcW w:w="1140" w:type="dxa"/>
            <w:vAlign w:val="bottom"/>
            <w:shd w:val="clear" w:color="auto" w:fill="D2EDFE"/>
          </w:tcPr>
          <w:p>
            <w:pPr>
              <w:spacing w:after="0"/>
              <w:rPr>
                <w:sz w:val="18"/>
                <w:szCs w:val="18"/>
                <w:color w:val="auto"/>
              </w:rPr>
            </w:pPr>
          </w:p>
        </w:tc>
        <w:tc>
          <w:tcPr>
            <w:tcW w:w="100" w:type="dxa"/>
            <w:vAlign w:val="bottom"/>
            <w:shd w:val="clear" w:color="auto" w:fill="D2EDFE"/>
          </w:tcPr>
          <w:p>
            <w:pPr>
              <w:spacing w:after="0"/>
              <w:rPr>
                <w:sz w:val="18"/>
                <w:szCs w:val="18"/>
                <w:color w:val="auto"/>
              </w:rPr>
            </w:pPr>
          </w:p>
        </w:tc>
        <w:tc>
          <w:tcPr>
            <w:tcW w:w="220" w:type="dxa"/>
            <w:vAlign w:val="bottom"/>
            <w:shd w:val="clear" w:color="auto" w:fill="D2EDFE"/>
          </w:tcPr>
          <w:p>
            <w:pPr>
              <w:spacing w:after="0"/>
              <w:rPr>
                <w:sz w:val="18"/>
                <w:szCs w:val="18"/>
                <w:color w:val="auto"/>
              </w:rPr>
            </w:pPr>
          </w:p>
        </w:tc>
        <w:tc>
          <w:tcPr>
            <w:tcW w:w="1260" w:type="dxa"/>
            <w:vAlign w:val="bottom"/>
            <w:shd w:val="clear" w:color="auto" w:fill="D2EDFE"/>
          </w:tcPr>
          <w:p>
            <w:pPr>
              <w:spacing w:after="0"/>
              <w:rPr>
                <w:sz w:val="18"/>
                <w:szCs w:val="18"/>
                <w:color w:val="auto"/>
              </w:rPr>
            </w:pPr>
          </w:p>
        </w:tc>
        <w:tc>
          <w:tcPr>
            <w:tcW w:w="120" w:type="dxa"/>
            <w:vAlign w:val="bottom"/>
            <w:shd w:val="clear" w:color="auto" w:fill="D2EDFE"/>
          </w:tcPr>
          <w:p>
            <w:pPr>
              <w:spacing w:after="0"/>
              <w:rPr>
                <w:sz w:val="18"/>
                <w:szCs w:val="18"/>
                <w:color w:val="auto"/>
              </w:rPr>
            </w:pPr>
          </w:p>
        </w:tc>
        <w:tc>
          <w:tcPr>
            <w:tcW w:w="340" w:type="dxa"/>
            <w:vAlign w:val="bottom"/>
            <w:shd w:val="clear" w:color="auto" w:fill="D2EDFE"/>
          </w:tcPr>
          <w:p>
            <w:pPr>
              <w:spacing w:after="0"/>
              <w:rPr>
                <w:sz w:val="18"/>
                <w:szCs w:val="18"/>
                <w:color w:val="auto"/>
              </w:rPr>
            </w:pPr>
          </w:p>
        </w:tc>
        <w:tc>
          <w:tcPr>
            <w:tcW w:w="1140" w:type="dxa"/>
            <w:vAlign w:val="bottom"/>
            <w:shd w:val="clear" w:color="auto" w:fill="D2EDFE"/>
          </w:tcPr>
          <w:p>
            <w:pPr>
              <w:spacing w:after="0"/>
              <w:rPr>
                <w:sz w:val="18"/>
                <w:szCs w:val="18"/>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rPr>
              <w:t>24,447</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26,633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13,957</w:t>
            </w:r>
          </w:p>
        </w:tc>
      </w:tr>
      <w:tr>
        <w:trPr>
          <w:trHeight w:val="229"/>
        </w:trPr>
        <w:tc>
          <w:tcPr>
            <w:tcW w:w="65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D2EDFE"/>
          </w:tcPr>
          <w:p>
            <w:pPr>
              <w:spacing w:after="0"/>
              <w:rPr>
                <w:sz w:val="19"/>
                <w:szCs w:val="19"/>
                <w:color w:val="auto"/>
              </w:rPr>
            </w:pPr>
          </w:p>
        </w:tc>
        <w:tc>
          <w:tcPr>
            <w:tcW w:w="1140" w:type="dxa"/>
            <w:vAlign w:val="bottom"/>
            <w:shd w:val="clear" w:color="auto" w:fill="D2EDFE"/>
          </w:tcPr>
          <w:p>
            <w:pPr>
              <w:jc w:val="center"/>
              <w:ind w:left="374"/>
              <w:spacing w:after="0"/>
              <w:rPr>
                <w:sz w:val="20"/>
                <w:szCs w:val="20"/>
                <w:color w:val="auto"/>
              </w:rPr>
            </w:pPr>
            <w:r>
              <w:rPr>
                <w:rFonts w:ascii="Times New Roman" w:cs="Times New Roman" w:eastAsia="Times New Roman" w:hAnsi="Times New Roman"/>
                <w:sz w:val="18"/>
                <w:szCs w:val="18"/>
                <w:color w:val="auto"/>
                <w:w w:val="97"/>
              </w:rPr>
              <w:t>(12,921)</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2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2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(3,689)</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19"/>
                <w:szCs w:val="19"/>
                <w:color w:val="auto"/>
              </w:rPr>
            </w:pPr>
          </w:p>
        </w:tc>
        <w:tc>
          <w:tcPr>
            <w:tcW w:w="114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97"/>
              </w:rPr>
              <w:t>(27,257)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(4,549)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w:t>
            </w:r>
          </w:p>
        </w:tc>
      </w:tr>
      <w:tr>
        <w:trPr>
          <w:trHeight w:val="229"/>
        </w:trPr>
        <w:tc>
          <w:tcPr>
            <w:tcW w:w="6560" w:type="dxa"/>
            <w:vAlign w:val="bottom"/>
            <w:shd w:val="clear" w:color="auto" w:fill="D2EDFE"/>
          </w:tcPr>
          <w:p>
            <w:pPr>
              <w:ind w:left="140"/>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360" w:type="dxa"/>
            <w:vAlign w:val="bottom"/>
            <w:shd w:val="clear" w:color="auto" w:fill="D2EDFE"/>
          </w:tcPr>
          <w:p>
            <w:pPr>
              <w:spacing w:after="0"/>
              <w:rPr>
                <w:sz w:val="19"/>
                <w:szCs w:val="19"/>
                <w:color w:val="auto"/>
              </w:rPr>
            </w:pPr>
          </w:p>
        </w:tc>
        <w:tc>
          <w:tcPr>
            <w:tcW w:w="1140" w:type="dxa"/>
            <w:vAlign w:val="bottom"/>
            <w:shd w:val="clear" w:color="auto" w:fill="D2EDFE"/>
          </w:tcPr>
          <w:p>
            <w:pPr>
              <w:jc w:val="center"/>
              <w:ind w:left="374"/>
              <w:spacing w:after="0"/>
              <w:rPr>
                <w:sz w:val="20"/>
                <w:szCs w:val="20"/>
                <w:color w:val="auto"/>
              </w:rPr>
            </w:pPr>
            <w:r>
              <w:rPr>
                <w:rFonts w:ascii="Times New Roman" w:cs="Times New Roman" w:eastAsia="Times New Roman" w:hAnsi="Times New Roman"/>
                <w:sz w:val="18"/>
                <w:szCs w:val="18"/>
                <w:color w:val="auto"/>
                <w:w w:val="97"/>
              </w:rPr>
              <w:t>(15,731)</w:t>
            </w:r>
          </w:p>
        </w:tc>
        <w:tc>
          <w:tcPr>
            <w:tcW w:w="10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1260" w:type="dxa"/>
            <w:vAlign w:val="bottom"/>
            <w:shd w:val="clear" w:color="auto" w:fill="D2EDFE"/>
          </w:tcPr>
          <w:p>
            <w:pPr>
              <w:ind w:left="700"/>
              <w:spacing w:after="0"/>
              <w:rPr>
                <w:sz w:val="20"/>
                <w:szCs w:val="20"/>
                <w:color w:val="auto"/>
              </w:rPr>
            </w:pPr>
            <w:r>
              <w:rPr>
                <w:rFonts w:ascii="Times New Roman" w:cs="Times New Roman" w:eastAsia="Times New Roman" w:hAnsi="Times New Roman"/>
                <w:sz w:val="18"/>
                <w:szCs w:val="18"/>
                <w:color w:val="auto"/>
              </w:rPr>
              <w:t>14,968</w:t>
            </w:r>
          </w:p>
        </w:tc>
        <w:tc>
          <w:tcPr>
            <w:tcW w:w="120" w:type="dxa"/>
            <w:vAlign w:val="bottom"/>
            <w:shd w:val="clear" w:color="auto" w:fill="D2EDFE"/>
          </w:tcPr>
          <w:p>
            <w:pPr>
              <w:spacing w:after="0"/>
              <w:rPr>
                <w:sz w:val="19"/>
                <w:szCs w:val="19"/>
                <w:color w:val="auto"/>
              </w:rPr>
            </w:pPr>
          </w:p>
        </w:tc>
        <w:tc>
          <w:tcPr>
            <w:tcW w:w="34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5,251</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primary source of our operating cash flow is the collection of patient payments received prior to performing surgical procedures. For the twelve months ended December 31, 2022, our operating cash flow decreased by $2.2 million compared to the same period in 2021. This decrease is primarily driven by $6.7 million of additional public company costs in the twelve months ended December 31, 2022, which did not exist in the prior year period. Further, we have increased spending on our clinical infrastructure and brand awareness to support future growth. At December 31, 2022, we had working capital of $(5.6) million compared to $13.0 million at December 31, 2021. The decrease in working capital is primarily due to paying a special dividend of $23.2 million during the twelve months ended December 31, 2022.</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twelve months ended December 31, 2021, our operating cash flow increased by $12.7 million compared to the same period in 2020. This increase is primarily driven by improved income from operations related to opening four new centers in the 12 months ended December 31, 2021 and an increase in same store volumes which were impacted by the COVID-19 pandemic in the second quarter of 2020. At December 31, 2021, we had working capital of $13.0 million compared to $2.1 million at December 31, 2020.</w:t>
      </w:r>
    </w:p>
    <w:p>
      <w:pPr>
        <w:spacing w:after="0" w:line="9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the twelve months ended December 31, 2020, our operating cash flow increased by $9.0 million compared to the same period in 2019. This increase is primarily driven by improved income from operations related to opening four new centers in the 12 months ended December 31, 2020 and an increase in same store volumes. At December 31, 2020, we had working capital of $2.1 million compared to $(1.8) million at December 31, 2019.</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twelve months ended December 31, 2022 and 2021 was $12.9 million and $7.1 million, respectively. The increase in investing activities during the twelve months ended December 31, 2022 as compared to the twelve months ended December 31, 2021 was attributable to capital expenditures for adding four de novo centers, construction related to adding procedure rooms to five existing facilities, and investments in improving our medical equipment and technology.</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investing activities during the twelve months ended December 31, 2021 as compared to the twelve months ended December 31, 2020 was primarily attributable to the impact of COVID-19 limiting our ability to fully execute our de novo center growth strategy during 2020.</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2020 was $3.7 million which was primarily to fund capital expenditures to open de novo centers.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during the twelve months ended December 31, 2022 was $27.3 million. During the twelve months ended December 31, 2022, we made distributions to our former member of $1.2 million, paid cash dividends to shareholders of $23.2 million, and made payments of taxes withheld through vested equity-based compensation of $2.0 million. Finally, we made principal payments on our debt of $84.3 million offset by borrowings of new debt of $83.5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twelve months ended December 31, 2021 was $4.5 million. For the twelve months ended December 31, 2021, we made distributions to EBS Parent, LLC of $66.9 million, had borrowings under our credit agreement of $49.6 million and paid scheduled principal payments on our debt of $0.8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twelve months ended December 31, 2021, we received proceeds from our IPO of $13.5 million, net of issuance costs of $10.4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material cash requirements as of December 31,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 w:type="dxa"/>
            <w:vAlign w:val="bottom"/>
            <w:vMerge w:val="restart"/>
          </w:tcPr>
          <w:p>
            <w:pPr>
              <w:spacing w:after="0"/>
              <w:rPr>
                <w:sz w:val="2"/>
                <w:szCs w:val="2"/>
                <w:color w:val="auto"/>
              </w:rPr>
            </w:pPr>
          </w:p>
        </w:tc>
        <w:tc>
          <w:tcPr>
            <w:tcW w:w="320" w:type="dxa"/>
            <w:vAlign w:val="bottom"/>
            <w:tcBorders>
              <w:bottom w:val="single" w:sz="8" w:color="3D5588"/>
            </w:tcBorders>
          </w:tcPr>
          <w:p>
            <w:pPr>
              <w:spacing w:after="0"/>
              <w:rPr>
                <w:sz w:val="2"/>
                <w:szCs w:val="2"/>
                <w:color w:val="auto"/>
              </w:rPr>
            </w:pPr>
          </w:p>
        </w:tc>
        <w:tc>
          <w:tcPr>
            <w:tcW w:w="1140" w:type="dxa"/>
            <w:vAlign w:val="bottom"/>
            <w:tcBorders>
              <w:bottom w:val="single" w:sz="8" w:color="3D5588"/>
            </w:tcBorders>
            <w:gridSpan w:val="2"/>
          </w:tcPr>
          <w:p>
            <w:pPr>
              <w:spacing w:after="0"/>
              <w:rPr>
                <w:sz w:val="2"/>
                <w:szCs w:val="2"/>
                <w:color w:val="auto"/>
              </w:rPr>
            </w:pPr>
          </w:p>
        </w:tc>
        <w:tc>
          <w:tcPr>
            <w:tcW w:w="1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00" w:type="dxa"/>
            <w:vAlign w:val="bottom"/>
            <w:tcBorders>
              <w:bottom w:val="single" w:sz="8" w:color="3D5588"/>
            </w:tcBorders>
          </w:tcPr>
          <w:p>
            <w:pPr>
              <w:spacing w:after="0"/>
              <w:rPr>
                <w:sz w:val="2"/>
                <w:szCs w:val="2"/>
                <w:color w:val="auto"/>
              </w:rPr>
            </w:pPr>
          </w:p>
        </w:tc>
        <w:tc>
          <w:tcPr>
            <w:tcW w:w="26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gridSpan w:val="2"/>
          </w:tcPr>
          <w:p>
            <w:pPr>
              <w:spacing w:after="0"/>
              <w:rPr>
                <w:sz w:val="2"/>
                <w:szCs w:val="2"/>
                <w:color w:val="auto"/>
              </w:rPr>
            </w:pPr>
          </w:p>
        </w:tc>
        <w:tc>
          <w:tcPr>
            <w:tcW w:w="26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gridSpan w:val="2"/>
          </w:tcPr>
          <w:p>
            <w:pPr>
              <w:spacing w:after="0"/>
              <w:rPr>
                <w:sz w:val="2"/>
                <w:szCs w:val="2"/>
                <w:color w:val="auto"/>
              </w:rPr>
            </w:pPr>
          </w:p>
        </w:tc>
        <w:tc>
          <w:tcPr>
            <w:tcW w:w="100" w:type="dxa"/>
            <w:vAlign w:val="bottom"/>
            <w:tcBorders>
              <w:bottom w:val="single" w:sz="8" w:color="3D5588"/>
            </w:tcBorders>
          </w:tcPr>
          <w:p>
            <w:pPr>
              <w:spacing w:after="0"/>
              <w:rPr>
                <w:sz w:val="2"/>
                <w:szCs w:val="2"/>
                <w:color w:val="auto"/>
              </w:rPr>
            </w:pPr>
          </w:p>
        </w:tc>
        <w:tc>
          <w:tcPr>
            <w:tcW w:w="126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40" w:type="dxa"/>
            <w:vAlign w:val="bottom"/>
            <w:tcBorders>
              <w:bottom w:val="single" w:sz="8" w:color="3D5588"/>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3D5588"/>
            </w:tcBorders>
          </w:tcPr>
          <w:p>
            <w:pPr>
              <w:spacing w:after="0"/>
              <w:rPr>
                <w:sz w:val="16"/>
                <w:szCs w:val="16"/>
                <w:color w:val="auto"/>
              </w:rPr>
            </w:pPr>
          </w:p>
        </w:tc>
        <w:tc>
          <w:tcPr>
            <w:tcW w:w="1040" w:type="dxa"/>
            <w:vAlign w:val="bottom"/>
            <w:tcBorders>
              <w:bottom w:val="single" w:sz="8" w:color="3D5588"/>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3D5588"/>
            </w:tcBorders>
          </w:tcPr>
          <w:p>
            <w:pPr>
              <w:spacing w:after="0"/>
              <w:rPr>
                <w:sz w:val="16"/>
                <w:szCs w:val="16"/>
                <w:color w:val="auto"/>
              </w:rPr>
            </w:pPr>
          </w:p>
        </w:tc>
        <w:tc>
          <w:tcPr>
            <w:tcW w:w="1220" w:type="dxa"/>
            <w:vAlign w:val="bottom"/>
            <w:tcBorders>
              <w:bottom w:val="single" w:sz="8" w:color="3D5588"/>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3D5588"/>
            </w:tcBorders>
          </w:tcPr>
          <w:p>
            <w:pPr>
              <w:spacing w:after="0"/>
              <w:rPr>
                <w:sz w:val="16"/>
                <w:szCs w:val="16"/>
                <w:color w:val="auto"/>
              </w:rPr>
            </w:pPr>
          </w:p>
        </w:tc>
        <w:tc>
          <w:tcPr>
            <w:tcW w:w="1100" w:type="dxa"/>
            <w:vAlign w:val="bottom"/>
            <w:tcBorders>
              <w:bottom w:val="single" w:sz="8" w:color="3D5588"/>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3D5588"/>
            </w:tcBorders>
          </w:tcPr>
          <w:p>
            <w:pPr>
              <w:spacing w:after="0"/>
              <w:rPr>
                <w:sz w:val="16"/>
                <w:szCs w:val="16"/>
                <w:color w:val="auto"/>
              </w:rPr>
            </w:pPr>
          </w:p>
        </w:tc>
        <w:tc>
          <w:tcPr>
            <w:tcW w:w="1100" w:type="dxa"/>
            <w:vAlign w:val="bottom"/>
            <w:tcBorders>
              <w:bottom w:val="single" w:sz="8" w:color="3D5588"/>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3D5588"/>
            </w:tcBorders>
          </w:tcPr>
          <w:p>
            <w:pPr>
              <w:spacing w:after="0"/>
              <w:rPr>
                <w:sz w:val="16"/>
                <w:szCs w:val="16"/>
                <w:color w:val="auto"/>
              </w:rPr>
            </w:pPr>
          </w:p>
        </w:tc>
        <w:tc>
          <w:tcPr>
            <w:tcW w:w="1260" w:type="dxa"/>
            <w:vAlign w:val="bottom"/>
            <w:tcBorders>
              <w:bottom w:val="single" w:sz="8" w:color="3D5588"/>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More than 5 Years</w:t>
            </w:r>
          </w:p>
        </w:tc>
        <w:tc>
          <w:tcPr>
            <w:tcW w:w="0" w:type="dxa"/>
            <w:vAlign w:val="bottom"/>
          </w:tcPr>
          <w:p>
            <w:pPr>
              <w:spacing w:after="0"/>
              <w:rPr>
                <w:sz w:val="1"/>
                <w:szCs w:val="1"/>
                <w:color w:val="auto"/>
              </w:rPr>
            </w:pPr>
          </w:p>
        </w:tc>
      </w:tr>
      <w:tr>
        <w:trPr>
          <w:trHeight w:val="45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 principal</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5"/>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agreements</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3D5588"/>
            </w:tcBorders>
            <w:shd w:val="clear" w:color="auto" w:fill="CCEEFF"/>
          </w:tcPr>
          <w:p>
            <w:pPr>
              <w:spacing w:after="0"/>
              <w:rPr>
                <w:sz w:val="21"/>
                <w:szCs w:val="21"/>
                <w:color w:val="auto"/>
              </w:rPr>
            </w:pPr>
          </w:p>
        </w:tc>
        <w:tc>
          <w:tcPr>
            <w:tcW w:w="1040" w:type="dxa"/>
            <w:vAlign w:val="bottom"/>
            <w:tcBorders>
              <w:bottom w:val="single" w:sz="8" w:color="3D5588"/>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320" w:type="dxa"/>
            <w:vAlign w:val="bottom"/>
            <w:tcBorders>
              <w:bottom w:val="single" w:sz="8" w:color="3D5588"/>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8"/>
                <w:szCs w:val="18"/>
                <w:color w:val="auto"/>
              </w:rPr>
              <w:t>134,472</w:t>
            </w:r>
          </w:p>
        </w:tc>
        <w:tc>
          <w:tcPr>
            <w:tcW w:w="100" w:type="dxa"/>
            <w:vAlign w:val="bottom"/>
          </w:tcPr>
          <w:p>
            <w:pPr>
              <w:spacing w:after="0"/>
              <w:rPr>
                <w:sz w:val="19"/>
                <w:szCs w:val="19"/>
                <w:color w:val="auto"/>
              </w:rPr>
            </w:pPr>
          </w:p>
        </w:tc>
        <w:tc>
          <w:tcPr>
            <w:tcW w:w="14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8"/>
                <w:szCs w:val="18"/>
                <w:color w:val="auto"/>
              </w:rPr>
              <w:t>11,859</w:t>
            </w:r>
          </w:p>
        </w:tc>
        <w:tc>
          <w:tcPr>
            <w:tcW w:w="100" w:type="dxa"/>
            <w:vAlign w:val="bottom"/>
          </w:tcPr>
          <w:p>
            <w:pPr>
              <w:spacing w:after="0"/>
              <w:rPr>
                <w:sz w:val="19"/>
                <w:szCs w:val="19"/>
                <w:color w:val="auto"/>
              </w:rPr>
            </w:pPr>
          </w:p>
        </w:tc>
        <w:tc>
          <w:tcPr>
            <w:tcW w:w="260" w:type="dxa"/>
            <w:vAlign w:val="bottom"/>
            <w:tcBorders>
              <w:bottom w:val="single" w:sz="8" w:color="3D5588"/>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8"/>
                <w:szCs w:val="18"/>
                <w:color w:val="auto"/>
              </w:rPr>
              <w:t>25,210</w:t>
            </w:r>
          </w:p>
        </w:tc>
        <w:tc>
          <w:tcPr>
            <w:tcW w:w="100" w:type="dxa"/>
            <w:vAlign w:val="bottom"/>
          </w:tcPr>
          <w:p>
            <w:pPr>
              <w:spacing w:after="0"/>
              <w:rPr>
                <w:sz w:val="19"/>
                <w:szCs w:val="19"/>
                <w:color w:val="auto"/>
              </w:rPr>
            </w:pPr>
          </w:p>
        </w:tc>
        <w:tc>
          <w:tcPr>
            <w:tcW w:w="260" w:type="dxa"/>
            <w:vAlign w:val="bottom"/>
            <w:tcBorders>
              <w:bottom w:val="single" w:sz="8" w:color="3D5588"/>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8"/>
                <w:szCs w:val="18"/>
                <w:color w:val="auto"/>
              </w:rPr>
              <w:t>93,500</w:t>
            </w:r>
          </w:p>
        </w:tc>
        <w:tc>
          <w:tcPr>
            <w:tcW w:w="100" w:type="dxa"/>
            <w:vAlign w:val="bottom"/>
          </w:tcPr>
          <w:p>
            <w:pPr>
              <w:spacing w:after="0"/>
              <w:rPr>
                <w:sz w:val="19"/>
                <w:szCs w:val="19"/>
                <w:color w:val="auto"/>
              </w:rPr>
            </w:pPr>
          </w:p>
        </w:tc>
        <w:tc>
          <w:tcPr>
            <w:tcW w:w="10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3D5588"/>
            </w:tcBorders>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-316865</wp:posOffset>
            </wp:positionV>
            <wp:extent cx="36429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115" w:lineRule="exact"/>
        <w:rPr>
          <w:sz w:val="20"/>
          <w:szCs w:val="20"/>
          <w:color w:val="auto"/>
        </w:rPr>
      </w:pPr>
    </w:p>
    <w:p>
      <w:pPr>
        <w:ind w:left="340" w:hanging="332"/>
        <w:spacing w:after="0" w:line="282" w:lineRule="auto"/>
        <w:tabs>
          <w:tab w:leader="none" w:pos="33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the table reflect the contractually required interest payable pursuant to borrowings under our debt related to our Credit Agreement. Interest payments in the table above were calculated using an interest rate of 7.0% for the debt which was the average interest rate applicable to the borrowing as of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our total indebtedness was $83.5 million and $82.6 million, which includes unamortized deferred financing costs and issuance discount of $1.5 million and $1.7 million, as of December 31, 2022 and December 31, 2021,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and Revolving Credit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11, 2022, we amended the Credit Agreement to provide for (i) the payment of cash dividends in an amount not to exceed $23.0 million on or prior to September 30, 2022 and (ii) the payment of cash dividends in an amount not to exceed $2.0 million with respect to securities that are not vested at the time such cash dividend is paid. In doing so, we incurred an amendment fee of $0.2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7, 2022, we entered into a new credit agreement with a syndicate of lenders (the "new Credit Agreement") maturing November 7, 2027. Pursuant to the new Credit Agreement, there is (i) an $85.0 million aggregate principal amount of term loans and (ii) a revolving loan facility in an aggregate principal amount of up to $5.0 million. The proceeds were used, in part, to pay off the Company’s $83.6 million outstanding principal balance under its existing credit facility.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new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borrowings under the credit facility are collateralized by substantially all our assets. We are subject to certain restrictive financial covenants including quarterly total leverage ratio and fixed charge ratio requirements. We are in compliance with all covenants and have no letters of credit outstanding as of December 31, 2022 and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IPO or until we are no longer an “emerging growth company,” whichever is earlier.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Our management’s discussion and analysis of financial condition and results of operations is based on our consolidated financial statements, which have been prepared in accordance with GAAP. The preparation of our consolidated financial statements and related disclosures requires us to make estimates and assumptions that affect the reported amounts of assets and liabilities, revenue, costs and expenses and the disclosure of contingent assets and liabilities, if applicable,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While our significant accounting policies are described in greater detail in </w:t>
      </w:r>
      <w:r>
        <w:rPr>
          <w:rFonts w:ascii="Times New Roman" w:cs="Times New Roman" w:eastAsia="Times New Roman" w:hAnsi="Times New Roman"/>
          <w:sz w:val="18"/>
          <w:szCs w:val="18"/>
          <w:i w:val="1"/>
          <w:iCs w:val="1"/>
          <w:color w:val="auto"/>
        </w:rPr>
        <w: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 Summary of Key Accounting Policies</w:t>
      </w:r>
      <w:r>
        <w:rPr>
          <w:rFonts w:ascii="Times New Roman" w:cs="Times New Roman" w:eastAsia="Times New Roman" w:hAnsi="Times New Roman"/>
          <w:sz w:val="18"/>
          <w:szCs w:val="18"/>
          <w:color w:val="auto"/>
        </w:rPr>
        <w:t>,” to our consolidated financial statements included elsewhere in this Annual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10-K, we believe that the following accounting policies are those most critical to the judgments and estimates used in the preparation of our consolidated financial statements. In addition, refer to </w:t>
      </w:r>
      <w:r>
        <w:rPr>
          <w:rFonts w:ascii="Times New Roman" w:cs="Times New Roman" w:eastAsia="Times New Roman" w:hAnsi="Times New Roman"/>
          <w:sz w:val="18"/>
          <w:szCs w:val="18"/>
          <w:i w:val="1"/>
          <w:iCs w:val="1"/>
          <w:color w:val="auto"/>
        </w:rPr>
        <w:t>Note 1—“Organization and Summary of Key Accounting Policies,</w:t>
      </w:r>
      <w:r>
        <w:rPr>
          <w:rFonts w:ascii="Times New Roman" w:cs="Times New Roman" w:eastAsia="Times New Roman" w:hAnsi="Times New Roman"/>
          <w:sz w:val="18"/>
          <w:szCs w:val="18"/>
          <w:color w:val="auto"/>
        </w:rPr>
        <w:t>” in our consolidated financial statements for a summary of recent and pending accounting standards.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have adopted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w:t>
      </w:r>
    </w:p>
    <w:p>
      <w:pPr>
        <w:spacing w:after="0" w:line="81"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0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0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entity satisfies a performance obligation.</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 consists primarily of revenue earned for the provision of the Company’s patented AirSculpt</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Our performance obligations are delivery of specialty, minimally invasive liposuction services.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services is recognized over time as the service is delivered, typically over a single day. Payment is typically rendered in advance of the service.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contracts generally do not include more than one performance obligation.</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policy is to require payment for services in advance of performing any procedure. Payments received for which services have yet to been performed were $2.4 million as of December 31, 2022 and $2.8 million as of December 31, 2021, respectively and are included in deferred revenue and patient deposits on our balance sheets.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Some states have laws that prohibit business entities with non-physician owners from practicing medicine, which are generally referred to as the corporate practice of medicine. States that have corporate practice of medicine laws require only physicians to practice medicine, exercise control over medical decisions or engage in certain arrangements with other physicians, such as fee-splitting. Therefore, we mainly operate by maintaining MSAs with our affiliated Professional Associations, which are owned, directly or indirectly, and operated by a licensed surgeon, and which contract with individual surgeons to provide medical services. Under the MSAs, we provide and perform non-medical Management Services for which we are paid a management fee by each Professional Association. See “Business—Surgeon Practice Structure—Management Services Agreements.”</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surgeons contracted by the Professional Associations are exclusively in control of, and responsible for, all aspects of the practice of medicine. Each surgeon owner of a Professional Association (each a “Surgeon Owner,” and collectively, the “Surgeon Owners”) is also party to a continuity agreement (each, a “Continuity Agreement,” and collectively, the “Continuity Agreements”), which (i) prohibits the applicable surgeons from freely transferring or selling their interests in the Professional Associations, (ii) provides for the ability to add a second surgeon equity holder to help ensure continuity of the Professional Association, and (iii) provides for the automatic transfer of ownership upon the occurrence of certain events, save that, due to limitations under New York law, there is no Continuity Agreement in place with respect to the New York Professional Association. See “Business—Surgeon Practice Structure—Continuity Agreements.”</w:t>
      </w:r>
    </w:p>
    <w:p>
      <w:pPr>
        <w:spacing w:after="0" w:line="1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accordance with relevant accounting guidance, each of these Professional Associations is determined to be a variable interest entity. Elite Body Sculpture has the ability, through the Management Services and (with the exception of New York) Continuity Agreements to direct the activities (excluding clinical decisions) that most significantly affect the Professional Associations’ economic performance. Accordingly, we are the primary beneficiary of the Professional Associations, and, in accordance with GAAP, we consolidate the Professional Associations into our financial statements. All management fee revenue and related expenses are eliminated in consolidation, and all of the revenue reflected in our financial statements is revenue from services provided by the affiliated Professional Associations to patients.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Indefinite-lived, non-amortizing intangible assets include goodwill. Goodwill represents the excess of the fair value of the consideration conveyed in the acquisition over the fair value of net assets acquired. Goodwill is not amortized but is evaluated annually for impairment or sooner if factors occur that would trigger an impairment review. Our judgments regarding the existence of impairment indicators are based on market conditions and operational performance.</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Definite-lived, amortizing intangible assets primarily consist of trademarks and tradenames, patents and other intellectual property. We amortize definite-lived identifiable intangible assets on a straight-line basis over their estimated useful life of 15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in a business combination. Goodwill is not amortized but evaluated for impairment at least annually at the reporting unit level or whenever events or changes in circumstances indicate that the value may not be recoverable. Events or changes in circumstances which could trigger an impairment review include significant adverse changes in the business climate, unanticipated competition, a loss of key personnel, or the strategy for our overall business, significant industry or economic trends, or significant underperformance relevant to expected historical or projected future results of operations.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is assessed for possible impairment by performing a qualitative analysis to determine if it is more likely than not that the fair value of a reporting unit is less than its carrying amount. If, after assessing the events or circumstances, we determine it is not more likely than not that the fair value of a reporting unit is less than its carrying amount, then additional impairment testing is not required. However, if we were to believe our fair value was more likely lower than our carrying value, then we are required to perform a quantitative analysis.</w:t>
      </w:r>
    </w:p>
    <w:p>
      <w:pPr>
        <w:spacing w:after="0" w:line="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quantitative analysis involves comparing the estimated fair value of a reporting unit with its respective book value, including goodwill. If the estimated fair value exceeds book value, goodwill is considered not to be impaired and no</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 steps are necessary. If, however, the fair value of the reporting unit is less than its book value, then the carrying amount of the goodwill is reduced by recording an impairment loss in an amount equal to the excess. We review goodwill for impairment annually in the month of October.</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performed our annual review of goodwill impairment in October 2022 and 2021 using a qualitative analysis and determined that a quantitative analysis was not required. There were no triggering events during the twelve months ended December 31, 2022 and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recognize equity-based compensation expense for employees and non-employees based on the grant-date fair value of awards over the applicable service period. See “Note 6 - Stockholders' Equity and Equity-based Compensation” for further discussion of the awards outstanding. The grant date fair value of awards that contain market-based conditions are estimated using a Monte Carlo simulation model.</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Determining the fair value of market-based awards requires judgment. The assumptions used in a Monte Carlo simulation model requires the input of subjective assumptions and are as follows:</w:t>
      </w:r>
    </w:p>
    <w:p>
      <w:pPr>
        <w:spacing w:after="0" w:line="40" w:lineRule="exact"/>
        <w:rPr>
          <w:sz w:val="20"/>
          <w:szCs w:val="20"/>
          <w:color w:val="auto"/>
        </w:rPr>
      </w:pPr>
    </w:p>
    <w:p>
      <w:pPr>
        <w:ind w:left="500" w:hanging="168"/>
        <w:spacing w:after="0" w:line="266" w:lineRule="auto"/>
        <w:tabs>
          <w:tab w:leader="none" w:pos="4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volatility—Expected volatility is based on historical volatilities of a publicly traded peer group based on daily price observations over a period equivalent to the expected term of the market-based PSU awards.</w:t>
      </w:r>
    </w:p>
    <w:p>
      <w:pPr>
        <w:spacing w:after="0" w:line="6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term—The term is estimated in consideration of the time period expected to achieve the market condition.</w:t>
      </w:r>
    </w:p>
    <w:p>
      <w:pPr>
        <w:spacing w:after="0" w:line="103" w:lineRule="exact"/>
        <w:rPr>
          <w:rFonts w:ascii="Times New Roman" w:cs="Times New Roman" w:eastAsia="Times New Roman" w:hAnsi="Times New Roman"/>
          <w:sz w:val="18"/>
          <w:szCs w:val="18"/>
          <w:color w:val="auto"/>
        </w:rPr>
      </w:pPr>
    </w:p>
    <w:p>
      <w:pPr>
        <w:ind w:left="500" w:hanging="168"/>
        <w:spacing w:after="0" w:line="266" w:lineRule="auto"/>
        <w:tabs>
          <w:tab w:leader="none" w:pos="4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risk-free interest rate is based on the U.S. Treasury yield of treasury bonds with a maturity that approximates the expected term of the market-based PSU awards.</w:t>
      </w:r>
    </w:p>
    <w:p>
      <w:pPr>
        <w:spacing w:after="0" w:line="67" w:lineRule="exact"/>
        <w:rPr>
          <w:rFonts w:ascii="Times New Roman" w:cs="Times New Roman" w:eastAsia="Times New Roman" w:hAnsi="Times New Roman"/>
          <w:sz w:val="18"/>
          <w:szCs w:val="18"/>
          <w:color w:val="auto"/>
        </w:rPr>
      </w:pPr>
    </w:p>
    <w:p>
      <w:pPr>
        <w:ind w:left="500" w:hanging="168"/>
        <w:spacing w:after="0" w:line="266" w:lineRule="auto"/>
        <w:tabs>
          <w:tab w:leader="none" w:pos="4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yield—The dividend yield is based on the current expectations of dividend payouts. The Company does not anticipate paying any cash dividends in the foreseeable future.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 Stockholders' Equity and Equity-based Compensation” for further discussion on the valuation of these awards.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market risk exposure is changing interest rates. Interest rate risk is highly sensitive due to many factors, including United States monetary and tax policies, United States and international economic factors and other factors beyond our control. Under the new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 As of December 31, 2022, we had term loan borrowings of $85.0 million in principal amount under the Loan Agreement. Based on the amount outstanding, a 100 basis point increase or decrease in market interest rates over a twelve-month period would result in a change to interest expense of approximately $0.9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7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Number 248)</w:t>
            </w:r>
          </w:p>
        </w:tc>
        <w:tc>
          <w:tcPr>
            <w:tcW w:w="148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740" w:type="dxa"/>
            <w:vAlign w:val="bottom"/>
            <w:gridSpan w:val="8"/>
            <w:vMerge w:val="continue"/>
          </w:tcPr>
          <w:p>
            <w:pPr>
              <w:spacing w:after="0"/>
              <w:rPr>
                <w:sz w:val="15"/>
                <w:szCs w:val="15"/>
                <w:color w:val="auto"/>
              </w:rPr>
            </w:pPr>
          </w:p>
        </w:tc>
        <w:tc>
          <w:tcPr>
            <w:tcW w:w="14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20" w:type="dxa"/>
            <w:vAlign w:val="bottom"/>
            <w:tcBorders>
              <w:top w:val="single" w:sz="8" w:color="0000FF"/>
            </w:tcBorders>
            <w:gridSpan w:val="4"/>
          </w:tcPr>
          <w:p>
            <w:pPr>
              <w:spacing w:after="0"/>
              <w:rPr>
                <w:sz w:val="18"/>
                <w:szCs w:val="18"/>
                <w:color w:val="auto"/>
              </w:rPr>
            </w:pPr>
          </w:p>
        </w:tc>
        <w:tc>
          <w:tcPr>
            <w:tcW w:w="5520" w:type="dxa"/>
            <w:vAlign w:val="bottom"/>
            <w:gridSpan w:val="3"/>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920" w:type="dxa"/>
            <w:vAlign w:val="bottom"/>
            <w:gridSpan w:val="6"/>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Other Comprehensive Income/(Loss)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Changes in Member’s/Stockholders’ Equity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300" w:type="dxa"/>
            <w:vAlign w:val="bottom"/>
            <w:tcBorders>
              <w:top w:val="single" w:sz="8" w:color="0000FF"/>
            </w:tcBorders>
            <w:gridSpan w:val="4"/>
          </w:tcPr>
          <w:p>
            <w:pPr>
              <w:spacing w:after="0"/>
              <w:rPr>
                <w:sz w:val="18"/>
                <w:szCs w:val="18"/>
                <w:color w:val="auto"/>
              </w:rPr>
            </w:pPr>
          </w:p>
        </w:tc>
        <w:tc>
          <w:tcPr>
            <w:tcW w:w="45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580" w:type="dxa"/>
            <w:vAlign w:val="bottom"/>
            <w:gridSpan w:val="4"/>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0" w:type="dxa"/>
            <w:vAlign w:val="bottom"/>
          </w:tcPr>
          <w:p>
            <w:pPr>
              <w:spacing w:after="0"/>
              <w:rPr>
                <w:sz w:val="1"/>
                <w:szCs w:val="1"/>
                <w:color w:val="auto"/>
              </w:rPr>
            </w:pPr>
          </w:p>
        </w:tc>
      </w:tr>
      <w:tr>
        <w:trPr>
          <w:trHeight w:val="925"/>
        </w:trPr>
        <w:tc>
          <w:tcPr>
            <w:tcW w:w="9760" w:type="dxa"/>
            <w:vAlign w:val="bottom"/>
            <w:gridSpan w:val="9"/>
          </w:tcPr>
          <w:p>
            <w:pPr>
              <w:jc w:val="right"/>
              <w:ind w:right="4040"/>
              <w:spacing w:after="0"/>
              <w:rPr>
                <w:sz w:val="20"/>
                <w:szCs w:val="20"/>
                <w:color w:val="auto"/>
              </w:rPr>
            </w:pPr>
            <w:r>
              <w:rPr>
                <w:rFonts w:ascii="Times New Roman" w:cs="Times New Roman" w:eastAsia="Times New Roman" w:hAnsi="Times New Roman"/>
                <w:sz w:val="18"/>
                <w:szCs w:val="18"/>
                <w:color w:val="auto"/>
              </w:rPr>
              <w:t>61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AirSculpt Technologies, Inc.</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AirSculpt Technologies, Inc. (a Delaware corporation) and subsidiaries (the “Company”) as of December 31, 2022 and 2021, the related consolidated statements of operations, changes in member’s / stockholders’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2023</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December 31, 2022 and 2021</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($000s)</w:t>
            </w: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25,347</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operating lease assets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55,852</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81,734</w:t>
            </w:r>
          </w:p>
        </w:tc>
        <w:tc>
          <w:tcPr>
            <w:tcW w:w="0" w:type="dxa"/>
            <w:vAlign w:val="bottom"/>
          </w:tcPr>
          <w:p>
            <w:pPr>
              <w:spacing w:after="0"/>
              <w:rPr>
                <w:sz w:val="1"/>
                <w:szCs w:val="1"/>
                <w:color w:val="auto"/>
              </w:rPr>
            </w:pPr>
          </w:p>
        </w:tc>
      </w:tr>
      <w:tr>
        <w:trPr>
          <w:trHeight w:val="256"/>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200,759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200,554</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patient deposits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81,755</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117,026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10)</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 shares authorized - 450,000,000; shares issued and outstanding - 56,181,689</w:t>
            </w: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55,640,154, respectively</w:t>
            </w:r>
          </w:p>
        </w:tc>
        <w:tc>
          <w:tcPr>
            <w:tcW w:w="22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83,865</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83,528</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200,759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200,554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2021 and 2020</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$000s, except for shares and per share figures)</w:t>
            </w: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62,766</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 (exclusive of depreciation and amortization)</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23,471</w:t>
            </w:r>
          </w:p>
        </w:tc>
      </w:tr>
      <w:tr>
        <w:trPr>
          <w:trHeight w:val="26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23,621</w:t>
            </w:r>
          </w:p>
        </w:tc>
      </w:tr>
      <w:tr>
        <w:trPr>
          <w:trHeight w:val="27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w:t>
            </w:r>
          </w:p>
        </w:tc>
      </w:tr>
      <w:tr>
        <w:trPr>
          <w:trHeight w:val="27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long-lived assets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173,339</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117,547</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52,733</w:t>
            </w:r>
          </w:p>
        </w:tc>
      </w:tr>
      <w:tr>
        <w:trPr>
          <w:trHeight w:val="256"/>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(Loss)/income from operations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w:t>
            </w:r>
          </w:p>
        </w:tc>
      </w:tr>
      <w:tr>
        <w:trPr>
          <w:trHeight w:val="264"/>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w:t>
            </w:r>
          </w:p>
        </w:tc>
      </w:tr>
      <w:tr>
        <w:trPr>
          <w:trHeight w:val="256"/>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Pre-tax net (loss)/income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w:t>
            </w:r>
          </w:p>
        </w:tc>
      </w:tr>
      <w:tr>
        <w:trPr>
          <w:trHeight w:val="244"/>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Loss per share of common stock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7"/>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shares outstanding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55,684,701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55,640,154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55,684,701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55,640,154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 2021, basic and diluted weighted average shares outstanding and loss per share represent only the period from October 28, 2021 to December 31, 2021 (see Note 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Statements of Other Comprehensive Income/(Loss)</w:t>
      </w:r>
    </w:p>
    <w:p>
      <w:pPr>
        <w:spacing w:after="0" w:line="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331470</wp:posOffset>
            </wp:positionV>
            <wp:extent cx="29571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($000s)</w:t>
            </w:r>
          </w:p>
        </w:tc>
        <w:tc>
          <w:tcPr>
            <w:tcW w:w="36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5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w:t>
            </w: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(loss)/income</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Member's/Stockholders'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2021 and 2020</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($000s)</w:t>
            </w:r>
          </w:p>
        </w:tc>
        <w:tc>
          <w:tcPr>
            <w:tcW w:w="160" w:type="dxa"/>
            <w:vAlign w:val="bottom"/>
          </w:tcPr>
          <w:p>
            <w:pPr>
              <w:spacing w:after="0"/>
              <w:rPr>
                <w:sz w:val="2"/>
                <w:szCs w:val="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2"/>
                <w:szCs w:val="2"/>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Pr>
          <w:p>
            <w:pPr>
              <w:spacing w:after="0"/>
              <w:rPr>
                <w:sz w:val="17"/>
                <w:szCs w:val="17"/>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120,391</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120,391</w:t>
            </w: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123,676</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123,676</w:t>
            </w: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Activity prior to Reorganization and IPO</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(67,283)</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(67,283)</w:t>
            </w:r>
          </w:p>
        </w:tc>
        <w:tc>
          <w:tcPr>
            <w:tcW w:w="0" w:type="dxa"/>
            <w:vAlign w:val="bottom"/>
          </w:tcPr>
          <w:p>
            <w:pPr>
              <w:spacing w:after="0"/>
              <w:rPr>
                <w:sz w:val="1"/>
                <w:szCs w:val="1"/>
                <w:color w:val="auto"/>
              </w:rPr>
            </w:pPr>
          </w:p>
        </w:tc>
      </w:tr>
      <w:tr>
        <w:trPr>
          <w:trHeight w:val="229"/>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Effect of Reorganization and IPO</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Reorganization transaction</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53,466,241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Recognition of deferred tax liability</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connection with Reorganization</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Issuance of common stock in</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connection with the IPO, net of</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 of $10,372</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2,173,913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Activity subsequent to IPO</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55,640,154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83,528</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Issuance of common stock through</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 vesting</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541,535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8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0" w:type="dxa"/>
            <w:vAlign w:val="bottom"/>
          </w:tcPr>
          <w:p>
            <w:pPr>
              <w:spacing w:after="0"/>
              <w:rPr>
                <w:sz w:val="1"/>
                <w:szCs w:val="1"/>
                <w:color w:val="auto"/>
              </w:rPr>
            </w:pPr>
          </w:p>
        </w:tc>
      </w:tr>
      <w:tr>
        <w:trPr>
          <w:trHeight w:val="175"/>
        </w:trPr>
        <w:tc>
          <w:tcPr>
            <w:tcW w:w="3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Payment of taxes withheld through</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 equity-based compensation</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0" w:type="dxa"/>
            <w:vAlign w:val="bottom"/>
          </w:tcPr>
          <w:p>
            <w:pPr>
              <w:spacing w:after="0"/>
              <w:rPr>
                <w:sz w:val="1"/>
                <w:szCs w:val="1"/>
                <w:color w:val="auto"/>
              </w:rPr>
            </w:pPr>
          </w:p>
        </w:tc>
      </w:tr>
      <w:tr>
        <w:trPr>
          <w:trHeight w:val="23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56,181,689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2021 and 2020</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($000s)</w:t>
            </w: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(loss)/income to net cash provided by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 amortization of debt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modification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long-lived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receivable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and patient deposits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57"/>
        </w:trPr>
        <w:tc>
          <w:tcPr>
            <w:tcW w:w="6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r>
      <w:tr>
        <w:trPr>
          <w:trHeight w:val="250"/>
        </w:trPr>
        <w:tc>
          <w:tcPr>
            <w:tcW w:w="66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on term loan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on term loan,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IPO</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member</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taxes withheld through vested equity-based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financing activity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0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(27,257)</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r>
      <w:tr>
        <w:trPr>
          <w:trHeight w:val="250"/>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w:t>
            </w:r>
          </w:p>
        </w:tc>
      </w:tr>
      <w:tr>
        <w:trPr>
          <w:trHeight w:val="28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6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6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information: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member included in accrued expenses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AirSculpt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KEY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AirSculpt Technologies, Inc. (“AirSculpt” or the "Company"), was formed as a Delaware corporation on June 30, 2021. On October 28, 2021, AirSculpt completed an initial public offering (“IPO”) of 8,050,000 shares of common stock at an initial public offering price of $11.00 per share. Immediately following the IPO, AirSculpt’s total outstanding shares were 55,640,154. Pursuant to a reorganization (the “Reorganization”) among entities under common control immediately prior to the IPO, AirSculpt became a holding company with its principal asset being 100% of the ownership interests in EBS Intermediate Parent LLC. The Company's revenues are concentrated in the specialty, minimally invasive liposuction market. The operations of the Company prior to the IPO represent the predecessor to AirSculpt. The Company and its consolidated subsidiaries are referred to collectively in these consolidated financial statements as “we,” “our,” and “us.” Solely for convenience, some of the copyrights, trade names and trademarks referred to in these consolidated financial statements are listed without their </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8"/>
          <w:szCs w:val="18"/>
          <w:color w:val="auto"/>
        </w:rPr>
        <w:t xml:space="preserve"> and ™ symbols, but we will assert, to the fullest extent under applicable law, our rights to our copyrights, trade names and trademarks.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its wholly-owned subsidiaries, is a provider of practice management services to professional associations (“PAs”) located throughout the United States and Canada.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 Pursuant to the MSA, the PA is responsible for all clinical aspects of the medical operations of the practice.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present the financial position and results of operations of the Company, its wholly-owned subsidiaries, and the PAs, which are under the control of the Company and are considered variable interest entities in which the Company is the primary beneficiary.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accounts and transactions have been eliminated in consolidation.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variable interest in the managed PAs where it has a long-term and unilateral controlling financial interest over such PAs’ assets and operations. The Company has the ability to direct the activities that most significantly affect the PAs’ economic performance via the MSAs and related agreements. The Company is a practice management service organization and does not engage in the practice of medicine. These services are provided by licensed professionals at each of the PAs. Certain key features of the MSAs and related agreements enable the Company to assign the member interests of certain of the PAs to another member designated by the Company (i.e., “nominee shareholder”) for a nominal value in certain circumstances at the Company’s sole discretion. The MSA does not allow the Company to be involved in, or provide guidance on, the clinical operations of the PAs. The Company consolidates the PAs into the financial statements. All of the Company’s revenue is earned from services provided by the PAs. The only assets and liabilities held by the PAs included in the accompanying consolidated balance sheets are clinical related. The clinical assets and liabilities are not material to the Company as a whole.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Estimates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disclosure of contingent assets and liabilities as of the date of the consolidated financial statements and the reported amounts of revenues and expenses during the reporting period. Actual results could differ from those estimates.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Concentration of Credit Risk</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when purchased to be cash equivalents. The Company’s revenues are concentrated in the specialty, minimally invasive liposuction market.</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cash balances at financial institutions which may at times exceed the amount covered by the Federal Deposit Insurance Corporation. The Company has not experienced any losses in such accounts.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consists primarily of revenue earned for the provision of the Company’s patented AirSculpt®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The Company’s performance obligations are delivery of specialty, minimally invasive liposuction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assists patients, as needed, by providing third-party financing options to pay for procedures. The Company has arrangements with various financing companies to facilitate this option. There is a financing transaction fee based on a set percentage of the amount financed and are not contingent upon any criteria. The Company recognizes revenue based on the expected transaction price which is reduced for financing fees.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services is recognized when the service is performed. Payment is typically rendered in advance of the service. Customer contracts generally do not include more than one performance obligation.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policy is to require payment for services in advance. Payments received for services that have yet to be performed as of December 31, 2022 and December 31, 2021 are included in deferred revenue and patient deposits.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Service</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 is comprised of all service and product costs related to the delivery of procedures, including but not limited to compensation to doctors, nurses and clinical staff, supply costs, and facility rent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Financing Costs, Net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consolidated balance sheets. Total amortization of deferred financing costs was approximately $0.9 million, $0.6 million and $0.2 million for the twelve months ended December 31, 2022, 2021 and 2020, respectively. Amortization of loan costs and discounts is included as a component of interest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 Net</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of accounting over the assets’ estimated useful lives. Depreciation of leasehold improvements is based on the shorter of the estimated useful life of the improvement or the remaining lease term.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1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Right-of-use assets represent the right to use the underlying assets for the lease term and the lease liabilities represent the obligation to make lease payments arising from the leases. Right-of-use assets and liabilities are recognized at commencement date based on the present value of future lease payments over the lease term, which includes only payments that are fixed and determinable at the time of commencement. When readily determinable, the Company uses the interest rate implicit in a lease to determine the present value of future lease payments. For leases where the implicit rate is not readily determinable, the Company’s incremental borrowing rate is used. The Company calculates its incremental borrowing rate on a periodic basis using a third-party financial model that estimates the rate of interest the Company would have to pay to borrow an amount equal to the total lease payments on a collateralized basis over a term similar to the lease. The Company applies its incremental borrowing rate using a portfolio approach. The right-of-use assets also include any lease payments made prior to commencement and is recorded net of any lease incentives received. Lease terms may include options to extend or terminate the lease when it is reasonably certain that the Company will exercise such options.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and Intangible Assets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Indefinite-lived, non-amortizing intangible assets include goodwill. Goodwill represents the excess of the fair value of the consideration conveyed in the acquisition over the fair value of net assets acquired. Goodwill is not amortized but is evaluated annually for impairment or sooner if factors occur that would trigger an impairment review. Judgments regarding the existence of impairment indicators are based on market conditions and operational performance.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Definite-lived, amortizing intangible assets primarily consist of patents, tradenames and other intellectual property. The Company amortizes definite-lived identifiable intangible assets on a straight-line basis over their estimated useful life of 15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in a business combination. Goodwill is not amortized but evaluated for impairment at least annually at the reporting unit level or whenever events or changes in circumstances indicate that the value may not be recoverable. Events or changes in circumstances which could trigger an impairment review include significant adverse changes in the business climate, unanticipated competition, a loss of key personnel, or the strategy for the overall business, significant industry or economic trends, or significant underperformance relevant to expected historical or projected future results of operations.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is assessed for possible impairment by performing a qualitative analysis to determine if it is more likely than not that the fair value of a reporting unit is less than its carrying amount. If, after assessing the events or circumstances, the Company determines it is not more likely than not that the fair value of a reporting unit is less than its carrying amount, then additional impairment testing is not required. However, if the Company were to believe the fair value was more likely than not lower than the carrying value, then the Company is required to perform a quantitative analysis.</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quantitative analysis involves comparing the estimated fair value of a reporting unit with its respective book value, including goodwill. If the estimated fair value exceeds book value, goodwill is considered not to be impaired and no additional steps are necessary. If, however, the fair value of the reporting unit is less than its book value, then the carrying amount of the goodwill is reduced by recording an impairment loss in an amount equal to the excess. The Company reviews goodwill for impairment annually on October 1.</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2—Goodwill and Intangibles, Net” for further discussion.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impairment of long-lived assets in accordance with the provisions of the Financial Accounting Standards Board (“FASB”) Accounting Standards Codification (“ASC”) Topic 360,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This standard requires that long-lived assets and certain 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recognized for the twelve months ended December 31, 2022, 2021 and 2020.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s, defines fair value, establishes a framework for measuring fair value in accordance with accounting principles generally accepted in the United States, and expands disclosure requirements about fair value measurements.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ASC Topic 820 defines three categories for the classification and measurement of assets and liabilities carried at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or observable inputs that are corroborated by market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reflecting the reporting entity’s own assumptions.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net income/(loss) attributable to AirSculpt Technologies, Inc. for the twelve months ended December 31, 2022 and 2021 by the weighted-average number of shares of common stock outstanding during the same period. Diluted earnings per share of common stock is computed by dividing net income/(loss) attributable to AirSculpt Technologies, Inc. for the twelve months ended December 31, 2022 and 2021 by the weighted-average number of shares of common stock adjusted to give effect to potentially dilutive securities. Where the inclusion of potentially dilutive shares would be antidilutive, diluted loss per share equals basic loss per share.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IPO, the EBS Intermediate Parent, LLC structure included only LLC common units. As a result, the Company does not believe earnings per share to be a meaningful presentation in the accompanying consolidated financial statements for the periods of 2021 prior to the IPO and for the twelve months ended December 31,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are expensed in the period when the costs are incurred and are included as a component of selling, general and administrative expenses. Advertising expenses were approximately $20.6 million, $14.8 million and $7.0 million for the twelve months ended December 31, 2022, 2021 and 2020,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Reorganization, the Company was organized as a limited liability company and had elected to be treated as a partnership for federal and state income tax purposes. Accordingly, the tax consequences of the Company’s profits and losses were passed through to the members of the Company and were reported in their respective income tax returns. Therefore, historically no provision for income taxes has been provided in the accompanying consolidated financial statements for the periods prior to the Reorganization.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Reorganization, the Company became subject to taxation as a C corporation for periods after October 28, 2021.</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the provisions of ASC 740-10, </w:t>
      </w:r>
      <w:r>
        <w:rPr>
          <w:rFonts w:ascii="Times New Roman" w:cs="Times New Roman" w:eastAsia="Times New Roman" w:hAnsi="Times New Roman"/>
          <w:sz w:val="18"/>
          <w:szCs w:val="18"/>
          <w:i w:val="1"/>
          <w:iCs w:val="1"/>
          <w:color w:val="auto"/>
        </w:rPr>
        <w:t>Accounting for Uncertain Tax Positions</w:t>
      </w:r>
      <w:r>
        <w:rPr>
          <w:rFonts w:ascii="Times New Roman" w:cs="Times New Roman" w:eastAsia="Times New Roman" w:hAnsi="Times New Roman"/>
          <w:sz w:val="18"/>
          <w:szCs w:val="18"/>
          <w:color w:val="auto"/>
        </w:rPr>
        <w:t xml:space="preserve"> (“ASC 740-10”). Under these provisions, companies must determine and assess all material positions existing as of the reporting date, including all significant uncertain positions, for all tax years that are open to assessment or challenge under tax statutes. Additionally, those positions that have only timing consequences are analyzed and separated based on ASC 740-10’s recognition and measurement model.</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740-10 provides guidance related to uncertain tax positions for pass-through entities and tax-exempt not-for profit entities. ASC 740-10 also modifies disclosure requirements related to uncertain tax positions for nonpublic entities and provides that all entities are subject to ASC 740-10 even if the only tax position in question is the entity’s status as a pass-through.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required by the uncertain tax position guidance,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condensed consolidated financial statements is the largest benefit that has a greater than 50 percent likelihood of being realized upon ultimate settlement with the relevant tax authority. The Company applied the uncertain tax position guidance to all tax positions for which the statute of limitations remained open and determined that there are no uncertain tax positions as of December 31, 2022 or December 31, 2021. The Company is not subject to U.S. federal tax examination prior to 2021, when it was formed.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effective tax rates of approximately (29.9)% and 3.0% for the twelve months ended December 31, 2022 and 2021, respectively, inclusive of all applicable U.S. federal and state income taxes. Prior to the Reorganization, the Company was not subject to federal taxation.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GOODWILL AND INTANGIBLES, NET</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 2018, EBS Intermediate acquired a controlling interest in EBS Enterprises, LLC in exchange for total consideration of $151.0 million. The fair value of the net identifiable assets at transaction date was $69.3 million, comprised primarily of $17.7 million in intangible assets related to the AirSculpt and Elite trademarks and tradenames and $53.6 million in intangible assets related to the AirSculpt technology and know-how. The resulting excess consideration over fair value of identifiable net assets was recorded to goodwill in the amount of $81.7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 review of goodwill impairment was performed in October 2022 using a qualitative analysis and the Company determined that a quantitative analysis was not required. There were no triggering events during the years ended December 31, 2022, 2021 and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goodwill of $81.7 million at December 31, 2022 and December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December 31, 2022 and December 31, 2021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95"/>
        </w:trPr>
        <w:tc>
          <w:tcPr>
            <w:tcW w:w="6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8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know-how</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53,600</w:t>
            </w:r>
          </w:p>
        </w:tc>
        <w:tc>
          <w:tcPr>
            <w:tcW w:w="158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9"/>
              </w:rPr>
              <w:t>15 years</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580" w:type="dxa"/>
            <w:vAlign w:val="bottom"/>
            <w:tcBorders>
              <w:bottom w:val="single" w:sz="8" w:color="CCEEFF"/>
            </w:tcBorders>
          </w:tcPr>
          <w:p>
            <w:pPr>
              <w:jc w:val="center"/>
              <w:ind w:left="16"/>
              <w:spacing w:after="0"/>
              <w:rPr>
                <w:sz w:val="20"/>
                <w:szCs w:val="20"/>
                <w:color w:val="auto"/>
              </w:rPr>
            </w:pPr>
            <w:r>
              <w:rPr>
                <w:rFonts w:ascii="Times New Roman" w:cs="Times New Roman" w:eastAsia="Times New Roman" w:hAnsi="Times New Roman"/>
                <w:sz w:val="18"/>
                <w:szCs w:val="18"/>
                <w:color w:val="auto"/>
                <w:w w:val="99"/>
              </w:rPr>
              <w:t>15 years</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71,300</w:t>
            </w: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 of technology and know-how</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 of tradenames and trademarks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51,099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55,852</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amortization expense on intangible assets was approximately $4.8 million for each of the years ended December 31, 2022, 2021, and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aggregate amortization expense on intangible assets for each of the next five years and thereafter is estimated to be as follows (in 000’s):</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2022 and December 31, 2021 property and equipment consists of the following: (in 000’s):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2260" w:hanging="987"/>
        <w:spacing w:after="0"/>
        <w:tabs>
          <w:tab w:leader="none" w:pos="22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4,753</w:t>
      </w:r>
    </w:p>
    <w:p>
      <w:pPr>
        <w:spacing w:after="0" w:line="38" w:lineRule="exact"/>
        <w:rPr>
          <w:rFonts w:ascii="Times New Roman" w:cs="Times New Roman" w:eastAsia="Times New Roman" w:hAnsi="Times New Roman"/>
          <w:sz w:val="17"/>
          <w:szCs w:val="17"/>
          <w:color w:val="auto"/>
        </w:rPr>
      </w:pPr>
    </w:p>
    <w:p>
      <w:pPr>
        <w:ind w:left="2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4,753</w:t>
      </w:r>
    </w:p>
    <w:p>
      <w:pPr>
        <w:spacing w:after="0" w:line="34" w:lineRule="exact"/>
        <w:rPr>
          <w:rFonts w:ascii="Times New Roman" w:cs="Times New Roman" w:eastAsia="Times New Roman" w:hAnsi="Times New Roman"/>
          <w:sz w:val="17"/>
          <w:szCs w:val="17"/>
          <w:color w:val="auto"/>
        </w:rPr>
      </w:pPr>
    </w:p>
    <w:p>
      <w:pPr>
        <w:ind w:left="2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4,753</w:t>
      </w:r>
    </w:p>
    <w:p>
      <w:pPr>
        <w:spacing w:after="0" w:line="34" w:lineRule="exact"/>
        <w:rPr>
          <w:rFonts w:ascii="Times New Roman" w:cs="Times New Roman" w:eastAsia="Times New Roman" w:hAnsi="Times New Roman"/>
          <w:sz w:val="17"/>
          <w:szCs w:val="17"/>
          <w:color w:val="auto"/>
        </w:rPr>
      </w:pPr>
    </w:p>
    <w:p>
      <w:pPr>
        <w:ind w:left="2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4,753</w:t>
      </w:r>
    </w:p>
    <w:p>
      <w:pPr>
        <w:spacing w:after="0" w:line="34" w:lineRule="exact"/>
        <w:rPr>
          <w:rFonts w:ascii="Times New Roman" w:cs="Times New Roman" w:eastAsia="Times New Roman" w:hAnsi="Times New Roman"/>
          <w:sz w:val="17"/>
          <w:szCs w:val="17"/>
          <w:color w:val="auto"/>
        </w:rPr>
      </w:pPr>
    </w:p>
    <w:p>
      <w:pPr>
        <w:ind w:left="2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4,753</w:t>
      </w:r>
    </w:p>
    <w:p>
      <w:pPr>
        <w:spacing w:after="0" w:line="3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27,334</w:t>
      </w:r>
    </w:p>
    <w:p>
      <w:pPr>
        <w:spacing w:after="0" w:line="43" w:lineRule="exact"/>
        <w:rPr>
          <w:sz w:val="20"/>
          <w:szCs w:val="20"/>
          <w:color w:val="auto"/>
        </w:rPr>
      </w:pPr>
    </w:p>
    <w:p>
      <w:pPr>
        <w:ind w:left="2180" w:hanging="907"/>
        <w:spacing w:after="0"/>
        <w:tabs>
          <w:tab w:leader="none" w:pos="21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50165</wp:posOffset>
            </wp:positionV>
            <wp:extent cx="9429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December 31,</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19" w:lineRule="exact"/>
        <w:rPr>
          <w:sz w:val="20"/>
          <w:szCs w:val="20"/>
          <w:color w:val="auto"/>
        </w:rPr>
      </w:pPr>
    </w:p>
    <w:p>
      <w:pPr>
        <w:ind w:left="280"/>
        <w:spacing w:after="0"/>
        <w:tabs>
          <w:tab w:leader="none" w:pos="18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15" w:lineRule="exact"/>
        <w:rPr>
          <w:sz w:val="20"/>
          <w:szCs w:val="20"/>
          <w:color w:val="auto"/>
        </w:rPr>
      </w:pPr>
    </w:p>
    <w:p>
      <w:pPr>
        <w:sectPr>
          <w:pgSz w:w="11900" w:h="16838" w:orient="portrait"/>
          <w:cols w:equalWidth="0" w:num="2">
            <w:col w:w="8040" w:space="460"/>
            <w:col w:w="2740"/>
          </w:cols>
          <w:pgMar w:left="320" w:top="513"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equipment</w:t>
            </w: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w:t>
            </w:r>
          </w:p>
        </w:tc>
        <w:tc>
          <w:tcPr>
            <w:tcW w:w="100" w:type="dxa"/>
            <w:vAlign w:val="bottom"/>
            <w:tcBorders>
              <w:top w:val="single" w:sz="8" w:color="CCEEFF"/>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approximately $3.3 million, $1.8 million, and $0.9 million for the years ended December 31, 2022, 2021, and 2020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2018, the Company entered into a credit agreement (the “Credit Agreement”) with a lender. Under the terms of the Credit Agreement, we obtained a $34.0 million term loan. In May 2021, the Company amended the Credit Agreement by adding an incremental $52.0 million senior secured term loan, resulting in an $85.0 million term loan in aggregate. The proceeds from this loan plus excess cash on the balance sheet were used to pay a distribution to EBS Parent, LLC (the "Parent") of approximately $59.7 million and the related fees for this transaction. Beginning on June 30, 2021, the quarterly principal payments increased from $100,000 to $212,500.</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11, 2022 the Company amended the Credit Agreement to provide for (i) the payment of cash dividends in an amount not to exceed $23.0 million on or prior to September 30, 2022 and (ii) the payment of cash dividends in an amount not to exceed $2.0 million with respect to securities that are not vested at the time such cash dividend is paid. In doing so, the Company incurred an amendment fee of $0.2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7, 2022, the Company entered into a new credit agreement with a syndicate of lenders (the "new Credit Agreement") maturing November 7, 2027. Pursuant to the new Credit Agreement, there is (i) an $85.0 million aggregate principal amount of term loans and (ii) a revolving loan facility in an aggregate principal amount of up to $5.0 million. The proceeds were used, in part, to pay off the Company’s $83.6 million outstanding principal balance under its existing credit facility. In doing so, the Company recognized a loss on debt extinguishment of $0.9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new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borrowings as of December 31, 2022 and December 31, 2021 were as follows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 net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83,545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81,420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As of December 31, 2022 and 2021, the Company had $5.0 million available on the revolving credit facility.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scheduled future maturities of long-term debt as of December 31, 2022 is as follows (in 000’s):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70,125</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maturities</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borrowings under the new Credit Agreement are cross collateralized by substantially all assets of the Company and are subject to certain restrictive covenants including quarterly total leverage ratio and fixed charge ratio requirements. The Company is in compliance with all covenants and has no letter of credit outstanding as of December 31, 2022 and 2021.</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leases are primarily for real estate, including medical office suites and corporate offices. For the twelve months ended December 31, 2022, 2021, and 2020, the Company incurred rent expense of $4.5 million, $3.3 million, and $2.8 million, respectively, related to its medical office suites. The Company’s rent expense related to its medical office suites is classified in cost of services within the Company’s consolidated statements of operations. The Company incurred rent expense of $323,000, $92,000, and $143,000 for the twelve months ended December 31, 2022, 2021, and 2020, respectively, related to the corporate offices which is classified in selling, general and administrative expenses. The Company currently does not have any finance leases.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weighted-average lease terms and discount rates at December 31, 2022, 2021, and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48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4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 years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 years</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 years</w:t>
            </w: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 average discount rate</w:t>
            </w:r>
          </w:p>
        </w:tc>
        <w:tc>
          <w:tcPr>
            <w:tcW w:w="148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1460" w:type="dxa"/>
            <w:vAlign w:val="bottom"/>
          </w:tcPr>
          <w:p>
            <w:pPr>
              <w:jc w:val="right"/>
              <w:ind w:right="459"/>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41148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for the twelve months ended December 31, 2022, 2021, and 2020 (in 000’s):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rental payments under all non-cancellable operating lease agreements for the succeeding five years are as follows, excluding common area maintenance charges that may be required by the agreements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1893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w:t>
            </w:r>
          </w:p>
        </w:tc>
      </w:tr>
      <w:tr>
        <w:trPr>
          <w:trHeight w:val="25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31,096</w:t>
            </w:r>
          </w:p>
        </w:tc>
      </w:tr>
      <w:tr>
        <w:trPr>
          <w:trHeight w:val="25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w:t>
            </w:r>
          </w:p>
        </w:tc>
      </w:tr>
      <w:tr>
        <w:trPr>
          <w:trHeight w:val="256"/>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24,101</w:t>
            </w:r>
          </w:p>
        </w:tc>
      </w:tr>
      <w:tr>
        <w:trPr>
          <w:trHeight w:val="21"/>
        </w:trPr>
        <w:tc>
          <w:tcPr>
            <w:tcW w:w="9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 AND EQUITY-BASED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IPO and Reorganization, AirSculpt established the 2021 Equity Incentive Plan. The Company may issue a maximum of 5,564,015 shares under the 2021 Equity Incentive Plan. This amount will automatically increase on January 1 of each year for a period of ten years starting on January 1, 2023, in an amount equal to the lesser of (i) four percent of the total Common Stock outstanding on December 31 of the preceding year and (ii) such smaller number of shares as determined by the Company’s Board. Under the 2021 Equity Incentive Plan, 3,950,450 stock units were awarded to</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AirSculpt’s executive officers and directors and 728,880 stock units were awarded to employees on November 4, 2021 and November 10, 2021, respectively. These stock units were granted in the form of RSUs and PSUs.</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During the twelve months ended December 31, 2022, the Company granted 216,421 RSUs to certain officers, employees and non-employee directors in accordance with the 2021 Plan. Vesting and payment of these RSUs are generally subject to continuing service of the employee or non-employee director over the ratable vesting periods beginning one year from the date of grant to one or three years after the date of grant. The fair values of these RSUs were determined based on the closing price of the Company’s common stock on the trading date immediately prior to the grant date. These RSUs are not considered outstanding until vested.</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During the twelve months ended December 31, 2022, the Company granted 38,775 PSUs subject to the achievement of a combination of performance conditions. In addition to the achievement of the performance conditions, these PSUs are generally subject to the continuing service of the employee over the ratable vesting period from the earned date continuing through the settlement of the shares. For these PSUs, the shares settle in the first quarter of the year following the year in which the vesting criteria is met. The performance criteria is based on the Company’s actual performance condition results as compared to the targets. These PSUs are not considered outstanding until settled.</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twelve months ended December 31, 2021, the Company granted 973,703 PSUs subject to the achievement of certain market-based conditions. The vesting is based on achievement of a specified 60-day volume weighted average share price (“VWAP”) in relation to a specified base price in the award agreement. These awards are structured with one-third vesting at 120% VWAP, one-third vesting at 145% VWAP and the final one-third vesting at 175% VWAP.</w:t>
      </w:r>
    </w:p>
    <w:p>
      <w:pPr>
        <w:spacing w:after="0" w:line="19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twelve months ended December 31, 2022, the Company granted 103,936 PSUs subject to the achievement of market-based conditions ("market-based PSUs"). The vesting is based on achievement of a total shareholder return relative to a specified peer group (“rTSR”). Based on the rTSR, the awards can settle in shares in a range from 0% to 200%.</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Determining the fair value of the market-based PSU awards requires judgment. The Company uses a Monte Carlo simulation model to estimate the fair value of the market-based PSU awards. The assumptions used in this pricing model requires the input of subjective assumptions and are as follows:</w:t>
      </w:r>
    </w:p>
    <w:p>
      <w:pPr>
        <w:spacing w:after="0" w:line="81" w:lineRule="exact"/>
        <w:rPr>
          <w:sz w:val="20"/>
          <w:szCs w:val="20"/>
          <w:color w:val="auto"/>
        </w:rPr>
      </w:pPr>
    </w:p>
    <w:p>
      <w:pPr>
        <w:ind w:left="500" w:hanging="168"/>
        <w:spacing w:after="0" w:line="282" w:lineRule="auto"/>
        <w:tabs>
          <w:tab w:leader="none" w:pos="4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volatility—Expected volatility is based on historical volatilities of a publicly traded peer group based on daily price observations over a period equivalent to the expected term of the market-based PSU awards.</w:t>
      </w:r>
    </w:p>
    <w:p>
      <w:pPr>
        <w:spacing w:after="0" w:line="40"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term—The term is estimated in consideration of the time period expected to achieve the performance.</w:t>
      </w:r>
    </w:p>
    <w:p>
      <w:pPr>
        <w:spacing w:after="0" w:line="103" w:lineRule="exact"/>
        <w:rPr>
          <w:rFonts w:ascii="Times New Roman" w:cs="Times New Roman" w:eastAsia="Times New Roman" w:hAnsi="Times New Roman"/>
          <w:sz w:val="18"/>
          <w:szCs w:val="18"/>
          <w:color w:val="auto"/>
        </w:rPr>
      </w:pPr>
    </w:p>
    <w:p>
      <w:pPr>
        <w:ind w:left="500" w:hanging="168"/>
        <w:spacing w:after="0" w:line="282" w:lineRule="auto"/>
        <w:tabs>
          <w:tab w:leader="none" w:pos="4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rate—The risk-free interest rate is based on the U.S. Treasury yield of treasury bonds with a maturity that approximates the expected term of the market-based PSU awards.</w:t>
      </w:r>
    </w:p>
    <w:p>
      <w:pPr>
        <w:spacing w:after="0" w:line="40" w:lineRule="exact"/>
        <w:rPr>
          <w:rFonts w:ascii="Times New Roman" w:cs="Times New Roman" w:eastAsia="Times New Roman" w:hAnsi="Times New Roman"/>
          <w:sz w:val="18"/>
          <w:szCs w:val="18"/>
          <w:color w:val="auto"/>
        </w:rPr>
      </w:pPr>
    </w:p>
    <w:p>
      <w:pPr>
        <w:ind w:left="500" w:hanging="168"/>
        <w:spacing w:after="0" w:line="266" w:lineRule="auto"/>
        <w:tabs>
          <w:tab w:leader="none" w:pos="4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yield—The dividend yield is based on the current expectations of dividend payouts. The Company does not anticipate paying any cash dividends in the foreseeable future.</w:t>
      </w:r>
    </w:p>
    <w:p>
      <w:pPr>
        <w:spacing w:after="0" w:line="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assumptions that were used to calculate the fair value of the market-based PSU awards granted during the twelve months ended December 31, 2022 and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40" w:type="dxa"/>
            <w:vAlign w:val="bottom"/>
            <w:gridSpan w:val="2"/>
          </w:tcPr>
          <w:p>
            <w:pPr>
              <w:ind w:left="86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Pr>
          <w:p>
            <w:pPr>
              <w:spacing w:after="0"/>
              <w:rPr>
                <w:sz w:val="16"/>
                <w:szCs w:val="16"/>
                <w:color w:val="auto"/>
              </w:rPr>
            </w:pPr>
          </w:p>
        </w:tc>
        <w:tc>
          <w:tcPr>
            <w:tcW w:w="12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0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82.4 %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66.0 %</w:t>
            </w:r>
          </w:p>
        </w:tc>
      </w:tr>
      <w:tr>
        <w:trPr>
          <w:trHeight w:val="23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1.72 %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0.84 %</w:t>
            </w:r>
          </w:p>
        </w:tc>
      </w:tr>
      <w:tr>
        <w:trPr>
          <w:trHeight w:val="234"/>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50920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092065" cy="8890"/>
                    </a:xfrm>
                    <a:prstGeom prst="rect">
                      <a:avLst/>
                    </a:prstGeom>
                    <a:noFill/>
                  </pic:spPr>
                </pic:pic>
              </a:graphicData>
            </a:graphic>
          </wp:anchor>
        </w:drawing>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the PSUs not subject to a market conditions were determined based on the closing price of the Company’s common stock on the trading date immediately prior to the grant date.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and Performance Equity-Based Activity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RSU and PSU activity for the twelve months ended December 31, 2022 and 2021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2"/>
        </w:trPr>
        <w:tc>
          <w:tcPr>
            <w:tcW w:w="81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40" w:type="dxa"/>
            <w:vAlign w:val="bottom"/>
          </w:tcPr>
          <w:p>
            <w:pPr>
              <w:spacing w:after="0"/>
              <w:rPr>
                <w:sz w:val="14"/>
                <w:szCs w:val="14"/>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Fair Value of</w:t>
            </w:r>
          </w:p>
        </w:tc>
      </w:tr>
      <w:tr>
        <w:trPr>
          <w:trHeight w:val="204"/>
        </w:trPr>
        <w:tc>
          <w:tcPr>
            <w:tcW w:w="81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7"/>
                <w:szCs w:val="17"/>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4,679,330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4,673,766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2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3,526,634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51860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8604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 pertaining to equity-based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30, 2022, Ronald Zelhof, the Chief Operating Officer, entered into a Separation and General Release Agreement (“Separation Agreement”) with the Company. In connection with confirming that certain restrictive covenants remain in effect, Mr. Zelhof was entitled to remain eligible to earn PSUs through March 31, 2024 and a partial accelerated vesting for 176,388 RSUs. In connection with the Separation Agreement, the Company recognized an additional $2.1 million in stock compensation during the twelve months ended December 31, 2022.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equity-based compensation expense of $29.5 million, $7.2 million, and $0.3 million for the twelve months ended December 31, 2022, 2021, and 2020, respectively, in selling, general and administrative expenses on the consolidated statements of operations. Forfeitures are recognized as incurred.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Unrecognized compensation cost related to unvested time-based shares was approximately $17.6 million and $33.2 million for the twelve months ended December 31, 2022 and 2021, respectively. Unrecognized compensation cost will be expensed annually based on the number of shares that vest during the year. Further, the Company has unrecognized compensation cost of $12.1 million and $29.1 million related to the PSUs for the twelve months ended December 31, 2022 and 2021, respectively, which will be recognized on a graded vesting basis over the requisite service period when it is probable the performance condition will be achieved.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10, 2022, the board of directors of the Company approved a $0.41 per share special cash dividend. The dividend was paid on September 14, 2022, to shareholders of record at the close of business on August 26, 2022. Cash dividends paid totaled $23.2 million for the twelve months ended December 31, 2022. The Company's unvested stock units participate in dividends and as such, the Company had $1.5 million in dividends payable as of December 31, 2022, of which $0.5 million is current.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distributions to the Parent of approximately $1.2 million, $66.9 million, and $4.6 million for the twelve months ended December 31, 2022, 2021, and 2020,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EARNINGS PER SHARE</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net income/loss attributable to AirSculpt Technologies, Inc. for the twelve months ended December 31, 2022 by the weighted-average number of shares of common stock outstanding during the same period. Diluted earnings per share of common stock is computed by dividing net income/loss attributable to AirSculpt Technologies, Inc. for the twelve months ended December 31, 2022 by the weighted-average number of shares of common stock adjusted to give effect to potentially dilutive securities. Where the inclusion of potentially dilutive shares would be antidilutive, diluted loss per share equals basic loss per share.</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IPO, the EBS Intermediate Parent, LLC structure included only LLC common units issued and outstanding to pre-IPO LLC members. The Company analyzed the calculation of earnings per unit for periods prior to the IPO and determined that it resulted in values that would not be meaningful to the users of these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Therefore, earnings per share information has not been presented for periods prior to the IPO on October 28, 2021. Thus, the basic and diluted earnings (loss) per share represent only the period from October 28, 2021 to December 31, 2021.</w:t>
      </w:r>
    </w:p>
    <w:p>
      <w:pPr>
        <w:spacing w:after="0" w:line="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loss per share of common stock is as follows (in 000’s except for shares and per share figures):</w:t>
      </w:r>
    </w:p>
    <w:p>
      <w:pPr>
        <w:spacing w:after="0" w:line="13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8"/>
          <w:szCs w:val="18"/>
          <w:b w:val="1"/>
          <w:bCs w:val="1"/>
          <w:color w:val="auto"/>
        </w:rPr>
        <w:t>Fiscal Year Ended</w:t>
      </w:r>
    </w:p>
    <w:p>
      <w:pPr>
        <w:spacing w:after="0" w:line="6"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EBS Intermediate Parent, LLC prior to Reorganization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AirSculpt Technologies, Inc.</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shares of common stock outstanding - basic</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55,684,701</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55,640,154</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Add: Effect of dilutive securities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 average shares of common stock outstanding - diluted</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55,684,701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55,640,154</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 of common stock outstanding -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-1362710</wp:posOffset>
            </wp:positionV>
            <wp:extent cx="52463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46370" cy="8890"/>
                    </a:xfrm>
                    <a:prstGeom prst="rect">
                      <a:avLst/>
                    </a:prstGeom>
                    <a:noFill/>
                  </pic:spPr>
                </pic:pic>
              </a:graphicData>
            </a:graphic>
          </wp:anchor>
        </w:drawing>
      </w:r>
    </w:p>
    <w:p>
      <w:pPr>
        <w:spacing w:after="0" w:line="2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Basic and diluted weighted average shares outstanding and loss per share for 2021 represent only the period from October 28, 2021 to December 31, 2021</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number of potentially dilutive shares were excluded from the calculation of diluted loss per share because the effect of including such potentially dilutive shares would have been antidilutive.</w:t>
      </w:r>
    </w:p>
    <w:p>
      <w:pPr>
        <w:spacing w:after="0" w:line="124"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8"/>
          <w:szCs w:val="18"/>
          <w:b w:val="1"/>
          <w:bCs w:val="1"/>
          <w:color w:val="auto"/>
        </w:rPr>
        <w:t>Fiscal Year Ended</w:t>
      </w: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7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1,367,558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2,364,703</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market-based stock units</w:t>
            </w:r>
          </w:p>
        </w:tc>
        <w:tc>
          <w:tcPr>
            <w:tcW w:w="17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2,159,076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52463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46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Reorganization and IPO, EBS Intermediate was structured as a partnership and therefore, was subject to certain LLC entity-level taxes but generally not subject to U.S. federal and state income taxes. As part of the Reorganization Transactions described in Note 1, the Company created a C Corporation, and is now subject to U.S. federal and state taxes.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income tax expense were as follows (in 000’s):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56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6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1400" w:type="dxa"/>
            <w:vAlign w:val="bottom"/>
            <w:tcBorders>
              <w:bottom w:val="single" w:sz="8" w:color="3D5588"/>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3D5588"/>
            </w:tcBorders>
          </w:tcPr>
          <w:p>
            <w:pPr>
              <w:spacing w:after="0"/>
              <w:rPr>
                <w:sz w:val="16"/>
                <w:szCs w:val="16"/>
                <w:color w:val="auto"/>
              </w:rPr>
            </w:pPr>
          </w:p>
        </w:tc>
        <w:tc>
          <w:tcPr>
            <w:tcW w:w="1500" w:type="dxa"/>
            <w:vAlign w:val="bottom"/>
            <w:tcBorders>
              <w:bottom w:val="single" w:sz="8" w:color="3D5588"/>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3D5588"/>
            </w:tcBorders>
          </w:tcPr>
          <w:p>
            <w:pPr>
              <w:spacing w:after="0"/>
              <w:rPr>
                <w:sz w:val="16"/>
                <w:szCs w:val="16"/>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1400" w:type="dxa"/>
            <w:vAlign w:val="bottom"/>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500" w:type="dxa"/>
            <w:vAlign w:val="bottom"/>
          </w:tcPr>
          <w:p>
            <w:pPr>
              <w:jc w:val="right"/>
              <w:ind w:right="12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1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5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1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1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1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5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(benefit) expense</w:t>
            </w:r>
          </w:p>
        </w:tc>
        <w:tc>
          <w:tcPr>
            <w:tcW w:w="1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5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500" w:type="dxa"/>
            <w:vAlign w:val="bottom"/>
            <w:tcBorders>
              <w:bottom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-1379220</wp:posOffset>
            </wp:positionV>
            <wp:extent cx="44748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income taxes computed at the U.S. federal statutory income tax rate of 21% to the Company’s income tax (expense) was as follows:</w:t>
      </w:r>
    </w:p>
    <w:p>
      <w:pPr>
        <w:spacing w:after="0" w:line="17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3D5588"/>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00" w:type="dxa"/>
            <w:vAlign w:val="bottom"/>
            <w:tcBorders>
              <w:top w:val="single" w:sz="8" w:color="auto"/>
              <w:bottom w:val="single" w:sz="8" w:color="3D5588"/>
            </w:tcBorders>
          </w:tcPr>
          <w:p>
            <w:pPr>
              <w:spacing w:after="0"/>
              <w:rPr>
                <w:sz w:val="18"/>
                <w:szCs w:val="18"/>
                <w:color w:val="auto"/>
              </w:rPr>
            </w:pPr>
          </w:p>
        </w:tc>
        <w:tc>
          <w:tcPr>
            <w:tcW w:w="1800" w:type="dxa"/>
            <w:vAlign w:val="bottom"/>
            <w:tcBorders>
              <w:top w:val="single" w:sz="8" w:color="auto"/>
              <w:bottom w:val="single" w:sz="8" w:color="3D5588"/>
            </w:tcBorders>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U.S. Federal statutory tax rate</w:t>
            </w:r>
          </w:p>
        </w:tc>
        <w:tc>
          <w:tcPr>
            <w:tcW w:w="1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21.0 %</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income taxes</w:t>
            </w: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(7.3)%</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30"/>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Pass-through income</w:t>
            </w:r>
          </w:p>
        </w:tc>
        <w:tc>
          <w:tcPr>
            <w:tcW w:w="13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Nondeductible Reorganization and IPO costs</w:t>
            </w:r>
          </w:p>
        </w:tc>
        <w:tc>
          <w:tcPr>
            <w:tcW w:w="1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30"/>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13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(38.8)%</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Valuation allowance and other nondeductible expenses</w:t>
            </w:r>
          </w:p>
        </w:tc>
        <w:tc>
          <w:tcPr>
            <w:tcW w:w="1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(4.8)%</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43"/>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(29.9)%</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421767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1767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42176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rates for the fiscal years ended December 31, 2022 and 2021 were (29.9)% and 3.0%. The most significant items impacting the effective tax rate during fiscal years 2022 and 2021 are due to the Reorganization, non-deductible officer compensation expense, and the items below.</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Pass-through income</w:t>
      </w:r>
    </w:p>
    <w:p>
      <w:pPr>
        <w:spacing w:after="0" w:line="1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Reorganization, EBS Intermediate Parent, LLC was the reporting entity, which is treated as a flow-through entity for federal income tax purposes. The income or losses generated were not taxed at the LLC level. As required by U.S. tax law, income or loss generated by the LLC flows through to various partners of the LLC. The tax impact of the pre-tax book income attributable to EBS Intermediate Parent, LLC prior to the execution of the reorganization and IPO was $(2.4) million for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deferred tax assets (liabilities) consisted of the following (in 000’s):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tcPr>
          <w:p>
            <w:pPr>
              <w:spacing w:after="0"/>
              <w:rPr>
                <w:sz w:val="16"/>
                <w:szCs w:val="16"/>
                <w:color w:val="auto"/>
              </w:rPr>
            </w:pPr>
          </w:p>
        </w:tc>
      </w:tr>
      <w:tr>
        <w:trPr>
          <w:trHeight w:val="23"/>
        </w:trPr>
        <w:tc>
          <w:tcPr>
            <w:tcW w:w="71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71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128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operating loss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30"/>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bonus depreciation</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163(j) limitation</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r>
      <w:tr>
        <w:trPr>
          <w:trHeight w:val="229"/>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230"/>
        </w:trPr>
        <w:tc>
          <w:tcPr>
            <w:tcW w:w="7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w:t>
            </w: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r>
      <w:tr>
        <w:trPr>
          <w:trHeight w:val="230"/>
        </w:trPr>
        <w:tc>
          <w:tcPr>
            <w:tcW w:w="7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6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w:t>
            </w:r>
          </w:p>
        </w:tc>
      </w:tr>
      <w:tr>
        <w:trPr>
          <w:trHeight w:val="223"/>
        </w:trPr>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28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w:t>
            </w:r>
          </w:p>
        </w:tc>
      </w:tr>
      <w:tr>
        <w:trPr>
          <w:trHeight w:val="20"/>
        </w:trPr>
        <w:tc>
          <w:tcPr>
            <w:tcW w:w="7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-2700020</wp:posOffset>
            </wp:positionV>
            <wp:extent cx="45605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we had foreign net operating loss carryforwards in the amount of $2.1 million. Of the total carryforwards, $1.7 million were generated by the Company’s Canadian based subsidiary and $0.4 million were generated by the Company's British subsidiary. The Canadian-based net operating losses begin to expire in 2039 and the British based net operating losses carry forward indefinitely.</w:t>
      </w:r>
    </w:p>
    <w:p>
      <w:pPr>
        <w:spacing w:after="0" w:line="1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recognizes deferred tax assets to the extent it believes these assets are more likely than not to be realized. Valuation allowances have been established with regard to the tax benefits of our foreign net operating losses. In making such a determination, the Company considers all available positive and negative evidence, including future reversals of existing taxable temporary differences, projected future taxable income, tax planning strategies and recent results of operations. After considering all of those factors, management recorded a $0.6 million and $0.2 million valuation allowance for the deferred tax assets related to the foreign net operating losses which are not more likely than not to be realized as of December 31, 2022 and 2021.</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Uncertain Tax Positions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740 prescribes a recognition threshold of more-likely-than not to be sustained upon examination as it relates to the accounting for uncertainty in income tax benefits recognized in an enterprise’s financial statements.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2021, the Company had no uncertain tax positions.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RELATED PARTY TRANSACTIONS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professional services agreements, effective October 2, 2018, with Vesey Street Capital Partners, LLC, JCBI II, LLC, and Dr. Aaron Rollins (collectively the “Advisors”), where the Advisors provided certain managerial and advisory services to the Company. Each of the Advisors had an ownership interest in the Parent. Under the professional services agreements, the Company agreed to pay the Advisors an aggregate annual fee (also referred to as the sponsor management fee) of the greater of $500,000 or 2% of consolidated earnings before interest, tax, depreciation and amortization, payable in advance quarterly installments, and the fee was allocated between the Advisors based on the outstanding Parent Class A Units held. Under the agreements, the Company also reimbursed the Advisors for any out-of-pocket expenses incurred related to providing their services. In conjunction with the IPO and Reorganization, the professional services agreements with the Advisors were terminated. During the twelve months ended December 31, 2022,</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and 2020, the Company incurred sponsor management fees of approximately $— million, $1.6 million, and $0.5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Professional Liability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certainty and an unfavorable resolution of one or more of them could have a material adverse effect on the Company’s business, financial condition, results of operations, and cash flows.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one reportable segment: direct medical procedure services. This segment is made up of facilities and medical staff that provide the Company’s patented AirSculpt® procedures to patients. Segment information is presented in the same manner that the Company’s chief operating decision maker (“CODM”) reviews the operating results in assessing performance and allocating resources. The Company’s CODM is the Company’s chief executive and chief operating officers. This committee reviews financial information presented on a consolidated basis for purposes of making operating decisions, assessing financial performance and allocating resources. The Company’s CODM reviews revenue, gross profit and Adjusted EBITDA. Gross profit is defined as revenues less cost of service incurred and Adjusted EBITDA as net income/loss excluding depreciation and amortization, net interest expense, income tax expense/(benefit), loss on debt modification, sponsor management fee, pre-opening de novo and relocation costs, restructuring and related severance costs, IPO related costs, (gain)/loss on disposal of long-lived assets, and equity-based compensation.</w:t>
      </w:r>
    </w:p>
    <w:p>
      <w:pPr>
        <w:spacing w:after="0" w:line="188" w:lineRule="exact"/>
        <w:rPr>
          <w:sz w:val="20"/>
          <w:szCs w:val="20"/>
          <w:color w:val="auto"/>
        </w:rPr>
      </w:pPr>
    </w:p>
    <w:p>
      <w:pPr>
        <w:ind w:right="368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Disclosures </w:t>
      </w:r>
      <w:r>
        <w:rPr>
          <w:rFonts w:ascii="Times New Roman" w:cs="Times New Roman" w:eastAsia="Times New Roman" w:hAnsi="Times New Roman"/>
          <w:sz w:val="18"/>
          <w:szCs w:val="18"/>
          <w:color w:val="auto"/>
        </w:rPr>
        <w:t>None.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Evaluation of Disclosure Controls and Procedures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our management, under the supervision and with the participation of our principal executive officer and principal financial officer, evaluated the effectiveness of our disclosure controls and procedures pursuant to Exchange Act Rule 13a-15(e) and 15d-15(e). Based upon this evaluation, our principal executive officer and principal financial officer concluded that our disclosure controls and procedures were effective at a reasonable assurance level as of December 31, 2022.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3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Rules 13a-15(f). Internal control over financial reporting is a process designed to provide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reasonable assurance regarding the reliability of financial reporting and the preparation of the financial statements for external purposes in accordance with GAAP.</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Management, including our principal executive officer and principal financial officer, has assessed the effectiveness of our internal control over financial reporting as of December 31, 2022, based on criteria established in the framework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issued by the Committee of Sponsoring Organizations of the Treadway Commission. Based on the results of our evaluation, management concluded that our internal control over financial reporting was effective as of December 31, 2022.</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 during the quarter ended December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the Effectiveness of Controls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the Chief Executive Officer and the Chief Financial Officer, recognizes that any set of controls and procedures, no matter how well-designed and operated, can provide only reasonable, not absolute, assurance of 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anticipates that it will hold its virtual 2023 Annual Meeting of Stockholders on May 10, 2023.</w:t>
      </w:r>
    </w:p>
    <w:p>
      <w:pPr>
        <w:spacing w:after="0" w:line="200" w:lineRule="exact"/>
        <w:rPr>
          <w:sz w:val="20"/>
          <w:szCs w:val="20"/>
          <w:color w:val="auto"/>
        </w:rPr>
      </w:pPr>
    </w:p>
    <w:p>
      <w:pPr>
        <w:spacing w:after="0" w:line="332" w:lineRule="exact"/>
        <w:rPr>
          <w:sz w:val="20"/>
          <w:szCs w:val="20"/>
          <w:color w:val="auto"/>
        </w:rPr>
      </w:pPr>
    </w:p>
    <w:p>
      <w:pPr>
        <w:ind w:right="528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as of March 10, 2023, of individuals who currently serve as directors on the board of directors.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Age</w:t>
            </w:r>
          </w:p>
        </w:tc>
        <w:tc>
          <w:tcPr>
            <w:tcW w:w="762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8"/>
        </w:trPr>
        <w:tc>
          <w:tcPr>
            <w:tcW w:w="2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Dr. Aaron Rollins</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8"/>
                <w:szCs w:val="18"/>
                <w:color w:val="auto"/>
              </w:rPr>
            </w:pPr>
          </w:p>
        </w:tc>
        <w:tc>
          <w:tcPr>
            <w:tcW w:w="7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r>
        <w:trPr>
          <w:trHeight w:val="22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Todd Magazine</w:t>
            </w: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3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Adam Feinstein</w:t>
            </w: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Sollof</w:t>
            </w: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Caroline Chu</w:t>
            </w: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Aaron</w:t>
            </w: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Pamela Netzky</w:t>
            </w: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Kenneth Higgins</w:t>
            </w: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I—Directors with Terms Expiring in Fiscal 2025</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auto"/>
        </w:rPr>
        <w:t xml:space="preserve">Todd Magazine </w:t>
      </w:r>
      <w:r>
        <w:rPr>
          <w:rFonts w:ascii="Times New Roman" w:cs="Times New Roman" w:eastAsia="Times New Roman" w:hAnsi="Times New Roman"/>
          <w:sz w:val="18"/>
          <w:szCs w:val="18"/>
          <w:color w:val="auto"/>
        </w:rPr>
        <w:t>has served as a member of the board of directors of the Company since January 2023. Todd has served as the Company's President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since January 2023. Mr. Magazine brings to AirSculpt more than 30 years of experience in retail operations and brand-building. Prior to joining the company, he served as the CEO of Blink Fitness, a subsidiary of Equinox, for 10 years in which he led the company of over 1,500 employees from four locations to over 100 and increased membership 25x. Previously, he was North American President of Pfizer's OTC business, held president's roles for Gatorade and Quaker Oats at PepsiCo, and led various marketing teams at Procter &amp; Gamble. Mr. Magazine received a BA from The University of Michigan and his MBA from Northwestern University's Kellogg School of Management. We believe that Mr. Magazine’s industry knowledge, as well as his leadership experience, make him an appropriate member of our board of directors.</w:t>
      </w:r>
    </w:p>
    <w:p>
      <w:pPr>
        <w:spacing w:after="0" w:line="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Daniel Sollof </w:t>
      </w:r>
      <w:r>
        <w:rPr>
          <w:rFonts w:ascii="Times New Roman" w:cs="Times New Roman" w:eastAsia="Times New Roman" w:hAnsi="Times New Roman"/>
          <w:sz w:val="18"/>
          <w:szCs w:val="18"/>
          <w:color w:val="auto"/>
        </w:rPr>
        <w:t>has served as a member of the board of directors of the Company since June 2021 and served as a member of the board of managers of Elite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Body Sculpture from October 2018 until the IPO. Mr. Sollof joined VSCP in August 2014 and serves as a General Partner for the firm. In addition to sourcing and evaluating potential investment opportunities, Mr. Sollof works closely with VSCP’s portfolio companies. He has been a Board Observer at HealthChannels (ScribeAmerica) since October 2016. From July 2015 to August 2017, he served as a member of the </w:t>
      </w:r>
      <w:r>
        <w:rPr>
          <w:rFonts w:ascii="Arial" w:cs="Arial" w:eastAsia="Arial" w:hAnsi="Arial"/>
          <w:sz w:val="18"/>
          <w:szCs w:val="18"/>
          <w:color w:val="auto"/>
        </w:rPr>
        <w:t>b</w:t>
      </w:r>
      <w:r>
        <w:rPr>
          <w:rFonts w:ascii="Times New Roman" w:cs="Times New Roman" w:eastAsia="Times New Roman" w:hAnsi="Times New Roman"/>
          <w:sz w:val="18"/>
          <w:szCs w:val="18"/>
          <w:color w:val="auto"/>
        </w:rPr>
        <w:t xml:space="preserve">oard of </w:t>
      </w:r>
      <w:r>
        <w:rPr>
          <w:rFonts w:ascii="Arial" w:cs="Arial" w:eastAsia="Arial" w:hAnsi="Arial"/>
          <w:sz w:val="18"/>
          <w:szCs w:val="18"/>
          <w:color w:val="auto"/>
        </w:rPr>
        <w:t>d</w:t>
      </w:r>
      <w:r>
        <w:rPr>
          <w:rFonts w:ascii="Times New Roman" w:cs="Times New Roman" w:eastAsia="Times New Roman" w:hAnsi="Times New Roman"/>
          <w:sz w:val="18"/>
          <w:szCs w:val="18"/>
          <w:color w:val="auto"/>
        </w:rPr>
        <w:t>irectors of Imedex, Inc. Prior to joining VSCP, Mr. Sollof served as Vice President and Research Analyst for Barclays Capital/Lehman Brothers August 2007 to August 2014, focusing on the Healthcare Facilities and Medical Supplies &amp; Devices Sectors. Prior to Barclays Capital/Lehman Brothers, Mr. Sollof worked as a Valuation and Business Modeling Analyst in the Transaction Advisory Services group at Ernst &amp; Young from September 2005 to July 2007. Mr. Sollof received a B.S. in Management Science from the University of California – San Diego and is a CFA charterholder. We believe that Mr. Sollof’s industry knowledge, as well as his leadership experience, make him an appropriate member of our board of directors.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Pamela Netzky </w:t>
      </w:r>
      <w:r>
        <w:rPr>
          <w:rFonts w:ascii="Times New Roman" w:cs="Times New Roman" w:eastAsia="Times New Roman" w:hAnsi="Times New Roman"/>
          <w:sz w:val="18"/>
          <w:szCs w:val="18"/>
          <w:color w:val="auto"/>
        </w:rPr>
        <w:t>has served as a member of our board of directors since October 2021. Ms. Netzky co-founded Skinny Pop Popcorn in 2010 and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President until July 2014. In 2014, SkinnyPop Popcorn sold a majority stake to TA Associates, a leading private equity firm, and changed its name to Amplify Snack Brands. Ms. Netzky transitioned to become a Senior Advisor of Amplify Snack Brands in 2014 and was named a board member of the company. In 2015, Amplify Snack Brands went public on the New York Stock Exchange (formerly NYSE: BETR). Ms. Netzky continued to serve on the board of directors until its sale to The Hershey Company (NYSE: HSY) in 2018 in a transaction valued at approximately $1.6 billion. Ms. Netzky has shown dedicated support to the City of Chicago as well as the arts, education and health care. She has been recognized for her philanthropic pursuits by The Illinois Holocaust Museum. Ms. Netzky earned a BA from DePaul University. We believe that Ms. Netzky’s leadership experience makes her an appropriate member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II—Directors with Terms Expiring in Fiscal 2023</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Adam Feinstein </w:t>
      </w:r>
      <w:r>
        <w:rPr>
          <w:rFonts w:ascii="Times New Roman" w:cs="Times New Roman" w:eastAsia="Times New Roman" w:hAnsi="Times New Roman"/>
          <w:sz w:val="18"/>
          <w:szCs w:val="18"/>
          <w:color w:val="auto"/>
        </w:rPr>
        <w:t>has served as a member of the board of directors since June 2021. He served as the non-executive chairman of the board of directors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from September 2021 to January 2023 and as non-executive chairman of the board of managers of Elite Body Sculpture from October 2018 until the IPO. Mr. Feinstein founded Vesey Street Capital Partners, L.L.C. (VSCP) in 2014 and has served as Managing Partner of the firm since August 2014. Mr. Feinstein has 25 years of experience working with many of the leading healthcare services companies. He has been chairman of the </w:t>
      </w:r>
      <w:r>
        <w:rPr>
          <w:rFonts w:ascii="Arial" w:cs="Arial" w:eastAsia="Arial" w:hAnsi="Arial"/>
          <w:sz w:val="18"/>
          <w:szCs w:val="18"/>
          <w:color w:val="auto"/>
        </w:rPr>
        <w:t>b</w:t>
      </w:r>
      <w:r>
        <w:rPr>
          <w:rFonts w:ascii="Times New Roman" w:cs="Times New Roman" w:eastAsia="Times New Roman" w:hAnsi="Times New Roman"/>
          <w:sz w:val="18"/>
          <w:szCs w:val="18"/>
          <w:color w:val="auto"/>
        </w:rPr>
        <w:t xml:space="preserve">oard of </w:t>
      </w:r>
      <w:r>
        <w:rPr>
          <w:rFonts w:ascii="Arial" w:cs="Arial" w:eastAsia="Arial" w:hAnsi="Arial"/>
          <w:sz w:val="18"/>
          <w:szCs w:val="18"/>
          <w:color w:val="auto"/>
        </w:rPr>
        <w:t>d</w:t>
      </w:r>
      <w:r>
        <w:rPr>
          <w:rFonts w:ascii="Times New Roman" w:cs="Times New Roman" w:eastAsia="Times New Roman" w:hAnsi="Times New Roman"/>
          <w:sz w:val="18"/>
          <w:szCs w:val="18"/>
          <w:color w:val="auto"/>
        </w:rPr>
        <w:t>irectors of HealthChannels (ScribeAmerica), a provider of medical scribe support and value-based healthcare solutions, since October 2016 and</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 xml:space="preserve">QualityMetric, a provider of health and disease specific surveys, since August 2020. He has served as a member of the </w:t>
      </w:r>
      <w:r>
        <w:rPr>
          <w:rFonts w:ascii="Arial" w:cs="Arial" w:eastAsia="Arial" w:hAnsi="Arial"/>
          <w:sz w:val="18"/>
          <w:szCs w:val="18"/>
          <w:color w:val="auto"/>
        </w:rPr>
        <w:t>b</w:t>
      </w:r>
      <w:r>
        <w:rPr>
          <w:rFonts w:ascii="Times New Roman" w:cs="Times New Roman" w:eastAsia="Times New Roman" w:hAnsi="Times New Roman"/>
          <w:sz w:val="18"/>
          <w:szCs w:val="18"/>
          <w:color w:val="auto"/>
        </w:rPr>
        <w:t xml:space="preserve">oard of </w:t>
      </w:r>
      <w:r>
        <w:rPr>
          <w:rFonts w:ascii="Arial" w:cs="Arial" w:eastAsia="Arial" w:hAnsi="Arial"/>
          <w:sz w:val="18"/>
          <w:szCs w:val="18"/>
          <w:color w:val="auto"/>
        </w:rPr>
        <w:t>d</w:t>
      </w:r>
      <w:r>
        <w:rPr>
          <w:rFonts w:ascii="Times New Roman" w:cs="Times New Roman" w:eastAsia="Times New Roman" w:hAnsi="Times New Roman"/>
          <w:sz w:val="18"/>
          <w:szCs w:val="18"/>
          <w:color w:val="auto"/>
        </w:rPr>
        <w:t>irectors of Pathgroup, a leading pathology services company since August 2016. Mr. Feinstein has served as a board member of Safecor Health, which provides pharmaceutical unit dose packaging services for hospitals and health systems, since August 2021. He was a board member of Surgery Partners, Inc. (Nasdaq: SGRY) from September 2015 to December 2019 and Imedex, Inc. from July 2015 to August 2017. Prior to founding VSCP, Mr. Feinstein was the Senior Vice President of Corporate Development, Strategic Planning and Office of the Chief Executive Officer at LabCorp from June 2012 to August 2014. At LabCorp, he oversaw mergers and acquisitions, corporate development, strategic partnerships and corporate strategy and managed the company’s partnerships with large hospital systems. Prior to LabCorp, Mr. Feinstein served as the Managing Director in Equity Research at Barclays Capital/Lehman Brothers for 14 years. He was ranked #1 in the Institutional Investor All America Research Survey in the Health Care Facilities category for eight years. Mr. Feinstein is a CFA charterholder and has a B.S. in Business from the Smith School at the University of Maryland. He also completed the Nashville Healthcare Council Fellows program. We believe that Mr. Feinstein’s public company experience, industry knowledge, as well as his leadership experience, make him an appropriate member of our board of directors.</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Thomas Aaron </w:t>
      </w:r>
      <w:r>
        <w:rPr>
          <w:rFonts w:ascii="Times New Roman" w:cs="Times New Roman" w:eastAsia="Times New Roman" w:hAnsi="Times New Roman"/>
          <w:sz w:val="18"/>
          <w:szCs w:val="18"/>
          <w:color w:val="auto"/>
        </w:rPr>
        <w:t>has served as a member of our board of directors since October 2021. Mr. Aaron joined Cincinnati Financial Corporation (Nasdaq: CINF)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November 2019 and currently serves as a member of the board of directors, as a member of CINF’s audit committee, and as a member of the boards of directors of CINF’s property casualty insurance companies and other subsidiaries. From 2016 to 2017, Mr. Aaron served as Senior Vice President of Finance of Community Health Systems, Inc. (NYSE: CYH). Mr. Aaron was appointed to serve as Executive Vice President and Chief Financial Officer of CYH in May 2017, a position in which he served through December 2019. Prior to joining CYH, Mr. Aaron had a distinguished, 32-year career at Deloitte leading audit and consulting services to, among others, national healthcare organizations. Mr. Aaron is a Certified Public Accountant and holds a B.S. in Accounting from the University of Kentucky. We believe that Mr. Aaron’s leadership experience makes him an appropriate member of our board of directors.</w:t>
      </w:r>
    </w:p>
    <w:p>
      <w:pPr>
        <w:spacing w:after="0" w:line="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Kenneth Higgins </w:t>
      </w:r>
      <w:r>
        <w:rPr>
          <w:rFonts w:ascii="Times New Roman" w:cs="Times New Roman" w:eastAsia="Times New Roman" w:hAnsi="Times New Roman"/>
          <w:sz w:val="18"/>
          <w:szCs w:val="18"/>
          <w:color w:val="auto"/>
        </w:rPr>
        <w:t>has served as a member of our board of directors since October 2021. Mr. Higgins currently serves as the managing director and co-founder of Northborne Partners, LLC, a middle market-focused mergers and acquisitions advisory firm. Previously, Mr. Higgins spent 4.5 years at BMO Capital Markets Corp. (a subsidiary of Bank of Montreal (NYSE: BMO)) from 2016 to 2021. Mr. Higgins received his Bachelor of Business Administration from the University of Michigan School of Business and his Juris Doctor degree from Harvard Law School. We believe that Mr. Higgin’s leadership experience makes him an appropriate member of our board of directors.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III—Directors with Terms Expiring in Fiscal 2024</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Dr. Aaron Rollins </w:t>
      </w:r>
      <w:r>
        <w:rPr>
          <w:rFonts w:ascii="Times New Roman" w:cs="Times New Roman" w:eastAsia="Times New Roman" w:hAnsi="Times New Roman"/>
          <w:sz w:val="18"/>
          <w:szCs w:val="18"/>
          <w:color w:val="auto"/>
        </w:rPr>
        <w:t>is our founder and he served as the Company's Chief Executive Officer from 2012 to January 2023. With the appointment of Todd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Magazine as CEO, Dr. Rollins was appointed Executive Chairman of the board of directors and no longer serves as the Company's Chief Executive Officer. Dr. Rollins is the cosmetic surgeon to the stars, as well as, the founder of Elite Body Sculpture. He currently serves as a board adviser to Safecor Health, a portfolio company affiliated with our Sponsor. Dr. Rollins is considered a specialist in body sculpting and has performed thousands of laser liposuction procedures. He is a life-long art lover who studied sculpture and to fulfill his dream of combining art and science, he eventually attended medical school. Dr. Rollins went to medical school at the McGill University Faculty of Medicine in Montreal, Canada after completing his undergraduate studies at McGill University. He has received many awards for his distinguished work, including the I.D.E.A. Bronze Medal for medical inventions and the “Great Distinction” honor at McGill University. He is affiliated with the American College of Surgeons, American Board of Laser Surgery, American Academy of Cosmetic Surgery and the American Society of Liposuction Surgery. He is also a member of the World Academy of Cosmetic Surgery. Dr. Rollins was awarded the Compassionate Doctor certification in 2013. We believe that Dr. Rollins’ industry knowledge, as well as his leadership experience, make him an appropriate member and Executive Chairman of our board of directors.</w:t>
      </w:r>
    </w:p>
    <w:p>
      <w:pPr>
        <w:spacing w:after="0" w:line="6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Caroline Chu </w:t>
      </w:r>
      <w:r>
        <w:rPr>
          <w:rFonts w:ascii="Times New Roman" w:cs="Times New Roman" w:eastAsia="Times New Roman" w:hAnsi="Times New Roman"/>
          <w:sz w:val="18"/>
          <w:szCs w:val="18"/>
          <w:color w:val="auto"/>
        </w:rPr>
        <w:t>has served as a member of our board of directors since October 2021. Previously, Ms. Chu spent 16 years at Goldman Sachs Group,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June 2002 to February 2018. She served as an investment analyst in Equity Research, a public equities investor in Goldman Sachs Principal Strategies and portfolio manager and Managing Director in Goldman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Sachs Investment Partners. Ms. Chu also served as Co-Head of Equities and Managing Director for Alwyne Management LP from May 2018 to January 2020. Ms. Chu received her B.S. degrees in Economics and Management Science from the Massachusetts Institute of Technology in 2002. We believe that Ms. Chu’s leadership experience makes her an appropriate member of our board of directors.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2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governance is key to a strong and accountable board of directors. We strive to adopt practices that will promote the long-term interests of the Company and its stockholders, including the below examples.</w:t>
      </w:r>
    </w:p>
    <w:p>
      <w:pPr>
        <w:sectPr>
          <w:pgSz w:w="11900" w:h="16838" w:orient="portrait"/>
          <w:cols w:equalWidth="0" w:num="1">
            <w:col w:w="11240"/>
          </w:cols>
          <w:pgMar w:left="320" w:top="513" w:right="339" w:bottom="1440" w:gutter="0" w:footer="0" w:header="0"/>
        </w:sectPr>
      </w:pPr>
    </w:p>
    <w:p>
      <w:pPr>
        <w:spacing w:after="0" w:line="229" w:lineRule="exact"/>
        <w:rPr>
          <w:sz w:val="20"/>
          <w:szCs w:val="20"/>
          <w:color w:val="auto"/>
        </w:rPr>
      </w:pPr>
    </w:p>
    <w:p>
      <w:pPr>
        <w:ind w:left="1000" w:hanging="425"/>
        <w:spacing w:after="0" w:line="237" w:lineRule="auto"/>
        <w:tabs>
          <w:tab w:leader="none" w:pos="1000" w:val="left"/>
        </w:tabs>
        <w:numPr>
          <w:ilvl w:val="0"/>
          <w:numId w:val="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Accountability. Our common stock outstanding on the Record Date is entitled to one vote per matter presented to stockholders</w:t>
      </w:r>
    </w:p>
    <w:p>
      <w:pPr>
        <w:spacing w:after="0" w:line="171" w:lineRule="exact"/>
        <w:rPr>
          <w:rFonts w:ascii="MS PGothic" w:cs="MS PGothic" w:eastAsia="MS PGothic" w:hAnsi="MS PGothic"/>
          <w:sz w:val="18"/>
          <w:szCs w:val="18"/>
          <w:color w:val="auto"/>
        </w:rPr>
      </w:pPr>
    </w:p>
    <w:p>
      <w:pPr>
        <w:jc w:val="both"/>
        <w:ind w:left="1000" w:right="160" w:hanging="425"/>
        <w:spacing w:after="0" w:line="263" w:lineRule="auto"/>
        <w:tabs>
          <w:tab w:leader="none" w:pos="1000" w:val="left"/>
        </w:tabs>
        <w:numPr>
          <w:ilvl w:val="0"/>
          <w:numId w:val="4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We meet Nasdaq’s definition of a controlled company, but we do not take advantage of the controlled company exemptions</w:t>
      </w:r>
    </w:p>
    <w:p>
      <w:pPr>
        <w:spacing w:after="0" w:line="152" w:lineRule="exact"/>
        <w:rPr>
          <w:rFonts w:ascii="MS PGothic" w:cs="MS PGothic" w:eastAsia="MS PGothic" w:hAnsi="MS PGothic"/>
          <w:sz w:val="17"/>
          <w:szCs w:val="17"/>
          <w:color w:val="auto"/>
        </w:rPr>
      </w:pPr>
    </w:p>
    <w:p>
      <w:pPr>
        <w:ind w:left="1000" w:right="20" w:hanging="425"/>
        <w:spacing w:after="0" w:line="237" w:lineRule="auto"/>
        <w:tabs>
          <w:tab w:leader="none" w:pos="1000" w:val="left"/>
        </w:tabs>
        <w:numPr>
          <w:ilvl w:val="0"/>
          <w:numId w:val="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Six of the eight members of our Board are “independent” under Nasdaq’s definition of independence</w:t>
      </w:r>
    </w:p>
    <w:p>
      <w:pPr>
        <w:spacing w:after="0" w:line="171" w:lineRule="exact"/>
        <w:rPr>
          <w:rFonts w:ascii="MS PGothic" w:cs="MS PGothic" w:eastAsia="MS PGothic" w:hAnsi="MS PGothic"/>
          <w:sz w:val="18"/>
          <w:szCs w:val="18"/>
          <w:color w:val="auto"/>
        </w:rPr>
      </w:pPr>
    </w:p>
    <w:p>
      <w:pPr>
        <w:ind w:left="1000" w:right="520" w:hanging="425"/>
        <w:spacing w:after="0" w:line="231" w:lineRule="auto"/>
        <w:tabs>
          <w:tab w:leader="none" w:pos="1000" w:val="left"/>
        </w:tabs>
        <w:numPr>
          <w:ilvl w:val="0"/>
          <w:numId w:val="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Our Audit, Compensation, and Nominating &amp; Corporate Governance Committees are each composed entirely of unaffiliated independent directors</w:t>
      </w:r>
    </w:p>
    <w:p>
      <w:pPr>
        <w:spacing w:after="0" w:line="158" w:lineRule="exact"/>
        <w:rPr>
          <w:rFonts w:ascii="MS PGothic" w:cs="MS PGothic" w:eastAsia="MS PGothic" w:hAnsi="MS PGothic"/>
          <w:sz w:val="18"/>
          <w:szCs w:val="18"/>
          <w:color w:val="auto"/>
        </w:rPr>
      </w:pPr>
    </w:p>
    <w:p>
      <w:pPr>
        <w:ind w:left="1000" w:right="760" w:hanging="425"/>
        <w:spacing w:after="0" w:line="237" w:lineRule="auto"/>
        <w:tabs>
          <w:tab w:leader="none" w:pos="1000" w:val="left"/>
        </w:tabs>
        <w:numPr>
          <w:ilvl w:val="0"/>
          <w:numId w:val="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Regular Board and Committee Executive Sessions of Independent Directors</w:t>
      </w:r>
    </w:p>
    <w:p>
      <w:pPr>
        <w:spacing w:after="0" w:line="171" w:lineRule="exact"/>
        <w:rPr>
          <w:rFonts w:ascii="MS PGothic" w:cs="MS PGothic" w:eastAsia="MS PGothic" w:hAnsi="MS PGothic"/>
          <w:sz w:val="18"/>
          <w:szCs w:val="18"/>
          <w:color w:val="auto"/>
        </w:rPr>
      </w:pPr>
    </w:p>
    <w:p>
      <w:pPr>
        <w:ind w:left="1000" w:hanging="425"/>
        <w:spacing w:after="0"/>
        <w:tabs>
          <w:tab w:leader="none" w:pos="1000" w:val="left"/>
        </w:tabs>
        <w:numPr>
          <w:ilvl w:val="0"/>
          <w:numId w:val="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Lead Independent director</w:t>
      </w:r>
    </w:p>
    <w:p>
      <w:pPr>
        <w:spacing w:after="0" w:line="200" w:lineRule="exact"/>
        <w:rPr>
          <w:rFonts w:ascii="MS PGothic" w:cs="MS PGothic" w:eastAsia="MS PGothic" w:hAnsi="MS PGothic"/>
          <w:sz w:val="18"/>
          <w:szCs w:val="18"/>
          <w:color w:val="auto"/>
        </w:rPr>
      </w:pPr>
    </w:p>
    <w:p>
      <w:pPr>
        <w:spacing w:after="0" w:line="227" w:lineRule="exact"/>
        <w:rPr>
          <w:rFonts w:ascii="MS PGothic" w:cs="MS PGothic" w:eastAsia="MS PGothic" w:hAnsi="MS PGothic"/>
          <w:sz w:val="18"/>
          <w:szCs w:val="18"/>
          <w:color w:val="auto"/>
        </w:rPr>
      </w:pPr>
    </w:p>
    <w:p>
      <w:pPr>
        <w:ind w:left="1000" w:hanging="425"/>
        <w:spacing w:after="0"/>
        <w:tabs>
          <w:tab w:leader="none" w:pos="1000" w:val="left"/>
        </w:tabs>
        <w:numPr>
          <w:ilvl w:val="0"/>
          <w:numId w:val="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Separate CEO and Chairman of the Board</w:t>
      </w:r>
    </w:p>
    <w:p>
      <w:pPr>
        <w:spacing w:after="0" w:line="184" w:lineRule="exact"/>
        <w:rPr>
          <w:rFonts w:ascii="MS PGothic" w:cs="MS PGothic" w:eastAsia="MS PGothic" w:hAnsi="MS PGothic"/>
          <w:sz w:val="18"/>
          <w:szCs w:val="18"/>
          <w:color w:val="auto"/>
        </w:rPr>
      </w:pPr>
    </w:p>
    <w:p>
      <w:pPr>
        <w:ind w:left="1000" w:hanging="425"/>
        <w:spacing w:after="0"/>
        <w:tabs>
          <w:tab w:leader="none" w:pos="1000" w:val="left"/>
        </w:tabs>
        <w:numPr>
          <w:ilvl w:val="0"/>
          <w:numId w:val="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Independent Executive Compensation Consultant</w:t>
      </w:r>
    </w:p>
    <w:p>
      <w:pPr>
        <w:spacing w:after="0" w:line="200" w:lineRule="exact"/>
        <w:rPr>
          <w:rFonts w:ascii="MS PGothic" w:cs="MS PGothic" w:eastAsia="MS PGothic" w:hAnsi="MS PGothic"/>
          <w:sz w:val="18"/>
          <w:szCs w:val="18"/>
          <w:color w:val="auto"/>
        </w:rPr>
      </w:pPr>
    </w:p>
    <w:p>
      <w:pPr>
        <w:spacing w:after="0" w:line="227" w:lineRule="exact"/>
        <w:rPr>
          <w:rFonts w:ascii="MS PGothic" w:cs="MS PGothic" w:eastAsia="MS PGothic" w:hAnsi="MS PGothic"/>
          <w:sz w:val="18"/>
          <w:szCs w:val="18"/>
          <w:color w:val="auto"/>
        </w:rPr>
      </w:pPr>
    </w:p>
    <w:p>
      <w:pPr>
        <w:ind w:left="1000" w:hanging="425"/>
        <w:spacing w:after="0"/>
        <w:tabs>
          <w:tab w:leader="none" w:pos="1000" w:val="left"/>
        </w:tabs>
        <w:numPr>
          <w:ilvl w:val="0"/>
          <w:numId w:val="4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Risk Oversight by the Board and the Audit Committee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440" w:hanging="440"/>
        <w:spacing w:after="0"/>
        <w:tabs>
          <w:tab w:leader="none" w:pos="440"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Board and Committee Self-Evaluations</w:t>
      </w:r>
    </w:p>
    <w:p>
      <w:pPr>
        <w:spacing w:after="0" w:line="373" w:lineRule="exact"/>
        <w:rPr>
          <w:rFonts w:ascii="MS PGothic" w:cs="MS PGothic" w:eastAsia="MS PGothic" w:hAnsi="MS PGothic"/>
          <w:sz w:val="18"/>
          <w:szCs w:val="18"/>
          <w:color w:val="auto"/>
        </w:rPr>
      </w:pPr>
    </w:p>
    <w:p>
      <w:pPr>
        <w:ind w:left="440" w:right="540" w:hanging="440"/>
        <w:spacing w:after="0" w:line="237" w:lineRule="auto"/>
        <w:tabs>
          <w:tab w:leader="none" w:pos="440"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Named Executive Officer Performance Evaluation by the Compensation Committee of the Board</w:t>
      </w:r>
    </w:p>
    <w:p>
      <w:pPr>
        <w:spacing w:after="0" w:line="171" w:lineRule="exact"/>
        <w:rPr>
          <w:rFonts w:ascii="MS PGothic" w:cs="MS PGothic" w:eastAsia="MS PGothic" w:hAnsi="MS PGothic"/>
          <w:sz w:val="18"/>
          <w:szCs w:val="18"/>
          <w:color w:val="auto"/>
        </w:rPr>
      </w:pPr>
    </w:p>
    <w:p>
      <w:pPr>
        <w:ind w:left="440" w:right="1180" w:hanging="440"/>
        <w:spacing w:after="0" w:line="237" w:lineRule="auto"/>
        <w:tabs>
          <w:tab w:leader="none" w:pos="440"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“Pay for Performance” Philosophy Drives Executive Compensation</w:t>
      </w:r>
    </w:p>
    <w:p>
      <w:pPr>
        <w:spacing w:after="0" w:line="171" w:lineRule="exact"/>
        <w:rPr>
          <w:rFonts w:ascii="MS PGothic" w:cs="MS PGothic" w:eastAsia="MS PGothic" w:hAnsi="MS PGothic"/>
          <w:sz w:val="18"/>
          <w:szCs w:val="18"/>
          <w:color w:val="auto"/>
        </w:rPr>
      </w:pPr>
    </w:p>
    <w:p>
      <w:pPr>
        <w:ind w:left="440" w:right="440" w:hanging="440"/>
        <w:spacing w:after="0" w:line="231" w:lineRule="auto"/>
        <w:tabs>
          <w:tab w:leader="none" w:pos="440"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Limitation on Management Directors. Our CEO and Executive Chairman are the only members of management who serve as a director</w:t>
      </w:r>
    </w:p>
    <w:p>
      <w:pPr>
        <w:spacing w:after="0" w:line="158" w:lineRule="exact"/>
        <w:rPr>
          <w:rFonts w:ascii="MS PGothic" w:cs="MS PGothic" w:eastAsia="MS PGothic" w:hAnsi="MS PGothic"/>
          <w:sz w:val="18"/>
          <w:szCs w:val="18"/>
          <w:color w:val="auto"/>
        </w:rPr>
      </w:pPr>
    </w:p>
    <w:p>
      <w:pPr>
        <w:ind w:left="440" w:right="1020" w:hanging="440"/>
        <w:spacing w:after="0" w:line="237" w:lineRule="auto"/>
        <w:tabs>
          <w:tab w:leader="none" w:pos="440"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Audit Committee Approval Required for Related Party Transactions</w:t>
      </w:r>
    </w:p>
    <w:p>
      <w:pPr>
        <w:spacing w:after="0" w:line="171" w:lineRule="exact"/>
        <w:rPr>
          <w:rFonts w:ascii="MS PGothic" w:cs="MS PGothic" w:eastAsia="MS PGothic" w:hAnsi="MS PGothic"/>
          <w:sz w:val="18"/>
          <w:szCs w:val="18"/>
          <w:color w:val="auto"/>
        </w:rPr>
      </w:pPr>
    </w:p>
    <w:p>
      <w:pPr>
        <w:ind w:left="440" w:hanging="440"/>
        <w:spacing w:after="0"/>
        <w:tabs>
          <w:tab w:leader="none" w:pos="440"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“Poison Pill” (Stockholder Rights Plan)</w:t>
      </w:r>
    </w:p>
    <w:p>
      <w:pPr>
        <w:spacing w:after="0" w:line="200" w:lineRule="exact"/>
        <w:rPr>
          <w:rFonts w:ascii="MS PGothic" w:cs="MS PGothic" w:eastAsia="MS PGothic" w:hAnsi="MS PGothic"/>
          <w:sz w:val="18"/>
          <w:szCs w:val="18"/>
          <w:color w:val="auto"/>
        </w:rPr>
      </w:pPr>
    </w:p>
    <w:p>
      <w:pPr>
        <w:spacing w:after="0" w:line="227" w:lineRule="exact"/>
        <w:rPr>
          <w:rFonts w:ascii="MS PGothic" w:cs="MS PGothic" w:eastAsia="MS PGothic" w:hAnsi="MS PGothic"/>
          <w:sz w:val="18"/>
          <w:szCs w:val="18"/>
          <w:color w:val="auto"/>
        </w:rPr>
      </w:pPr>
    </w:p>
    <w:p>
      <w:pPr>
        <w:ind w:left="440" w:hanging="440"/>
        <w:spacing w:after="0"/>
        <w:tabs>
          <w:tab w:leader="none" w:pos="440"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Commitment to Diversity, Equity and Inclusion</w:t>
      </w:r>
    </w:p>
    <w:p>
      <w:pPr>
        <w:spacing w:after="0" w:line="184" w:lineRule="exact"/>
        <w:rPr>
          <w:rFonts w:ascii="MS PGothic" w:cs="MS PGothic" w:eastAsia="MS PGothic" w:hAnsi="MS PGothic"/>
          <w:sz w:val="18"/>
          <w:szCs w:val="18"/>
          <w:color w:val="auto"/>
        </w:rPr>
      </w:pPr>
    </w:p>
    <w:p>
      <w:pPr>
        <w:ind w:left="440" w:hanging="440"/>
        <w:spacing w:after="0"/>
        <w:tabs>
          <w:tab w:leader="none" w:pos="440"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Established Whistleblower Policy</w:t>
      </w:r>
    </w:p>
    <w:p>
      <w:pPr>
        <w:spacing w:after="0" w:line="200" w:lineRule="exact"/>
        <w:rPr>
          <w:rFonts w:ascii="MS PGothic" w:cs="MS PGothic" w:eastAsia="MS PGothic" w:hAnsi="MS PGothic"/>
          <w:sz w:val="18"/>
          <w:szCs w:val="18"/>
          <w:color w:val="auto"/>
        </w:rPr>
      </w:pPr>
    </w:p>
    <w:p>
      <w:pPr>
        <w:spacing w:after="0" w:line="227" w:lineRule="exact"/>
        <w:rPr>
          <w:rFonts w:ascii="MS PGothic" w:cs="MS PGothic" w:eastAsia="MS PGothic" w:hAnsi="MS PGothic"/>
          <w:sz w:val="18"/>
          <w:szCs w:val="18"/>
          <w:color w:val="auto"/>
        </w:rPr>
      </w:pPr>
    </w:p>
    <w:p>
      <w:pPr>
        <w:ind w:left="440" w:right="960" w:hanging="440"/>
        <w:spacing w:after="0" w:line="237" w:lineRule="auto"/>
        <w:tabs>
          <w:tab w:leader="none" w:pos="440"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Commitment to Environmental, Social and Governance Leadership</w:t>
      </w:r>
    </w:p>
    <w:p>
      <w:pPr>
        <w:spacing w:after="0" w:line="200" w:lineRule="exact"/>
        <w:rPr>
          <w:sz w:val="20"/>
          <w:szCs w:val="20"/>
          <w:color w:val="auto"/>
        </w:rPr>
      </w:pPr>
    </w:p>
    <w:p>
      <w:pPr>
        <w:sectPr>
          <w:pgSz w:w="11900" w:h="16838" w:orient="portrait"/>
          <w:cols w:equalWidth="0" w:num="2">
            <w:col w:w="5600" w:space="240"/>
            <w:col w:w="5400"/>
          </w:cols>
          <w:pgMar w:left="320" w:top="513" w:right="3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 and Election of Directors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the board of directors. The primary responsibilities of the board of directors are to provide oversight, strategic guidance, counseling and direction to our management. The board of directors meets on a regular basis and additionally as required.</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directors is fixed by our board of directors, subject to the terms of our amended and restated certificate of incorporation, our amended and restated bylaws and our Stockholders Agreement (as defined below). Our board of directors consists of eight directors, six of whom qualify as “independent” under the Nasdaq listing standards.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Directors are (except for the filling of vacancies and newly created directorships) elected by the holders of a plurality of the votes cast by the holders of shares present in person or represented by proxy at the meeting and entitled to vote on the election of such directors. Our board of directors is divided into three classes with staggered three-year terms. Only one class of directors is elected at each annual meeting of our stockholders, with the other classes continuing for the remainder of their respective three-year terms. Our directors are divided among the three classes as follows: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Todd Magazine, Daniel Sollof and Pamela Netzky, and their terms expire at the fourth annual meeting of stockholders;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Adam Feinstein, Kenneth Higgins and Thomas Aaron, and their terms expire at the second annual meeting of stockholders;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Dr. Aaron Rollins and Caroline Chu, and their terms expire at the third annual meeting of stockholders.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director’s term continues until the election and qualification of his or her successor, or his or her earlier death, resignation, disqualification or removal. No decrease in the number of directors will shorten the term of any incumbent director. Our board of directors is authorized to assign members of the board of directors already in office to the three classes; provided, that each class include a specified director designated pursuant to our Stockholders Agreement (as defined below). This classification of our board of directors may have the effect of delaying or preventing changes in control of our company.</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entered into a stockholders agreement with affiliates of Sponsor and Dr. Aaron Rollins in connection with our initial public offering (the “Stockholders Agreement”). This agreement grants affiliates of our Sponsor and Dr. Aaron Rollins the right to designate nominees to our board of directors subject to the maintenance of certain ownership requirements in us. See “Certain Relationships and Related Party Transactions—Stockholders Agreement.”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our corporate governance guidelines and subject to the Stockholders Agreement, our independent directors will designate a lead independent director in the event that the Company does not have an independent chairperson of the board of directors. With the transition of Dr. Aaron Rollins into the executive chairman role, Adam Feinstein has been designated as the lead independent director of the Company. Our corporate governance guidelines also provide that the independent directors shall meet periodically in executive session but no less than two times per year or whatever minimum has been set by the Nasdaq listing standards.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meet the definition of a “controlled company” under the Nasdaq listing standards, and thus we qualify for the “controlled company” exemption to the board of directors and committee composition requirements under the Nasdaq listing standards. If we were to rely on this exemption, we would be exempt from the requirements that (1) our board of directors be comprised of a majority of independent directors, (2) we have a nominating and corporate governance committee composed entirely of independent directors, and (3) our compensation committee be comprised solely of independent directors. The “controlled company” exemption does not modify the independence requirements for the audit committee, and we comply, and intend to continue complying, with the requirements of the Sarbanes-Oxley Act and the Nasdaq listing standards, which require that our audit committee be composed of at least three members and entirely of independent directors within one year from the date of this prospectus.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and do not intend to, rely on the "controlled company" exemption under the Nasdaq listing standards and we have taken all actions necessary to comply with such requirements, including appointing a majority of independent directors to the board of directors and establishing certain committees composed entirely of independent directors within the time frames set forth under the Nasdaq listing standards. However, as long as we remain a “controlled company” these requirements will not apply to us and we may, in the future, seek to utilize some or all of these exemptions.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Board and Committee Performance Review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our corporate governance guidelines, the nominating and corporate governance committee is responsible for reporting annually to the board of directors an evaluation of the overall performance of the board of directors. Additionally, the charters of the audit committee, compensation committee, and nominating and corporate governance committees each provide that the respective committee is responsible for performing or participating in an annual evaluation of its performance, the results of which are presented to the board of directors.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 Attendance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year ended December 31, 2022 (“Fiscal 2022”), our board of directors met seven times, our audit committee met four times, our compensation committee met seven times and our nominating and corporate governance committee met three times. Each director attended the board of directors' meetings and all of the meetings of the committees of the board of directors on which such director served in Fiscal 2022. The board of directors and its committees also approved certain actions by unanimous written consent in lieu of a meeting.</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our policy that our directors attend annual meetings of stockholders.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an audit committee, a compensation committee and a nominating and corporate governance committee. The composition and responsibilities of each of the committees of our board of directors are described below. Members serve on these committees until their resignation or until as otherwise determined by our board of directors. Each of the committees operates under its own written charter adopted by the board of directors, each of which is available on our website at </w:t>
      </w:r>
      <w:r>
        <w:rPr>
          <w:rFonts w:ascii="Times New Roman" w:cs="Times New Roman" w:eastAsia="Times New Roman" w:hAnsi="Times New Roman"/>
          <w:sz w:val="18"/>
          <w:szCs w:val="18"/>
          <w:i w:val="1"/>
          <w:iCs w:val="1"/>
          <w:color w:val="auto"/>
        </w:rPr>
        <w:t>https://investors.elitebodysculpture.com</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consists of Thomas Aaron, Caroline Chu, and Kenneth Higgins, with Thomas Aaron serving as Chairperson. The composition of our audit committee meets the requirements for independence under current Nasdaq listing standards and SEC rules and regulations. Each member of our audit committee meets the financial literacy requirements of Nasdaq listing standards. In addition, our board of directors has determined that Thomas Aaron is an audit committee financial expert within the meaning of Item 407(d) of Regulation S-K under the Securities Act of 1933. Our audit committee, among other things:</w:t>
      </w:r>
    </w:p>
    <w:p>
      <w:pPr>
        <w:spacing w:after="0" w:line="62"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consolidated financial statements and our critical accounting policies and practices;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selects a qualified firm to serve as the independent registered public accounting firm to audit our consolidated financial statements;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helps to ensure the independence and performance of the independent registered public accounting firm;</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the scope and results of the audit with the independent registered public accounting firm and reviews, with management and the independent registered public accounting firm, our interim and year-end results of operations;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pre-approves all audit and all permissible non-audit services to be performed by the independent registered public accounting firm;</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performance of our internal audit function when established;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adequacy of our internal controls;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cybersecurity controls, risks and policies</w:t>
      </w:r>
    </w:p>
    <w:p>
      <w:pPr>
        <w:spacing w:after="0" w:line="27" w:lineRule="exact"/>
        <w:rPr>
          <w:rFonts w:ascii="Times New Roman" w:cs="Times New Roman" w:eastAsia="Times New Roman" w:hAnsi="Times New Roman"/>
          <w:sz w:val="18"/>
          <w:szCs w:val="18"/>
          <w:color w:val="auto"/>
        </w:rPr>
      </w:pPr>
    </w:p>
    <w:p>
      <w:pPr>
        <w:ind w:left="660" w:hanging="328"/>
        <w:spacing w:after="0" w:line="230" w:lineRule="auto"/>
        <w:tabs>
          <w:tab w:leader="none" w:pos="660" w:val="left"/>
        </w:tabs>
        <w:numPr>
          <w:ilvl w:val="0"/>
          <w:numId w:val="52"/>
        </w:numPr>
        <w:rPr>
          <w:rFonts w:ascii="Arial" w:cs="Arial" w:eastAsia="Arial" w:hAnsi="Arial"/>
          <w:sz w:val="22"/>
          <w:szCs w:val="22"/>
          <w:color w:val="auto"/>
        </w:rPr>
      </w:pPr>
      <w:r>
        <w:rPr>
          <w:rFonts w:ascii="Times New Roman" w:cs="Times New Roman" w:eastAsia="Times New Roman" w:hAnsi="Times New Roman"/>
          <w:sz w:val="18"/>
          <w:szCs w:val="18"/>
          <w:color w:val="auto"/>
        </w:rPr>
        <w:t>develops procedures for employees to submit concerns anonymously about questionable accounting or audit matters;</w:t>
      </w:r>
    </w:p>
    <w:p>
      <w:pPr>
        <w:spacing w:after="0" w:line="90" w:lineRule="exact"/>
        <w:rPr>
          <w:rFonts w:ascii="Arial" w:cs="Arial" w:eastAsia="Arial" w:hAnsi="Arial"/>
          <w:sz w:val="22"/>
          <w:szCs w:val="22"/>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policies on risk assessment and risk management;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or disapproves all related party transactions.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rules of the SEC and the listing standards of Nasdaq.</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committee consists of Caroline Chu, Thomas Aaron, and Kenneth Higgins, with Caroline Chu serving as Chairperson. The composition of our compensation committee meets the requirements for independence under Nasdaq listing standards and SEC rules and regulations. Each member of the compensation committee is also a non-employee director, as defined pursuant to Rule 16b-3 promulgated under the Exchange Act. The purpose of our compensation committee is to discharge the responsibilities of our board of directors relating to compensation of our executive officers. Our compensation committee, among other things:</w:t>
      </w:r>
    </w:p>
    <w:p>
      <w:pPr>
        <w:spacing w:after="0" w:line="6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approves and determines, or makes recommendations to our board of directors regarding, the compensation of our executive officers;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administers our stock and equity incentive plans;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or makes recommendations to our board of directors regarding, incentive compensation and equity plans;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and reviews general policies relating to compensation and benefits of our employees.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rules of the SEC and the listing standards of Nasdaq. The charter provides that the compensation committee may, in its sole discretion and at the expense of the Company,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assist the compensation committee in meeting its responsibilities, the committee engaged Haigh &amp; Co. (“Haigh”) as its independent outside compensation consultant to regularly provide executive compensation market analysis and insight, with respect to our executive officers. Haigh only provides services to the compensation committee with respect to executive and director compensation and does not provide any other services to the Company.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Kenneth Higgins and Pamela Netzky, with Kenneth Higgins serving as Chairperson. The composition of our nominating and corporate governance committee meets the requirements for independence under Nasdaq listing standards and SEC rules and regulations. Our nominating and corporate governance committee, among other things:</w:t>
      </w:r>
    </w:p>
    <w:p>
      <w:pPr>
        <w:spacing w:after="0" w:line="54" w:lineRule="exact"/>
        <w:rPr>
          <w:sz w:val="20"/>
          <w:szCs w:val="20"/>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selects, or makes recommendations to our board of directors regarding, nominees for election to our board of directors and its committees;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performance of our board of directors and of individual directors;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considers and makes recommendations to our board of directors regarding the composition of our board of directors and its committees;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developments in corporate governance practices;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environmental, social and governance (ESG) matters;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adequacy of our corporate governance practices and reporting;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and makes recommendations to our board of directors regarding corporate governance guidelines and matters.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nominating and corporate governance committee operates under a written charter that satisfies the applicable listing requirements and rules of Nasdaq.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that our directors, executive officers, and greater than 10% stockholders file reports with the SEC relating to their initial beneficial ownership of our securities and any subsequent changes. These reports are commonly referred to as Form 3, Form 4 and Form 5 reports. They must also provide us with copies of the reports.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solely on a review of the copies of such forms in our possession, and on written representations from the reporting persons, we believe that all of these reporting persons complied with their filing requirements for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board of directors has a Code of Business Conduct and Ethics applicable to our directors, officers and employees. The Code of Business Conduct and Ethics is accessible on our website at </w:t>
      </w:r>
      <w:r>
        <w:rPr>
          <w:rFonts w:ascii="Times New Roman" w:cs="Times New Roman" w:eastAsia="Times New Roman" w:hAnsi="Times New Roman"/>
          <w:sz w:val="18"/>
          <w:szCs w:val="18"/>
          <w:i w:val="1"/>
          <w:iCs w:val="1"/>
          <w:color w:val="auto"/>
        </w:rPr>
        <w:t>https://investors.elitebodysculpture.com/corporate-governance/governance</w:t>
      </w:r>
      <w:r>
        <w:rPr>
          <w:rFonts w:ascii="Times New Roman" w:cs="Times New Roman" w:eastAsia="Times New Roman" w:hAnsi="Times New Roman"/>
          <w:sz w:val="18"/>
          <w:szCs w:val="18"/>
          <w:color w:val="auto"/>
        </w:rPr>
        <w:t>. If we make any substantive amendments to the Code of Business Conduct and Ethics or grant any waiver, including any implicit waiver, from a provision of the Code of Business Conduct and Ethics to our officers, we will disclose the nature of such amendment or waiver on that website or in a report on Form 8-K.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is a list of the names, ages, positions, and a brief account of the business experience of the individuals who serve as our executive officers as of March 10, 2023.</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December 30, 2022, the board of directors terminated the employment of Ronald Zelhof as Chief Operating Officer and President of the Company, effective December 30, 2022. As discussed below, Mr. Zelhof entered into a Separation and General Release Agreement (“Separation Agreement”) with the Company, which provides for the severance benefits specified in Section 7 of his employment agreement (previously filed as Exhibit 10.10 to the Company’s Registration Statement on Form S-1 (File No. 333-260067)) and continued vesting of certain equity awards.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0" w:type="dxa"/>
            <w:vAlign w:val="bottom"/>
          </w:tcPr>
          <w:p>
            <w:pPr>
              <w:spacing w:after="0"/>
              <w:rPr>
                <w:sz w:val="21"/>
                <w:szCs w:val="21"/>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Age</w:t>
            </w:r>
          </w:p>
        </w:tc>
        <w:tc>
          <w:tcPr>
            <w:tcW w:w="240" w:type="dxa"/>
            <w:vAlign w:val="bottom"/>
          </w:tcPr>
          <w:p>
            <w:pPr>
              <w:spacing w:after="0"/>
              <w:rPr>
                <w:sz w:val="21"/>
                <w:szCs w:val="21"/>
                <w:color w:val="auto"/>
              </w:rPr>
            </w:pPr>
          </w:p>
        </w:tc>
        <w:tc>
          <w:tcPr>
            <w:tcW w:w="654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72"/>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Todd Magazine </w:t>
            </w:r>
            <w:r>
              <w:rPr>
                <w:rFonts w:ascii="Times New Roman" w:cs="Times New Roman" w:eastAsia="Times New Roman" w:hAnsi="Times New Roman"/>
                <w:sz w:val="23"/>
                <w:szCs w:val="23"/>
                <w:color w:val="auto"/>
                <w:vertAlign w:val="superscript"/>
              </w:rPr>
              <w:t>(1)</w:t>
            </w: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23"/>
                <w:szCs w:val="23"/>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Dennis Dean</w:t>
            </w: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17"/>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Dr. Aaron Rollins </w:t>
            </w:r>
            <w:r>
              <w:rPr>
                <w:rFonts w:ascii="Times New Roman" w:cs="Times New Roman" w:eastAsia="Times New Roman" w:hAnsi="Times New Roman"/>
                <w:sz w:val="23"/>
                <w:szCs w:val="23"/>
                <w:color w:val="auto"/>
                <w:vertAlign w:val="superscript"/>
              </w:rPr>
              <w:t>(1)</w:t>
            </w: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4"/>
                <w:szCs w:val="24"/>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“Board of Directors” for a description of Todd Magazine’s and Dr. Aaron Rollins' experience.</w:t>
      </w:r>
    </w:p>
    <w:p>
      <w:pPr>
        <w:spacing w:after="0" w:line="3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Dennis Dean </w:t>
      </w:r>
      <w:r>
        <w:rPr>
          <w:rFonts w:ascii="Times New Roman" w:cs="Times New Roman" w:eastAsia="Times New Roman" w:hAnsi="Times New Roman"/>
          <w:sz w:val="18"/>
          <w:szCs w:val="18"/>
          <w:color w:val="auto"/>
        </w:rPr>
        <w:t>has served as our Chief Financial Officer since June 1, 2021. Mr. Dean has over 20 years of experience in multi-site healthcare services.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joining the Company, Mr. Dean served as Senior Vice President of Finance and Operations for Envision Healthcare from January 2019 to December 2020. Mr. Dean also served as Chief Accounting Officer and Corporate Controller for Surgery Partners and its predecessor company, Symbion, from 2008 through 2018 and was part of the team which took Surgery Partners public in 2015. Prior to joining Symbion, he co-founded Resource Partners, LLC, a healthcare-focused financial consulting firm, and began his career at Deloitte. Mr. Dean is a Certified Public Accountant and holds a B.S. in Accounting and an MAcc from Western Kentucky University.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provides an overview of the compensation of our principal executive officer and our next two most highly-compensated executive officers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2022. We refer to these individuals as our named executive officers. Our named executive officers for 2022 were:</w:t>
      </w:r>
    </w:p>
    <w:p>
      <w:pPr>
        <w:spacing w:after="0" w:line="234"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Aaron Rollins, our Chief Executive Officer;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Ronald P. Zelhof, our Chief Operating Officer;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Dennis Dean, our Chief Financial Officer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awarded to, earned by or paid to our named executive officers (“NEOs”) in respect of their service to us during Fiscal 2022 and the fiscal year ended December 31, 2021 (“Fiscal 2021”).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780" w:type="dxa"/>
            <w:vAlign w:val="bottom"/>
          </w:tcPr>
          <w:p>
            <w:pPr>
              <w:spacing w:after="0"/>
              <w:rPr>
                <w:sz w:val="17"/>
                <w:szCs w:val="17"/>
                <w:color w:val="auto"/>
              </w:rPr>
            </w:pPr>
          </w:p>
        </w:tc>
        <w:tc>
          <w:tcPr>
            <w:tcW w:w="13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Salary</w:t>
            </w:r>
          </w:p>
        </w:tc>
        <w:tc>
          <w:tcPr>
            <w:tcW w:w="10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Bonus</w:t>
            </w:r>
          </w:p>
        </w:tc>
        <w:tc>
          <w:tcPr>
            <w:tcW w:w="1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Stock Awards</w:t>
            </w:r>
          </w:p>
        </w:tc>
        <w:tc>
          <w:tcPr>
            <w:tcW w:w="18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Non-Equity Incentive</w:t>
            </w:r>
          </w:p>
        </w:tc>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All Other</w:t>
            </w:r>
          </w:p>
        </w:tc>
        <w:tc>
          <w:tcPr>
            <w:tcW w:w="10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75"/>
        </w:trPr>
        <w:tc>
          <w:tcPr>
            <w:tcW w:w="21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8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Plan Compensation</w:t>
            </w:r>
          </w:p>
        </w:tc>
        <w:tc>
          <w:tcPr>
            <w:tcW w:w="16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Compensation</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Year</w:t>
            </w: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50"/>
              <w:spacing w:after="0" w:line="243"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(1)</w:t>
            </w:r>
          </w:p>
        </w:tc>
        <w:tc>
          <w:tcPr>
            <w:tcW w:w="1260" w:type="dxa"/>
            <w:vAlign w:val="bottom"/>
            <w:tcBorders>
              <w:bottom w:val="single" w:sz="8" w:color="auto"/>
            </w:tcBorders>
          </w:tcPr>
          <w:p>
            <w:pPr>
              <w:jc w:val="right"/>
              <w:ind w:right="390"/>
              <w:spacing w:after="0" w:line="243"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(2)</w:t>
            </w:r>
          </w:p>
        </w:tc>
        <w:tc>
          <w:tcPr>
            <w:tcW w:w="1880" w:type="dxa"/>
            <w:vAlign w:val="bottom"/>
            <w:tcBorders>
              <w:bottom w:val="single" w:sz="8" w:color="auto"/>
            </w:tcBorders>
          </w:tcPr>
          <w:p>
            <w:pPr>
              <w:jc w:val="center"/>
              <w:ind w:right="50"/>
              <w:spacing w:after="0" w:line="243" w:lineRule="exact"/>
              <w:rPr>
                <w:sz w:val="20"/>
                <w:szCs w:val="20"/>
                <w:color w:val="auto"/>
              </w:rPr>
            </w:pPr>
            <w:r>
              <w:rPr>
                <w:rFonts w:ascii="Times New Roman" w:cs="Times New Roman" w:eastAsia="Times New Roman" w:hAnsi="Times New Roman"/>
                <w:sz w:val="18"/>
                <w:szCs w:val="18"/>
                <w:color w:val="auto"/>
                <w:w w:val="87"/>
              </w:rPr>
              <w:t>($)</w:t>
            </w:r>
            <w:r>
              <w:rPr>
                <w:rFonts w:ascii="Times New Roman" w:cs="Times New Roman" w:eastAsia="Times New Roman" w:hAnsi="Times New Roman"/>
                <w:sz w:val="23"/>
                <w:szCs w:val="23"/>
                <w:color w:val="auto"/>
                <w:w w:val="87"/>
                <w:vertAlign w:val="superscript"/>
              </w:rPr>
              <w:t>(3)</w:t>
            </w:r>
          </w:p>
        </w:tc>
        <w:tc>
          <w:tcPr>
            <w:tcW w:w="1600" w:type="dxa"/>
            <w:vAlign w:val="bottom"/>
            <w:tcBorders>
              <w:bottom w:val="single" w:sz="8" w:color="auto"/>
            </w:tcBorders>
          </w:tcPr>
          <w:p>
            <w:pPr>
              <w:jc w:val="center"/>
              <w:ind w:right="50"/>
              <w:spacing w:after="0" w:line="243" w:lineRule="exact"/>
              <w:rPr>
                <w:sz w:val="20"/>
                <w:szCs w:val="20"/>
                <w:color w:val="auto"/>
              </w:rPr>
            </w:pPr>
            <w:r>
              <w:rPr>
                <w:rFonts w:ascii="Times New Roman" w:cs="Times New Roman" w:eastAsia="Times New Roman" w:hAnsi="Times New Roman"/>
                <w:sz w:val="18"/>
                <w:szCs w:val="18"/>
                <w:color w:val="auto"/>
                <w:w w:val="87"/>
              </w:rPr>
              <w:t>($)</w:t>
            </w:r>
            <w:r>
              <w:rPr>
                <w:rFonts w:ascii="Times New Roman" w:cs="Times New Roman" w:eastAsia="Times New Roman" w:hAnsi="Times New Roman"/>
                <w:sz w:val="23"/>
                <w:szCs w:val="23"/>
                <w:color w:val="auto"/>
                <w:w w:val="87"/>
                <w:vertAlign w:val="superscript"/>
              </w:rPr>
              <w:t>(4)</w:t>
            </w: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Dr. Aaron Rollins</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875,000</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2,276,023</w:t>
            </w:r>
          </w:p>
        </w:tc>
        <w:tc>
          <w:tcPr>
            <w:tcW w:w="1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340,375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3,504,568</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c>
          <w:tcPr>
            <w:tcW w:w="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558,333</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430,833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27,606,116</w:t>
            </w:r>
          </w:p>
        </w:tc>
        <w:tc>
          <w:tcPr>
            <w:tcW w:w="1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404,668</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29,006,594</w:t>
            </w: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Ronald P. Zelhof</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575,000</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747,843</w:t>
            </w:r>
          </w:p>
        </w:tc>
        <w:tc>
          <w:tcPr>
            <w:tcW w:w="1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172,500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1,868,952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3,364,295</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Chief Operating Officer</w:t>
            </w:r>
          </w:p>
        </w:tc>
        <w:tc>
          <w:tcPr>
            <w:tcW w:w="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445,833</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5,558,542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13,803,051</w:t>
            </w:r>
          </w:p>
        </w:tc>
        <w:tc>
          <w:tcPr>
            <w:tcW w:w="1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18,817</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19,826,243</w:t>
            </w: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Dennis Dean</w:t>
            </w:r>
          </w:p>
        </w:tc>
        <w:tc>
          <w:tcPr>
            <w:tcW w:w="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500,000</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650,298</w:t>
            </w:r>
          </w:p>
        </w:tc>
        <w:tc>
          <w:tcPr>
            <w:tcW w:w="1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145,875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1,318,575</w:t>
            </w:r>
          </w:p>
        </w:tc>
        <w:tc>
          <w:tcPr>
            <w:tcW w:w="0" w:type="dxa"/>
            <w:vAlign w:val="bottom"/>
          </w:tcPr>
          <w:p>
            <w:pPr>
              <w:spacing w:after="0"/>
              <w:rPr>
                <w:sz w:val="1"/>
                <w:szCs w:val="1"/>
                <w:color w:val="auto"/>
              </w:rPr>
            </w:pPr>
          </w:p>
        </w:tc>
      </w:tr>
      <w:tr>
        <w:trPr>
          <w:trHeight w:val="234"/>
        </w:trPr>
        <w:tc>
          <w:tcPr>
            <w:tcW w:w="2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247,917</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2,219,167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13,803,051</w:t>
            </w:r>
          </w:p>
        </w:tc>
        <w:tc>
          <w:tcPr>
            <w:tcW w:w="1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16,270,135</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00" w:hanging="349"/>
        <w:spacing w:after="0"/>
        <w:tabs>
          <w:tab w:leader="none" w:pos="6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reflect cash bonus awards paid in connection with our initial public offering to Mr. Zelhof, in the amount of $4,750,000, and to Mr. Dean, in the amount of</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$1,800,000 and bonuses paid prior to our initial public offering in the amounts of $35,000, paid to Dr. Rollins in connection with an adjustment to his base salary, $570,00, paid to Mr.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Zelhof in connection with mid-year performance achievement milestones, and $225,000, paid to Mr. Dean as a sign-on bonus.</w:t>
      </w:r>
    </w:p>
    <w:p>
      <w:pPr>
        <w:spacing w:after="0" w:line="228" w:lineRule="exact"/>
        <w:rPr>
          <w:sz w:val="20"/>
          <w:szCs w:val="20"/>
          <w:color w:val="auto"/>
        </w:rPr>
      </w:pPr>
    </w:p>
    <w:p>
      <w:pPr>
        <w:ind w:left="660" w:right="40" w:hanging="409"/>
        <w:spacing w:after="0" w:line="251" w:lineRule="auto"/>
        <w:tabs>
          <w:tab w:leader="none" w:pos="595"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for 2022 represent the grant date fair value, as determined in accordance with FASB ASC Topic 718, of a one-time equity award in connection with our annual executive long term compensation program made up of 50% restricted stock unit awards ("RSUs") and 50% performance-based restricted stock unit awards ("PSUs") granted pursuant to the Company’s 2021 Equity Incentive Plan (the “2021 Plan”). Each of the performance-based restricted stock unit award amounts are based on achievement of a relative Total Shareholder Return ("rTSR") as compared to a specified peer company group. These awards can range from 0% to 200% as the highest level of award amounts that may be earned. Amounts in this column for 2021 represent the grant date fair value, as determined in accordance with FASB ASC Topic 718, of one-time equity awards in connection with our initial</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public offering. For further information regarding the 2021 equity awards, please see the discussion under the heading “Treatment of IPO Equity Awards.”</w:t>
      </w:r>
    </w:p>
    <w:p>
      <w:pPr>
        <w:spacing w:after="0" w:line="258" w:lineRule="exact"/>
        <w:rPr>
          <w:sz w:val="20"/>
          <w:szCs w:val="20"/>
          <w:color w:val="auto"/>
        </w:rPr>
      </w:pPr>
    </w:p>
    <w:p>
      <w:pPr>
        <w:ind w:left="660" w:right="180" w:hanging="409"/>
        <w:spacing w:after="0" w:line="261" w:lineRule="auto"/>
        <w:tabs>
          <w:tab w:leader="none" w:pos="559"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reflect annual incentive compensation payments earned by our named executive officers in 2022. Amounts in this column also reflect the Equityholder Bonus that Dr. Rollins earned in 2021, including the termination fee paid to Dr. Rollins in 2021, as described under “Narrative Disclosure to the Summary Compensation Table— Equityholder Bonus for Dr. Rollins” below.</w:t>
      </w:r>
    </w:p>
    <w:p>
      <w:pPr>
        <w:spacing w:after="0" w:line="203" w:lineRule="exact"/>
        <w:rPr>
          <w:rFonts w:ascii="Times New Roman" w:cs="Times New Roman" w:eastAsia="Times New Roman" w:hAnsi="Times New Roman"/>
          <w:sz w:val="14"/>
          <w:szCs w:val="14"/>
          <w:color w:val="auto"/>
        </w:rPr>
      </w:pPr>
    </w:p>
    <w:p>
      <w:pPr>
        <w:ind w:left="660" w:right="80" w:hanging="409"/>
        <w:spacing w:after="0" w:line="261" w:lineRule="auto"/>
        <w:tabs>
          <w:tab w:leader="none" w:pos="567"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30, 2022, Ronald Zelhof, the Chief Operating Officer, entered into a Separation Agreement with the Company. In connection with the Separation Agreement, a severance amount was paid to the executive based on Mr. Zelhof's employment contract. Amounts shown in the “All Other Compensation” column represent the severance payment to Mr. Zelhof in 2022 and medical, dental and vision insurance policy premiums paid by us.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Base Salary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named executive officer's base salary is a fixed component of compensation for each year for performing specific job duties and functions. The 2022 annual base salaries for our named executive officers are set forth in the Summary Compensation Table above.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2021, our board of directors approved an increase to Dr. Rollins’ annual base salary from $300,000 to $600,000 and an increase to Mr. Zelhof’s annual base salary from $300,000 to $500,000. Dr. Rollins’ annual base salary was further increased to $875,000 and Mr. Zelhof’s annual base salary was further increased to $575,000, in each case, in connection with our initial public offering and effective as of October 28, 2021. Mr. Dean’s annual base salary when he began employment with the Company, effective June 1, 2021, was $395,000 and Mr. Dean’s annual base salary was increased from $395,000 to $500,000 in connection with our initial public offering and effective as of October 28, 2021.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Cash Bonuses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their annual base salary, our named executive officers are eligible for an annual cash performance bonus for each fiscal year based upon achievement of our performance targets, as determined by our board of directors in its sole and absolute discretion. For 2022, Dr. Rollins, Mr. Zelhof and Mr. Dean were eligible to receive an annual incentive cash compensation of 100%, 75% and 75%, respectively, of their annual base salary based on annual EBITDA performance. In February of 2022, our board of directors approved the 2022 budgeted EBITDA target of $60.0 million and budgeted revenue target of $177.5 million. For the 2022 performance period, our EBITDA was $43.1 million and our revenue was $168.8 million. As a result of our performance versus company objectives and each named executive officer’s performance versus their respective individual objectives, Dr. Rollins, Mr.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Zelhof and Mr. Dean earned bonuses of $340,375, $172,500 and $143,875, respectively. These bonuses will be paid during the first quarter of 2023.</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Equity Awards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awarded RSUs and PSUs to each of Dr. Rollins, Mr. Zelhof and Mr. Dean (the “Annual Awards”) in 2022 from our 2021 Equity Incentive Award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Awards for Dr. Rollins, Mr. Zelhof and Mr. Dean were 50% in the form of RSUs and 50% in the form of PSUs.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RSUs granted to Dr. Rollins, Mr. Zelhof and Mr. Dean in connection with their Annual Awards cover 64,386 shares of our common stock, 21,156 shares of our common stock and 18,396 shares of our common stock, respectively. The RSUs vest one-third annually over the first three anniversaries of the date of grant, subject to continued employment on such date, except as otherwise described under “Potential Payments and Benefits upon Termination or Change in Control” below.</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Dr. Rollins, Mr. Zelhof and Mr. Dean, the number of PSUs granted to them in connection with their 2022 Annual Awards cover 64,385 shares of our common stock, 21,155 shares of our common stock and 18,396 shares of our common stock, respectively. The PSUs vest based on the Company's total shareholder return relative to a specified peer group (the "rTSR"). Based on the rTSR, the awards can settle in shares in a range of 0% to 200% of the total units. Vesting of the PSUs is subject to continued employment on the date the performance goal is achieved, except as otherwise described under “Potential Payments and Benefits upon Termination or Change in Control” below. Upon a change in control (as defined in the 2021 Plan), the performance conditions underlying the PSUs are deemed satisfied at 100% and the PSUs remain subject solely to time-based vesting over the remainder of the three year performance period, subject to continued service on such date except as otherwise described under “Potential Payments and Benefits upon Termination or Change in Control” below.</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current named executive officers are eligible to participate in our employee benefit plans, including our medical, dental, and vision, in each case on the same basis as all of our other employees, except that we pay for the full cost of premiums of such benefits for our named executive officers. We generally do not provide perquisites or personal benefits to our named executive officers.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5, 2021, we entered into Amended and Restated Employment Agreements with each of Dr. Rollins, Mr. Zelhof and Mr. Dean in connection with our initial public offering (the “Amended and Restated Employment Agreements”), which agreements became effective upon completion of our initial public offering. Except as noted below with respect to Mr. Zelhof, the Amended and Restated Employment Agreements applied with respect to all of the compensation disclosed int the Summary Compensation Table above.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Amended and Restated Employment Agreements each provide that the executive will receive a base salary of $875,000 (in the case of Dr. Rollins), $575,000 (in the case of Mr. Zelhof) and $500,000 (in the case of Mr. Dean), which may be reviewed annually and may be increased, but not decreased, without the executive’s consent. The Amended and Restated Employment Agreements also provide that the executive is eligible to receive an annual performance-based cash bonus with a target annual bonus of 100% of base salary (in the case of Dr. Rollins) and 75% of base salary (in the case of Mr. Zelhof and Mr. Dean), which bonus is earned based on the achievement of performance targets, as determined annually by our board of directors. Any annual bonus, to the extent earned, is paid in a lump sum.</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Amended and Restated Employment Agreements also provided that the executive would receive a special one-time equity award grant as soon as reasonably practicable following the completion of our initial public offering, which equity grants are described under “IPO Equity Awards” above.</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Amended and Restated Employment Agreements, the executives are also eligible to participate in the Company’s annual equity grant program, with the first such annual equity grant in the first quarter of 2022. Pursuant to his Amendment and Restated Employment Agreement, for Dr. Rollins, the 2022 annual equity grant has a grant date fair value equal to 200% of base salary, with a portion of such award being in the form of time-vesting restricted stock units that vest over three years in equal annual installments. All equity awards are subject to the approval of our board of directors. The Amended and Restated Employment Agreements for each of Mr. Zelhof and Mr. Dean also provided that the executive would receive a special one-time cash bonus in a lump sum payment as soon as reasonably practicable following the completion of our initial public offering in the amount of $4,750,000 (in the case of Mr. Zelhof) and $1,800,000 (in the case of Mr. Dean).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Amended and Restated Employment Agreements the executive may terminate their respective employment at any time and for any reason with 60 days’ prior written notice, provided, however, that we may accelerate the executive’s last day of employment to any date within the 60-day notice period without converting the resignation into anything other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than a voluntary resignation. We may terminate the executive’s employment immediately for “disability” (as defined in the Amended and Restated Employment Agreements) or immediately upon written notice for “cause” (as defined below). In the event that the executive’s employment is terminated due to his death or disability, for “cause” or upon his resignation without “good reason” (as defined below), we must provide the executive (or his beneficiaries) with (i) any unpaid base salary through the date of termination, (ii) payment for any accrued but unused paid time off, (iii) following submission of proper expense reports, reimbursement for expenses properly incurred, and (iv) all other vested entitlements or benefits to which he is entitled (collectively, the “Accrued Benefits”).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terminate the executive’s employment without cause (which in the case of Mr. Zelhof must be with 90 days’ written notice) or the executive terminates his employment for “good reason” (as defined below), then we must provide the executive with the Accrued Benefits and subject to the executive’s execution and non-revocation of a release of claims, a lump sum payment equal to two times (in the case of Dr. Rollins) and one and one-half times (in the case of Mr. Zelhof and Mr. Dean), the sum of (i) executive’s annual base salary, plus (ii) his target annual bonus, in each case at the rates and target amounts in effect as of such termination of employment.</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purposes of the Amended and Restated Employment Agreements with each of Dr. Rollins and Mr. Zelhof, “cause” generally means the executive’s (i) fraud, embezzlement or other misappropriation of funds or property of the Company or any of its subsidiaries or affiliates (each, a “Company Group Member”) or any persons or professional for which the Company or its subsidiaries or affiliates provides business, management, administrative, marketing or other support services (“Managed Practices”), (ii) any gross misconduct that is injurious, directly or indirectly, in any material respect to any Company Group Member or any Managed Practice, (iii) failure to perform, or breach of, in any material respect, of any obligations under the Employment Agreement or any other agreement between the executive and any Company Group Member, (iv) exclusion, debarment, termination or suspension under any Medicare, Medicaid, TRICARE or other federal, state or government health care program, or commission or conviction of, indictment for or plea of guilty or no contest to, any felony or any crime involving moral turpitude, embezzlement, fraud or self-dealing or any crime which could reasonably be expected to subject the executive, any Company Group Member, services or Managed Practice to exclusion, debarment, termination or suspension under any Medicare, Medicaid, TRICARE or other federal, state or government health care program, (v) use of alcohol or controlled substances that impairs the executive’s ability to perform his duties and responsibilities with respect to any Company Group Member or Managed Practice in any material respect, (vi) challenging the legality, validity or enforceability of any of the Managed Practice documents, (vii) termination by a Managed Practice owned or controlled by the executive of a managed services agreement with any Company Group Member for reasons other than a material breach of such agreement by any Company Group Member, (viii) the willful breach by a Managed Practice owned or controlled by the executive of a management services agreement with any Company Group Member, or (ix) the executive’s failure to give timely notice of his resignation under the employment agreement. With respect to items (ii), (iii), (viii) and (ix), any such action will only constitute “cause” if the board of directors notifies the executive in writing of such action and the executive has not remedied the action within 30 days of such notice. For Dr. Rollins, “cause” is also defined to include his license to practice medicine in the State of California or New York being revoked, terminated, cancelled, suspended, relinquished or placed on probationary status.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the Amended and Restated Employment Agreement with Mr. Dean, “cause” generally is defined in the same manner as set forth above for Dr. Rollins and Mr. Zelhof, however prongs (iv), (vii) and (viii) of the “cause” definition described above do not apply to Mr. Dean and are replaced with a prong that includes Mr. Dean’s conviction of, or plea of guilty or no contest to, a felony or crime involving moral turpitude.</w:t>
      </w:r>
    </w:p>
    <w:p>
      <w:pPr>
        <w:spacing w:after="0" w:line="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For purposes of the Amended and Restated Employment Agreements, “good reason” generally means (i) a material reduction of title authority, duties or responsibilities with the Company, (ii) a material reduction in base salary, (iii) relocation of principal place of work to a place more than 25 miles from the Company’s headquarters in Miami, Florida, or, in the case of Mr. Dean, 35 miles from Nashville, Tennessee, or (iv) a material breach by the Company of the employment agreement. Good reason will not exist unless the executive notifies the Company in writing of such action not later than 30 days after its initial occurrence and the Company has not remediated the action within 15 days of such notice. If the Company cannot remedy the action or condition for reasons beyond its control it may get a 15-day extension of the cure period.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Chair Agreement with Dr. Rollins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connection with his appointment to Executive Chairman of the board of directors, Dr. Rollins entered into an amended and restated employment agreement as of January 4, 2023 (the “Second Amended and Restated Employment Agreement”) (previously filed as Exhibit 10.2 to the Company’s current report on Form 8-K, dated December 30, 2022). The compensation outlined above for Dr. Rollins’ Amended and Restated Employment Agreements remains the same under his Second Amended and Restated Employment Agreement, as amendments reflect the change in his role with the Company and extend the term of his Second Amended and Restated Employment Agreement through October 29, 2024.</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Agreement for Mr. Zelhof</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December 30, 2022, the board of directors terminated the employment of Ronald Zelhof as Chief Operating Officer and President of the Company. In connection with such termination of employment Mr. Zelhof entered into a Separation and General Release Agreement (“Separation Agreement”) with the Company (previously filed as Exhibit 10.2 to the Company’s current report on Form 8-K, dated December 30, 2022), which provides for the severance benefits specified in Section 7 of his Amended and Restated Employment Agreement (previously filed as Exhibit 10.10 to the Company’s Registration Statement on Form S-1 (File No. 333-260067)). In addition, in connection with confirming that certain restrictive covenants remain in effect and waive of the notice period under his Amended and Restated Employment Agreement, Mr. Zelhof is entitled to remain eligible to earn a portion of the PSUs granted to Mr. Zelhof in 2021 and 2022 through March 31, 2024 and December 31, 2024, respectively, and partial accelerated vesting for 176,388 RSUs.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Covenants Agreement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entered into an Employee Covenants Agreement with Dr. Rollins dated as of October 2, 2018 (the “Rollins Covenants Agreement”), which agreement includes customary confidentiality and non-disparagement provisions, as well as provisions relating to assignment of inventions. On October 5, 2021, we entered into an amendment to the Rollins Covenants Agreement, which became effective upon completion of our initial public offering. The Rollins Covenants Agreement, as amended, also includes non-competition and non-solicitation of employees and customers provision that run during Dr. Rollins employment with the Company and for a period of twelve months after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6" w:name="page97"/>
    <w:bookmarkEnd w:id="96"/>
    <w:p>
      <w:pPr>
        <w:ind w:left="8"/>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0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As of December 31, 2022, our named executive officers held outstanding equity-based awards of the Company as listed in the table below.</w:t>
      </w:r>
    </w:p>
    <w:p>
      <w:pPr>
        <w:spacing w:after="0" w:line="200" w:lineRule="exact"/>
        <w:rPr>
          <w:sz w:val="20"/>
          <w:szCs w:val="20"/>
          <w:color w:val="auto"/>
        </w:rPr>
      </w:pPr>
    </w:p>
    <w:p>
      <w:pPr>
        <w:spacing w:after="0" w:line="201"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Stock Awards</w:t>
            </w:r>
          </w:p>
        </w:tc>
        <w:tc>
          <w:tcPr>
            <w:tcW w:w="1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Equity Incentive Plan</w:t>
            </w:r>
          </w:p>
        </w:tc>
        <w:tc>
          <w:tcPr>
            <w:tcW w:w="18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Equity Incentive Plan</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Number of Shares or</w:t>
            </w:r>
          </w:p>
        </w:tc>
        <w:tc>
          <w:tcPr>
            <w:tcW w:w="190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7"/>
              </w:rPr>
              <w:t>Market Value of Shares</w:t>
            </w:r>
          </w:p>
        </w:tc>
        <w:tc>
          <w:tcPr>
            <w:tcW w:w="18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Awards: Number of</w:t>
            </w:r>
          </w:p>
        </w:tc>
        <w:tc>
          <w:tcPr>
            <w:tcW w:w="18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Awards: Market Value of</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Units That Have Not</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or Units That Have Not</w:t>
            </w: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Unearned Shares or</w:t>
            </w:r>
          </w:p>
        </w:tc>
        <w:tc>
          <w:tcPr>
            <w:tcW w:w="1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Unearned Shares or</w:t>
            </w:r>
          </w:p>
        </w:tc>
        <w:tc>
          <w:tcPr>
            <w:tcW w:w="0" w:type="dxa"/>
            <w:vAlign w:val="bottom"/>
          </w:tcPr>
          <w:p>
            <w:pPr>
              <w:spacing w:after="0"/>
              <w:rPr>
                <w:sz w:val="1"/>
                <w:szCs w:val="1"/>
                <w:color w:val="auto"/>
              </w:rPr>
            </w:pPr>
          </w:p>
        </w:tc>
      </w:tr>
      <w:tr>
        <w:trPr>
          <w:trHeight w:val="189"/>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Grant Date</w:t>
            </w:r>
          </w:p>
        </w:tc>
        <w:tc>
          <w:tcPr>
            <w:tcW w:w="1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4"/>
              </w:rPr>
              <w:t>Yet Vested</w:t>
            </w:r>
          </w:p>
        </w:tc>
        <w:tc>
          <w:tcPr>
            <w:tcW w:w="190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4"/>
              </w:rPr>
              <w:t>Yet Vested</w:t>
            </w:r>
          </w:p>
        </w:tc>
        <w:tc>
          <w:tcPr>
            <w:tcW w:w="18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Units That Have Not</w:t>
            </w:r>
          </w:p>
        </w:tc>
        <w:tc>
          <w:tcPr>
            <w:tcW w:w="18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Units That Have Not</w:t>
            </w:r>
          </w:p>
        </w:tc>
        <w:tc>
          <w:tcPr>
            <w:tcW w:w="0" w:type="dxa"/>
            <w:vAlign w:val="bottom"/>
          </w:tcPr>
          <w:p>
            <w:pPr>
              <w:spacing w:after="0"/>
              <w:rPr>
                <w:sz w:val="1"/>
                <w:szCs w:val="1"/>
                <w:color w:val="auto"/>
              </w:rPr>
            </w:pPr>
          </w:p>
        </w:tc>
      </w:tr>
      <w:tr>
        <w:trPr>
          <w:trHeight w:val="230"/>
        </w:trPr>
        <w:tc>
          <w:tcPr>
            <w:tcW w:w="248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94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2"/>
              </w:rPr>
              <w:t>(#)</w:t>
            </w:r>
            <w:r>
              <w:rPr>
                <w:rFonts w:ascii="Times New Roman" w:cs="Times New Roman" w:eastAsia="Times New Roman" w:hAnsi="Times New Roman"/>
                <w:sz w:val="23"/>
                <w:szCs w:val="23"/>
                <w:color w:val="auto"/>
                <w:w w:val="92"/>
                <w:vertAlign w:val="superscript"/>
              </w:rPr>
              <w:t>(1)</w:t>
            </w:r>
          </w:p>
        </w:tc>
        <w:tc>
          <w:tcPr>
            <w:tcW w:w="1900" w:type="dxa"/>
            <w:vAlign w:val="bottom"/>
          </w:tcPr>
          <w:p>
            <w:pPr>
              <w:jc w:val="center"/>
              <w:ind w:right="10"/>
              <w:spacing w:after="0" w:line="230" w:lineRule="exact"/>
              <w:rPr>
                <w:sz w:val="20"/>
                <w:szCs w:val="20"/>
                <w:color w:val="auto"/>
              </w:rPr>
            </w:pPr>
            <w:r>
              <w:rPr>
                <w:rFonts w:ascii="Times New Roman" w:cs="Times New Roman" w:eastAsia="Times New Roman" w:hAnsi="Times New Roman"/>
                <w:sz w:val="18"/>
                <w:szCs w:val="18"/>
                <w:color w:val="auto"/>
                <w:w w:val="92"/>
              </w:rPr>
              <w:t>($)</w:t>
            </w:r>
            <w:r>
              <w:rPr>
                <w:rFonts w:ascii="Times New Roman" w:cs="Times New Roman" w:eastAsia="Times New Roman" w:hAnsi="Times New Roman"/>
                <w:sz w:val="23"/>
                <w:szCs w:val="23"/>
                <w:color w:val="auto"/>
                <w:w w:val="92"/>
                <w:vertAlign w:val="superscript"/>
              </w:rPr>
              <w:t>(2)</w:t>
            </w:r>
          </w:p>
        </w:tc>
        <w:tc>
          <w:tcPr>
            <w:tcW w:w="180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2"/>
              </w:rPr>
              <w:t>Vested (#)</w:t>
            </w:r>
            <w:r>
              <w:rPr>
                <w:rFonts w:ascii="Times New Roman" w:cs="Times New Roman" w:eastAsia="Times New Roman" w:hAnsi="Times New Roman"/>
                <w:sz w:val="23"/>
                <w:szCs w:val="23"/>
                <w:color w:val="auto"/>
                <w:w w:val="92"/>
                <w:vertAlign w:val="superscript"/>
              </w:rPr>
              <w:t>(3)</w:t>
            </w:r>
          </w:p>
        </w:tc>
        <w:tc>
          <w:tcPr>
            <w:tcW w:w="18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2"/>
              </w:rPr>
              <w:t>Vested ($)</w:t>
            </w:r>
            <w:r>
              <w:rPr>
                <w:rFonts w:ascii="Times New Roman" w:cs="Times New Roman" w:eastAsia="Times New Roman" w:hAnsi="Times New Roman"/>
                <w:sz w:val="23"/>
                <w:szCs w:val="23"/>
                <w:color w:val="auto"/>
                <w:w w:val="92"/>
                <w:vertAlign w:val="superscript"/>
              </w:rPr>
              <w:t>(2)</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Dr. Aaron Rollins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649,136</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2,401,803</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11/4/2021</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811,420</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3,002,254</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2/25/2022</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64,386</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238,228</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2/25/2022</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64,385</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238,225</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Ronald P. Zelhof </w:t>
            </w:r>
            <w:r>
              <w:rPr>
                <w:rFonts w:ascii="Times New Roman" w:cs="Times New Roman" w:eastAsia="Times New Roman" w:hAnsi="Times New Roman"/>
                <w:sz w:val="23"/>
                <w:szCs w:val="23"/>
                <w:b w:val="1"/>
                <w:bCs w:val="1"/>
                <w:color w:val="auto"/>
                <w:vertAlign w:val="superscript"/>
              </w:rPr>
              <w:t>(4)</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Operating Officer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11/4/2021</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99,603</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368,531</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2/25/2022</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2/25/2022</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32,493</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Dennis Dean</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324,568</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1,200,902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11/4/2021</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405,710</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1,501,127</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2/25/2022</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18,396</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68,065</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2/25/2022</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18,396</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8" w:right="20" w:hanging="408"/>
        <w:spacing w:after="0" w:line="302" w:lineRule="auto"/>
        <w:tabs>
          <w:tab w:leader="none" w:pos="357"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RSU awards granted in connection with the IPO Awards. RSUs vest in three equal installments on each of November 2, 2022, November 2, 2023 and November 2, 2024. Also includes RSU awards granted on February 25, 2022 that vest in three equal installments on each of January 1, 2023, 2024 and 2025.</w:t>
      </w:r>
    </w:p>
    <w:p>
      <w:pPr>
        <w:spacing w:after="0" w:line="40" w:lineRule="exact"/>
        <w:rPr>
          <w:rFonts w:ascii="Times New Roman" w:cs="Times New Roman" w:eastAsia="Times New Roman" w:hAnsi="Times New Roman"/>
          <w:sz w:val="14"/>
          <w:szCs w:val="14"/>
          <w:color w:val="auto"/>
        </w:rPr>
      </w:pPr>
    </w:p>
    <w:p>
      <w:pPr>
        <w:ind w:left="308" w:hanging="308"/>
        <w:spacing w:after="0"/>
        <w:tabs>
          <w:tab w:leader="none" w:pos="30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closing sale price of AirSculpt common stock on NASDAQ of $3.70 per share on December 30, 2022.</w:t>
      </w:r>
    </w:p>
    <w:p>
      <w:pPr>
        <w:spacing w:after="0" w:line="122" w:lineRule="exact"/>
        <w:rPr>
          <w:rFonts w:ascii="Times New Roman" w:cs="Times New Roman" w:eastAsia="Times New Roman" w:hAnsi="Times New Roman"/>
          <w:sz w:val="14"/>
          <w:szCs w:val="14"/>
          <w:color w:val="auto"/>
        </w:rPr>
      </w:pPr>
    </w:p>
    <w:p>
      <w:pPr>
        <w:ind w:left="408" w:hanging="408"/>
        <w:spacing w:after="0" w:line="281" w:lineRule="auto"/>
        <w:tabs>
          <w:tab w:leader="none" w:pos="357"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PSU awards granted in connection with the IPO Awards. PSU awards vest based on achievement of performance conditions over a three-year performance period, as described under “IPO Awards” above. PSUs are included at 100% performance. Also, includes PSU awards granted on February 25, 2022, which vest based on achievement of a relative total shareholder return as described under "Annual Equity Awards" section above.</w:t>
      </w:r>
    </w:p>
    <w:p>
      <w:pPr>
        <w:spacing w:after="0" w:line="69" w:lineRule="exact"/>
        <w:rPr>
          <w:rFonts w:ascii="Times New Roman" w:cs="Times New Roman" w:eastAsia="Times New Roman" w:hAnsi="Times New Roman"/>
          <w:sz w:val="14"/>
          <w:szCs w:val="14"/>
          <w:color w:val="auto"/>
        </w:rPr>
      </w:pPr>
    </w:p>
    <w:p>
      <w:pPr>
        <w:ind w:left="408" w:right="20" w:hanging="408"/>
        <w:spacing w:after="0" w:line="282" w:lineRule="auto"/>
        <w:tabs>
          <w:tab w:leader="none" w:pos="37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Separation Agreement with Ron Zelhof, 180,744 PSUs related to his IPO Awards and 8,782 PSUs from his award on February 25th, 2022 would remain outstanding. If the performance objectives are met by March 31, 2024 for the IPO awards and December 31, 2022 for the remaining awards, the awards would vest accordingly.</w:t>
      </w:r>
    </w:p>
    <w:p>
      <w:pPr>
        <w:spacing w:after="0" w:line="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Potential Payments and Benefits upon Termination or Change in Control</w:t>
      </w:r>
    </w:p>
    <w:p>
      <w:pPr>
        <w:spacing w:after="0" w:line="121"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As discussed under “Employment Agreements,” the Amended and Restated Employment Agreements provide for certain severance payments in connection with our NEOs termination of employment under certain circumstances.</w:t>
      </w:r>
    </w:p>
    <w:p>
      <w:pPr>
        <w:spacing w:after="0" w:line="2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Treatment of IPO Equity Awards</w:t>
      </w:r>
    </w:p>
    <w:p>
      <w:pPr>
        <w:spacing w:after="0" w:line="121"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As detailed above under “IPO Awards,” we granted to each of Dr. Rollins, Mr. Zelhof and Mr. Dean RSUs and PSUs in connection with our initial public offering. The RSU and PSU grants provide for the following treatment in connection with certain qualifying terminations of employment or a change in control. All references to “change in control” in this section refer to such term as it is defined in the 2021 Plan.</w:t>
      </w:r>
    </w:p>
    <w:p>
      <w:pPr>
        <w:spacing w:after="0" w:line="201"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i w:val="1"/>
          <w:iCs w:val="1"/>
          <w:color w:val="auto"/>
        </w:rPr>
        <w:t>Dr. Rollins</w:t>
      </w:r>
      <w:r>
        <w:rPr>
          <w:rFonts w:ascii="Times New Roman" w:cs="Times New Roman" w:eastAsia="Times New Roman" w:hAnsi="Times New Roman"/>
          <w:sz w:val="18"/>
          <w:szCs w:val="18"/>
          <w:color w:val="auto"/>
        </w:rPr>
        <w:t>. In the event of a termination of Dr. Rollins without cause, for good reason or due to his death or disability, (i) all unvested RSUs granted to Dr.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Rollins will accelerate and vest in full as of the date of such termination and (ii) all unvested PSUs will remain outstanding and eligible to vest pro-rata, based on time employed during the performance period, subject to achievement of the specified performance condition during the performance period. The terms “cause” and “good reason” are as defined in Dr. Rollins’s employment agreement. On a change in control, all PSUs will be converted into time-vesting RSUs at target amounts, with cliff vesting at the end of the applicable performance period.</w:t>
      </w:r>
    </w:p>
    <w:p>
      <w:pPr>
        <w:spacing w:after="0" w:line="200" w:lineRule="exact"/>
        <w:rPr>
          <w:sz w:val="20"/>
          <w:szCs w:val="20"/>
          <w:color w:val="auto"/>
        </w:rPr>
      </w:pPr>
    </w:p>
    <w:p>
      <w:pPr>
        <w:spacing w:after="0" w:line="37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8"/>
          </w:cols>
          <w:pgMar w:left="312" w:top="51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a qualifying termination of employment following a change in control, all unvested RSUs and PSUs will accelerate and vest in full as of the date of such termination.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Mr. Zelhof and Mr. Dean</w:t>
      </w:r>
      <w:r>
        <w:rPr>
          <w:rFonts w:ascii="Times New Roman" w:cs="Times New Roman" w:eastAsia="Times New Roman" w:hAnsi="Times New Roman"/>
          <w:sz w:val="18"/>
          <w:szCs w:val="18"/>
          <w:color w:val="auto"/>
        </w:rPr>
        <w:t>. In the event of a termination of Mr. Zelhof or Mr. Dean without cause, for good reason or due to death or disability, (i)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unvested RSUs that would have vested during the twelve month period following the executive’s termination of employment will vest as of the date of such termination and (ii) all unvested PSUs will remain outstanding and eligible to vest pro rata, based on time employed during the performance period, for a period of 12 months following termination of employment, subject to achievement of the specified performance condition during such twelve month period. The terms “cause” and “good reason” are as defined in the executive’s employment agreement. On a change in control, all PSUs will be converted into time-vesting RSUs at target amounts, with cliff vesting at the end of the applicable performance period. Upon a qualifying termination of employment during the eighteen month period immediately following a change control, all unvested RSUs and PSUs will accelerate and vest in full as of the date of such termination.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compensation awarded to, earned by or paid to the non-employee members of our board of directors in respect of their service to our board of directors during our Fiscal 2022. Dr. Rollins’ compensation for Fiscal 2022 is included in the “Summary compensation table” above and as described in the accompanying narrative description. Other than as set forth in the table below, we did not pay any compensation to any of the members of our board of directors for Fiscal 2022.</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32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Fees Earned or Paid in</w:t>
            </w:r>
          </w:p>
        </w:tc>
        <w:tc>
          <w:tcPr>
            <w:tcW w:w="18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04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50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60" w:type="dxa"/>
            <w:vAlign w:val="bottom"/>
          </w:tcPr>
          <w:p>
            <w:pPr>
              <w:jc w:val="center"/>
              <w:ind w:left="930"/>
              <w:spacing w:after="0" w:line="176" w:lineRule="exact"/>
              <w:rPr>
                <w:sz w:val="20"/>
                <w:szCs w:val="20"/>
                <w:color w:val="auto"/>
              </w:rPr>
            </w:pPr>
            <w:r>
              <w:rPr>
                <w:rFonts w:ascii="Times New Roman" w:cs="Times New Roman" w:eastAsia="Times New Roman" w:hAnsi="Times New Roman"/>
                <w:sz w:val="18"/>
                <w:szCs w:val="18"/>
                <w:b w:val="1"/>
                <w:bCs w:val="1"/>
                <w:color w:val="auto"/>
              </w:rPr>
              <w:t>Cash</w:t>
            </w:r>
          </w:p>
        </w:tc>
        <w:tc>
          <w:tcPr>
            <w:tcW w:w="1860" w:type="dxa"/>
            <w:vAlign w:val="bottom"/>
            <w:vMerge w:val="continue"/>
          </w:tcPr>
          <w:p>
            <w:pPr>
              <w:spacing w:after="0"/>
              <w:rPr>
                <w:sz w:val="15"/>
                <w:szCs w:val="15"/>
                <w:color w:val="auto"/>
              </w:rPr>
            </w:pPr>
          </w:p>
        </w:tc>
        <w:tc>
          <w:tcPr>
            <w:tcW w:w="2040" w:type="dxa"/>
            <w:vAlign w:val="bottom"/>
          </w:tcPr>
          <w:p>
            <w:pPr>
              <w:jc w:val="center"/>
              <w:ind w:right="4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tcBorders>
              <w:bottom w:val="single" w:sz="8" w:color="auto"/>
            </w:tcBorders>
            <w:vMerge w:val="continue"/>
          </w:tcPr>
          <w:p>
            <w:pPr>
              <w:spacing w:after="0"/>
              <w:rPr>
                <w:sz w:val="21"/>
                <w:szCs w:val="21"/>
                <w:color w:val="auto"/>
              </w:rPr>
            </w:pPr>
          </w:p>
        </w:tc>
        <w:tc>
          <w:tcPr>
            <w:tcW w:w="3260" w:type="dxa"/>
            <w:vAlign w:val="bottom"/>
            <w:tcBorders>
              <w:bottom w:val="single" w:sz="8" w:color="auto"/>
            </w:tcBorders>
          </w:tcPr>
          <w:p>
            <w:pPr>
              <w:jc w:val="center"/>
              <w:ind w:left="930"/>
              <w:spacing w:after="0" w:line="243" w:lineRule="exact"/>
              <w:rPr>
                <w:sz w:val="20"/>
                <w:szCs w:val="20"/>
                <w:color w:val="auto"/>
              </w:rPr>
            </w:pPr>
            <w:r>
              <w:rPr>
                <w:rFonts w:ascii="Times New Roman" w:cs="Times New Roman" w:eastAsia="Times New Roman" w:hAnsi="Times New Roman"/>
                <w:sz w:val="18"/>
                <w:szCs w:val="18"/>
                <w:b w:val="1"/>
                <w:bCs w:val="1"/>
                <w:color w:val="auto"/>
                <w:w w:val="92"/>
              </w:rPr>
              <w:t>($)</w:t>
            </w:r>
            <w:r>
              <w:rPr>
                <w:rFonts w:ascii="Times New Roman" w:cs="Times New Roman" w:eastAsia="Times New Roman" w:hAnsi="Times New Roman"/>
                <w:sz w:val="23"/>
                <w:szCs w:val="23"/>
                <w:b w:val="1"/>
                <w:bCs w:val="1"/>
                <w:color w:val="auto"/>
                <w:w w:val="92"/>
                <w:vertAlign w:val="superscript"/>
              </w:rPr>
              <w:t>(1)</w:t>
            </w:r>
          </w:p>
        </w:tc>
        <w:tc>
          <w:tcPr>
            <w:tcW w:w="1860" w:type="dxa"/>
            <w:vAlign w:val="bottom"/>
            <w:tcBorders>
              <w:bottom w:val="single" w:sz="8" w:color="auto"/>
            </w:tcBorders>
          </w:tcPr>
          <w:p>
            <w:pPr>
              <w:jc w:val="right"/>
              <w:ind w:right="850"/>
              <w:spacing w:after="0" w:line="243"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3"/>
                <w:szCs w:val="23"/>
                <w:b w:val="1"/>
                <w:bCs w:val="1"/>
                <w:color w:val="auto"/>
                <w:vertAlign w:val="superscript"/>
              </w:rPr>
              <w:t>(2)</w:t>
            </w:r>
          </w:p>
        </w:tc>
        <w:tc>
          <w:tcPr>
            <w:tcW w:w="204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Thomas Aaron</w:t>
            </w:r>
          </w:p>
        </w:tc>
        <w:tc>
          <w:tcPr>
            <w:tcW w:w="3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102,500</w:t>
            </w:r>
          </w:p>
        </w:tc>
        <w:tc>
          <w:tcPr>
            <w:tcW w:w="1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201,591</w:t>
            </w:r>
          </w:p>
        </w:tc>
        <w:tc>
          <w:tcPr>
            <w:tcW w:w="20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1,498</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305,589</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Caroline Chu</w:t>
            </w:r>
          </w:p>
        </w:tc>
        <w:tc>
          <w:tcPr>
            <w:tcW w:w="3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100,000</w:t>
            </w:r>
          </w:p>
        </w:tc>
        <w:tc>
          <w:tcPr>
            <w:tcW w:w="1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201,591</w:t>
            </w:r>
          </w:p>
        </w:tc>
        <w:tc>
          <w:tcPr>
            <w:tcW w:w="2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1,955</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303,546</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Kenneth Higgins</w:t>
            </w:r>
          </w:p>
        </w:tc>
        <w:tc>
          <w:tcPr>
            <w:tcW w:w="3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107,500</w:t>
            </w:r>
          </w:p>
        </w:tc>
        <w:tc>
          <w:tcPr>
            <w:tcW w:w="1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201,591</w:t>
            </w:r>
          </w:p>
        </w:tc>
        <w:tc>
          <w:tcPr>
            <w:tcW w:w="20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4,386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313,477</w:t>
            </w:r>
          </w:p>
        </w:tc>
        <w:tc>
          <w:tcPr>
            <w:tcW w:w="0" w:type="dxa"/>
            <w:vAlign w:val="bottom"/>
          </w:tcPr>
          <w:p>
            <w:pPr>
              <w:spacing w:after="0"/>
              <w:rPr>
                <w:sz w:val="1"/>
                <w:szCs w:val="1"/>
                <w:color w:val="auto"/>
              </w:rPr>
            </w:pPr>
          </w:p>
        </w:tc>
      </w:tr>
      <w:tr>
        <w:trPr>
          <w:trHeight w:val="238"/>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Pamela Netzky</w:t>
            </w:r>
          </w:p>
        </w:tc>
        <w:tc>
          <w:tcPr>
            <w:tcW w:w="32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82,500</w:t>
            </w:r>
          </w:p>
        </w:tc>
        <w:tc>
          <w:tcPr>
            <w:tcW w:w="1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201,591</w:t>
            </w:r>
          </w:p>
        </w:tc>
        <w:tc>
          <w:tcPr>
            <w:tcW w:w="2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2,711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286,802</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340" w:right="20" w:hanging="332"/>
        <w:spacing w:after="0" w:line="302" w:lineRule="auto"/>
        <w:tabs>
          <w:tab w:leader="none" w:pos="422"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annual cash retainers, committee chair and committee membership fees. Any director who is an officer of the Company and any director who is nominated by Vesey Street Capital Partners, L.L.C., including Messrs. Feinstein and Sollof, did not receive any AirSculpt director compensation.</w:t>
      </w:r>
    </w:p>
    <w:p>
      <w:pPr>
        <w:spacing w:after="0" w:line="107" w:lineRule="exact"/>
        <w:rPr>
          <w:rFonts w:ascii="Times New Roman" w:cs="Times New Roman" w:eastAsia="Times New Roman" w:hAnsi="Times New Roman"/>
          <w:sz w:val="14"/>
          <w:szCs w:val="14"/>
          <w:color w:val="auto"/>
        </w:rPr>
      </w:pPr>
    </w:p>
    <w:p>
      <w:pPr>
        <w:jc w:val="both"/>
        <w:ind w:left="340" w:hanging="332"/>
        <w:spacing w:after="0" w:line="281" w:lineRule="auto"/>
        <w:tabs>
          <w:tab w:leader="none" w:pos="409"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grant date fair value, as determined in accordance with FASB ASC Topic 718, of awards of restricted stock units granted under the 2021 Plan. Awards granted in connection with our initial public offering settle one year after grant. Aggregate restricted stock unit awards outstanding as of December 31, 2022 are 18,427 for each of Mr. Aaron, Ms. Chu, Mr. Higgins and Ms. Netzky.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Director Compensation Table</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our initial public offering, we adopted a formal policy governing the compensation of our non-employee directors. Any director who also serves as an employee receives no additional compensation for services as a director or as a member of a committee of our board of directors. Compensation for our non-employee directors (other than Adam Feinstein and Daniel Sollof, who are not compensated for their service as directors) includes an annual cash retainer of $75,000. In addition, non-employee directors (other than Adam Feinstein and Daniel Sollof, who are not compensated for their service as directors) also receive an additional cash retainer for service on the audit committee, compensation committee, or nominating and corporate governance committee of our board of directors. The chairman of the audit committee receives an additional cash retainer of $20,000, and the other members of the audit committee will receive an additional cash retainer of $10,000. The chairmen of the compensation committee or nominating and corporate governance committee each receive an additional cash retainer of $15,000, and each other member of such committee will receive an additional cash retainer of $7,500. All cash retainers for service on committees of our board of directors are payable quarterly. All cash retainers will be pro-rated for any partial periods of service. In addition to cash compensation, each non-employee director (other than Adam Feinstein and Daniel Sollof, who are not compensated for their service as directors) receives an annual RSU grant, which will be granted at each annual meeting of our stockholders and will vest upon the earlier of (i) the first anniversary of the date of grant or (ii) the day prior to our next annual meeting of stockholders. For Fiscal 2022, we granted 18,427 RSUs under the 2021 Plan to each of our non-employee directors which RSUs will vest on May 11, 2023, subject to each non-employee director’s continued service through such date.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820"/>
        <w:spacing w:after="0" w:line="393"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 and Management and Related Stockholder Matters Beneficial Ownership</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March 10, 2023 by (i) each person, or group of affiliated persons, known by us to beneficially own more than 5% of our common stock, (ii) each of our directors and named executive officers, and (iii) all of our directors and executive officers as a group.</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These rules generally attribute beneficial ownership of securities to persons who possess sole or shared voting power or investment power with respect to such securities. To our knowledge, except as otherwise indicated, all persons listed below have sole voting and investment power with respect to the shares beneficially owned by them, subject to applicable community property laws.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Applicable percentage ownership is based on </w:t>
      </w:r>
      <w:r>
        <w:rPr>
          <w:rFonts w:ascii="Times New Roman" w:cs="Times New Roman" w:eastAsia="Times New Roman" w:hAnsi="Times New Roman"/>
          <w:sz w:val="16"/>
          <w:szCs w:val="16"/>
          <w:color w:val="auto"/>
        </w:rPr>
        <w:t>56,385,671</w:t>
      </w:r>
      <w:r>
        <w:rPr>
          <w:rFonts w:ascii="Times New Roman" w:cs="Times New Roman" w:eastAsia="Times New Roman" w:hAnsi="Times New Roman"/>
          <w:sz w:val="18"/>
          <w:szCs w:val="18"/>
          <w:color w:val="auto"/>
        </w:rPr>
        <w:t xml:space="preserve"> shares of common stock outstanding as of March 10, 2023. RSUs that may vest and settle within 60 days of March 10, 2023 are deemed to be outstanding and to be beneficially owned by the person holding the RSUs for the purpose of computing the percentage ownership of that person but are not treated as outstanding for the purpose of computing the percentage ownership of any other person. Unless otherwise indicated, the address for each listed stockholder is: 1111 Lincoln Road, Suite 802, Miami Beach, Florida 33139.</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Common Stock beneficially owned</w:t>
            </w:r>
          </w:p>
        </w:tc>
        <w:tc>
          <w:tcPr>
            <w:tcW w:w="0" w:type="dxa"/>
            <w:vAlign w:val="bottom"/>
          </w:tcPr>
          <w:p>
            <w:pPr>
              <w:spacing w:after="0"/>
              <w:rPr>
                <w:sz w:val="1"/>
                <w:szCs w:val="1"/>
                <w:color w:val="auto"/>
              </w:rPr>
            </w:pPr>
          </w:p>
        </w:tc>
      </w:tr>
      <w:tr>
        <w:trPr>
          <w:trHeight w:val="263"/>
        </w:trPr>
        <w:tc>
          <w:tcPr>
            <w:tcW w:w="6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360" w:type="dxa"/>
            <w:vAlign w:val="bottom"/>
            <w:tcBorders>
              <w:bottom w:val="single" w:sz="8" w:color="CCECFF"/>
            </w:tcBorders>
          </w:tcPr>
          <w:p>
            <w:pPr>
              <w:spacing w:after="0"/>
              <w:rPr>
                <w:sz w:val="22"/>
                <w:szCs w:val="22"/>
                <w:color w:val="auto"/>
              </w:rPr>
            </w:pPr>
          </w:p>
        </w:tc>
        <w:tc>
          <w:tcPr>
            <w:tcW w:w="18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Borders>
              <w:bottom w:val="single" w:sz="8" w:color="CCECFF"/>
            </w:tcBorders>
          </w:tcPr>
          <w:p>
            <w:pPr>
              <w:spacing w:after="0"/>
              <w:rPr>
                <w:sz w:val="22"/>
                <w:szCs w:val="22"/>
                <w:color w:val="auto"/>
              </w:rPr>
            </w:pPr>
          </w:p>
        </w:tc>
        <w:tc>
          <w:tcPr>
            <w:tcW w:w="1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37"/>
        </w:trPr>
        <w:tc>
          <w:tcPr>
            <w:tcW w:w="728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800" w:type="dxa"/>
            <w:vAlign w:val="bottom"/>
            <w:shd w:val="clear" w:color="auto" w:fill="CCECFF"/>
          </w:tcPr>
          <w:p>
            <w:pPr>
              <w:spacing w:after="0"/>
              <w:rPr>
                <w:sz w:val="20"/>
                <w:szCs w:val="20"/>
                <w:color w:val="auto"/>
              </w:rPr>
            </w:pPr>
          </w:p>
        </w:tc>
        <w:tc>
          <w:tcPr>
            <w:tcW w:w="340" w:type="dxa"/>
            <w:vAlign w:val="bottom"/>
            <w:shd w:val="clear" w:color="auto" w:fill="CCECFF"/>
          </w:tcPr>
          <w:p>
            <w:pPr>
              <w:spacing w:after="0"/>
              <w:rPr>
                <w:sz w:val="20"/>
                <w:szCs w:val="20"/>
                <w:color w:val="auto"/>
              </w:rPr>
            </w:pPr>
          </w:p>
        </w:tc>
        <w:tc>
          <w:tcPr>
            <w:tcW w:w="182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Dr. Aaron Rollins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13,992,180</w:t>
            </w: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24.82 %</w:t>
            </w:r>
          </w:p>
        </w:tc>
        <w:tc>
          <w:tcPr>
            <w:tcW w:w="0" w:type="dxa"/>
            <w:vAlign w:val="bottom"/>
          </w:tcPr>
          <w:p>
            <w:pPr>
              <w:spacing w:after="0"/>
              <w:rPr>
                <w:sz w:val="1"/>
                <w:szCs w:val="1"/>
                <w:color w:val="auto"/>
              </w:rPr>
            </w:pPr>
          </w:p>
        </w:tc>
      </w:tr>
      <w:tr>
        <w:trPr>
          <w:trHeight w:val="156"/>
        </w:trPr>
        <w:tc>
          <w:tcPr>
            <w:tcW w:w="4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shd w:val="clear" w:color="auto" w:fill="CCEEFF"/>
              </w:rPr>
              <w:t>Entities affiliated with Vesey Street Capital Partners, L.L.C.</w:t>
            </w:r>
          </w:p>
        </w:tc>
        <w:tc>
          <w:tcPr>
            <w:tcW w:w="2580" w:type="dxa"/>
            <w:vAlign w:val="bottom"/>
            <w:shd w:val="clear" w:color="auto" w:fill="CCEEFF"/>
          </w:tcPr>
          <w:p>
            <w:pPr>
              <w:jc w:val="right"/>
              <w:ind w:right="2262"/>
              <w:spacing w:after="0"/>
              <w:rPr>
                <w:sz w:val="20"/>
                <w:szCs w:val="20"/>
                <w:color w:val="auto"/>
              </w:rPr>
            </w:pPr>
            <w:r>
              <w:rPr>
                <w:rFonts w:ascii="Times New Roman" w:cs="Times New Roman" w:eastAsia="Times New Roman" w:hAnsi="Times New Roman"/>
                <w:sz w:val="12"/>
                <w:szCs w:val="12"/>
                <w:color w:val="auto"/>
                <w:w w:val="85"/>
                <w:shd w:val="clear" w:color="auto" w:fill="CCEEFF"/>
              </w:rPr>
              <w:t>(1)(2)</w:t>
            </w:r>
          </w:p>
        </w:tc>
        <w:tc>
          <w:tcPr>
            <w:tcW w:w="360" w:type="dxa"/>
            <w:vAlign w:val="bottom"/>
            <w:shd w:val="clear" w:color="auto" w:fill="CCEEFF"/>
          </w:tcPr>
          <w:p>
            <w:pPr>
              <w:spacing w:after="0"/>
              <w:rPr>
                <w:sz w:val="13"/>
                <w:szCs w:val="13"/>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29,324,180</w:t>
            </w:r>
          </w:p>
        </w:tc>
        <w:tc>
          <w:tcPr>
            <w:tcW w:w="340" w:type="dxa"/>
            <w:vAlign w:val="bottom"/>
            <w:shd w:val="clear" w:color="auto" w:fill="CCEEFF"/>
          </w:tcPr>
          <w:p>
            <w:pPr>
              <w:spacing w:after="0"/>
              <w:rPr>
                <w:sz w:val="13"/>
                <w:szCs w:val="13"/>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52.00 %</w:t>
            </w:r>
          </w:p>
        </w:tc>
        <w:tc>
          <w:tcPr>
            <w:tcW w:w="0" w:type="dxa"/>
            <w:vAlign w:val="bottom"/>
          </w:tcPr>
          <w:p>
            <w:pPr>
              <w:spacing w:after="0"/>
              <w:rPr>
                <w:sz w:val="1"/>
                <w:szCs w:val="1"/>
                <w:color w:val="auto"/>
              </w:rPr>
            </w:pPr>
          </w:p>
        </w:tc>
      </w:tr>
      <w:tr>
        <w:trPr>
          <w:trHeight w:val="87"/>
        </w:trPr>
        <w:tc>
          <w:tcPr>
            <w:tcW w:w="4340" w:type="dxa"/>
            <w:vAlign w:val="bottom"/>
            <w:vMerge w:val="continue"/>
            <w:shd w:val="clear" w:color="auto" w:fill="CCEEFF"/>
          </w:tcPr>
          <w:p>
            <w:pPr>
              <w:spacing w:after="0"/>
              <w:rPr>
                <w:sz w:val="7"/>
                <w:szCs w:val="7"/>
                <w:color w:val="auto"/>
              </w:rPr>
            </w:pPr>
          </w:p>
        </w:tc>
        <w:tc>
          <w:tcPr>
            <w:tcW w:w="25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80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8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Thrivent Financial for Lutherans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5,169,819</w:t>
            </w: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38"/>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Ronald P. Zelhof</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757,618</w:t>
            </w:r>
          </w:p>
        </w:tc>
        <w:tc>
          <w:tcPr>
            <w:tcW w:w="3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83"/>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Dennis Dean</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212,567</w:t>
            </w:r>
          </w:p>
        </w:tc>
        <w:tc>
          <w:tcPr>
            <w:tcW w:w="340" w:type="dxa"/>
            <w:vAlign w:val="bottom"/>
          </w:tcPr>
          <w:p>
            <w:pPr>
              <w:spacing w:after="0"/>
              <w:rPr>
                <w:sz w:val="24"/>
                <w:szCs w:val="24"/>
                <w:color w:val="auto"/>
              </w:rPr>
            </w:pPr>
          </w:p>
        </w:tc>
        <w:tc>
          <w:tcPr>
            <w:tcW w:w="1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Aaron Rollins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13,992,180</w:t>
            </w:r>
          </w:p>
        </w:tc>
        <w:tc>
          <w:tcPr>
            <w:tcW w:w="3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24.82 %</w:t>
            </w:r>
          </w:p>
        </w:tc>
        <w:tc>
          <w:tcPr>
            <w:tcW w:w="0" w:type="dxa"/>
            <w:vAlign w:val="bottom"/>
          </w:tcPr>
          <w:p>
            <w:pPr>
              <w:spacing w:after="0"/>
              <w:rPr>
                <w:sz w:val="1"/>
                <w:szCs w:val="1"/>
                <w:color w:val="auto"/>
              </w:rPr>
            </w:pPr>
          </w:p>
        </w:tc>
      </w:tr>
      <w:tr>
        <w:trPr>
          <w:trHeight w:val="243"/>
        </w:trPr>
        <w:tc>
          <w:tcPr>
            <w:tcW w:w="72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Adam Feinstein</w:t>
            </w:r>
            <w:r>
              <w:rPr>
                <w:rFonts w:ascii="Times New Roman" w:cs="Times New Roman" w:eastAsia="Times New Roman" w:hAnsi="Times New Roman"/>
                <w:sz w:val="23"/>
                <w:szCs w:val="23"/>
                <w:color w:val="auto"/>
                <w:vertAlign w:val="superscript"/>
              </w:rPr>
              <w:t>(1)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29,324,180</w:t>
            </w: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52.00 %</w:t>
            </w:r>
          </w:p>
        </w:tc>
        <w:tc>
          <w:tcPr>
            <w:tcW w:w="0" w:type="dxa"/>
            <w:vAlign w:val="bottom"/>
          </w:tcPr>
          <w:p>
            <w:pPr>
              <w:spacing w:after="0"/>
              <w:rPr>
                <w:sz w:val="1"/>
                <w:szCs w:val="1"/>
                <w:color w:val="auto"/>
              </w:rPr>
            </w:pPr>
          </w:p>
        </w:tc>
      </w:tr>
      <w:tr>
        <w:trPr>
          <w:trHeight w:val="284"/>
        </w:trPr>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Sollof</w:t>
            </w:r>
          </w:p>
        </w:tc>
        <w:tc>
          <w:tcPr>
            <w:tcW w:w="2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0" w:type="dxa"/>
            <w:vAlign w:val="bottom"/>
          </w:tcPr>
          <w:p>
            <w:pPr>
              <w:spacing w:after="0"/>
              <w:rPr>
                <w:sz w:val="1"/>
                <w:szCs w:val="1"/>
                <w:color w:val="auto"/>
              </w:rPr>
            </w:pPr>
          </w:p>
        </w:tc>
      </w:tr>
      <w:tr>
        <w:trPr>
          <w:trHeight w:val="270"/>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Caroline Chu</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43,910</w:t>
            </w:r>
          </w:p>
        </w:tc>
        <w:tc>
          <w:tcPr>
            <w:tcW w:w="34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Aaron</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31,910</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0" w:type="dxa"/>
            <w:vAlign w:val="bottom"/>
          </w:tcPr>
          <w:p>
            <w:pPr>
              <w:spacing w:after="0"/>
              <w:rPr>
                <w:sz w:val="1"/>
                <w:szCs w:val="1"/>
                <w:color w:val="auto"/>
              </w:rPr>
            </w:pPr>
          </w:p>
        </w:tc>
      </w:tr>
      <w:tr>
        <w:trPr>
          <w:trHeight w:val="270"/>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Kenneth Higgins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40,910</w:t>
            </w:r>
          </w:p>
        </w:tc>
        <w:tc>
          <w:tcPr>
            <w:tcW w:w="34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Pamela Netzky</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0" w:type="dxa"/>
            <w:vAlign w:val="bottom"/>
          </w:tcPr>
          <w:p>
            <w:pPr>
              <w:spacing w:after="0"/>
              <w:rPr>
                <w:sz w:val="1"/>
                <w:szCs w:val="1"/>
                <w:color w:val="auto"/>
              </w:rPr>
            </w:pPr>
          </w:p>
        </w:tc>
      </w:tr>
      <w:tr>
        <w:trPr>
          <w:trHeight w:val="243"/>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 executive officers and directors as a group (9 persons)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44,417,185</w:t>
            </w: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78.77 %</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520" w:hanging="494"/>
        <w:spacing w:after="0"/>
        <w:tabs>
          <w:tab w:leader="none" w:pos="5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1%.</w:t>
      </w:r>
    </w:p>
    <w:p>
      <w:pPr>
        <w:spacing w:after="0" w:line="42" w:lineRule="exact"/>
        <w:rPr>
          <w:sz w:val="20"/>
          <w:szCs w:val="20"/>
          <w:color w:val="auto"/>
        </w:rPr>
      </w:pPr>
    </w:p>
    <w:p>
      <w:pPr>
        <w:jc w:val="both"/>
        <w:ind w:left="520" w:right="20" w:hanging="494"/>
        <w:spacing w:after="0" w:line="224" w:lineRule="auto"/>
        <w:tabs>
          <w:tab w:leader="none" w:pos="5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13,575,862 shares of common stock held directly by VSCP EBS Aggregator, L.P., a Delaware limited partnership (“VSCP EBS”), 4,374,714 shares of common stock held directly by Vesey Street Capital Partners Healthcare Fund-A, L.P., a Delaware limited partnership (“VSCP Health Fund A”), and 11,373,604 shares of common stock held directly by EBS Aggregator Blocker Holdings, LLC, a Delaware limited liability company (“Aggregator Blocker Holdings”). Mr. Feinstein serves as managing partner of Vesey Street Capital Partners, L.L.C., a Delaware limited liability company (“VSCP Fund”), which is the general partner of Vesey Street Capital Partners Healthcare GP, L.P., a Delaware limited partnership, which serves as the general partner of VSCP EBS and VSCP Health Fund A. and the manager of Aggregator Blocker Holdings. The address for Mr. Feinstein, VSCP EBS, VSCP Health GP, Aggregator Blocker Holdings and VSCP Fund is c/o Adam Feinstein, 428 Greenwich Street, New York, NY 10013.</w:t>
      </w:r>
    </w:p>
    <w:p>
      <w:pPr>
        <w:spacing w:after="0" w:line="16" w:lineRule="exact"/>
        <w:rPr>
          <w:rFonts w:ascii="Times New Roman" w:cs="Times New Roman" w:eastAsia="Times New Roman" w:hAnsi="Times New Roman"/>
          <w:sz w:val="14"/>
          <w:szCs w:val="14"/>
          <w:color w:val="auto"/>
        </w:rPr>
      </w:pPr>
    </w:p>
    <w:p>
      <w:pPr>
        <w:ind w:left="520" w:hanging="494"/>
        <w:spacing w:after="0"/>
        <w:tabs>
          <w:tab w:leader="none" w:pos="5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voting power and investment power of the 11,373,604 shares of common stock with investors in EBS Aggregator Blocker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our equity compensation plans in effect as of December 31, 2022:</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03"/>
        </w:trPr>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189"/>
        </w:trPr>
        <w:tc>
          <w:tcPr>
            <w:tcW w:w="4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1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future issuance under equity</w:t>
            </w:r>
          </w:p>
        </w:tc>
      </w:tr>
      <w:tr>
        <w:trPr>
          <w:trHeight w:val="203"/>
        </w:trPr>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1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2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03"/>
        </w:trPr>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9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3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(excluding securities reflected</w:t>
            </w:r>
          </w:p>
        </w:tc>
      </w:tr>
      <w:tr>
        <w:trPr>
          <w:trHeight w:val="27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 and rights</w:t>
            </w:r>
            <w:r>
              <w:rPr>
                <w:rFonts w:ascii="Times New Roman" w:cs="Times New Roman" w:eastAsia="Times New Roman" w:hAnsi="Times New Roman"/>
                <w:sz w:val="23"/>
                <w:szCs w:val="23"/>
                <w:b w:val="1"/>
                <w:bCs w:val="1"/>
                <w:color w:val="auto"/>
                <w:w w:val="98"/>
                <w:vertAlign w:val="superscript"/>
              </w:rPr>
              <w:t>(2)</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column (a))</w:t>
            </w:r>
          </w:p>
        </w:tc>
      </w:tr>
      <w:tr>
        <w:trPr>
          <w:trHeight w:val="250"/>
        </w:trPr>
        <w:tc>
          <w:tcPr>
            <w:tcW w:w="4580" w:type="dxa"/>
            <w:vAlign w:val="bottom"/>
            <w:tcBorders>
              <w:top w:val="single" w:sz="8" w:color="auto"/>
            </w:tcBorders>
            <w:shd w:val="clear" w:color="auto" w:fill="CCECFF"/>
          </w:tcPr>
          <w:p>
            <w:pPr>
              <w:ind w:left="20"/>
              <w:spacing w:after="0" w:line="250"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CCECFF"/>
            </w:tcBorders>
            <w:shd w:val="clear" w:color="auto" w:fill="CCECFF"/>
          </w:tcPr>
          <w:p>
            <w:pPr>
              <w:spacing w:after="0"/>
              <w:rPr>
                <w:sz w:val="21"/>
                <w:szCs w:val="21"/>
                <w:color w:val="auto"/>
              </w:rPr>
            </w:pPr>
          </w:p>
        </w:tc>
        <w:tc>
          <w:tcPr>
            <w:tcW w:w="2140" w:type="dxa"/>
            <w:vAlign w:val="bottom"/>
            <w:tcBorders>
              <w:top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3,526,634</w:t>
            </w:r>
          </w:p>
        </w:tc>
        <w:tc>
          <w:tcPr>
            <w:tcW w:w="19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1,495,846</w:t>
            </w:r>
          </w:p>
        </w:tc>
      </w:tr>
      <w:tr>
        <w:trPr>
          <w:trHeight w:val="234"/>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4580" w:type="dxa"/>
            <w:vAlign w:val="bottom"/>
            <w:tcBorders>
              <w:bottom w:val="single" w:sz="8" w:color="CCECFF"/>
            </w:tcBorders>
          </w:tcPr>
          <w:p>
            <w:pPr>
              <w:spacing w:after="0" w:line="20" w:lineRule="exact"/>
              <w:rPr>
                <w:sz w:val="1"/>
                <w:szCs w:val="1"/>
                <w:color w:val="auto"/>
              </w:rPr>
            </w:pPr>
          </w:p>
        </w:tc>
        <w:tc>
          <w:tcPr>
            <w:tcW w:w="280" w:type="dxa"/>
            <w:vAlign w:val="bottom"/>
            <w:tcBorders>
              <w:bottom w:val="single" w:sz="8" w:color="CCEC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r>
        <w:trPr>
          <w:trHeight w:val="228"/>
        </w:trPr>
        <w:tc>
          <w:tcPr>
            <w:tcW w:w="48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3,526,634</w:t>
            </w: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1,495,846</w:t>
            </w:r>
          </w:p>
        </w:tc>
      </w:tr>
      <w:tr>
        <w:trPr>
          <w:trHeight w:val="22"/>
        </w:trPr>
        <w:tc>
          <w:tcPr>
            <w:tcW w:w="4580" w:type="dxa"/>
            <w:vAlign w:val="bottom"/>
            <w:shd w:val="clear" w:color="auto" w:fill="CCECFF"/>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140" w:type="dxa"/>
            <w:vAlign w:val="bottom"/>
            <w:shd w:val="clear" w:color="auto" w:fill="CCECFF"/>
          </w:tcPr>
          <w:p>
            <w:pPr>
              <w:spacing w:after="0" w:line="20" w:lineRule="exact"/>
              <w:rPr>
                <w:sz w:val="1"/>
                <w:szCs w:val="1"/>
                <w:color w:val="auto"/>
              </w:rPr>
            </w:pPr>
          </w:p>
        </w:tc>
        <w:tc>
          <w:tcPr>
            <w:tcW w:w="1900" w:type="dxa"/>
            <w:vAlign w:val="bottom"/>
            <w:shd w:val="clear" w:color="auto" w:fill="CCECFF"/>
          </w:tcPr>
          <w:p>
            <w:pPr>
              <w:spacing w:after="0" w:line="20" w:lineRule="exact"/>
              <w:rPr>
                <w:sz w:val="1"/>
                <w:szCs w:val="1"/>
                <w:color w:val="auto"/>
              </w:rPr>
            </w:pPr>
          </w:p>
        </w:tc>
        <w:tc>
          <w:tcPr>
            <w:tcW w:w="2340" w:type="dxa"/>
            <w:vAlign w:val="bottom"/>
            <w:shd w:val="clear" w:color="auto" w:fill="CCECFF"/>
          </w:tcPr>
          <w:p>
            <w:pPr>
              <w:spacing w:after="0" w:line="20" w:lineRule="exact"/>
              <w:rPr>
                <w:sz w:val="1"/>
                <w:szCs w:val="1"/>
                <w:color w:val="auto"/>
              </w:rPr>
            </w:pPr>
          </w:p>
        </w:tc>
      </w:tr>
    </w:tbl>
    <w:p>
      <w:pPr>
        <w:spacing w:after="0" w:line="99" w:lineRule="exact"/>
        <w:rPr>
          <w:sz w:val="20"/>
          <w:szCs w:val="20"/>
          <w:color w:val="auto"/>
        </w:rPr>
      </w:pPr>
    </w:p>
    <w:p>
      <w:pPr>
        <w:ind w:left="620" w:right="120" w:hanging="594"/>
        <w:spacing w:after="0" w:line="231" w:lineRule="auto"/>
        <w:tabs>
          <w:tab w:leader="none" w:pos="6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reflects outstanding stock options, RSUs and PSUs granted pursuant to our 2021 Equity Incentive Plan as of December 31, 2022. The number of shares of common stock reserved for issuance under the 2021 Plan will automatically increase on January 1 of each year, beginning on January 1, 2023, and continuing through and including January 1, 2031, by four percent (4%) of the aggregate number of shares of common stock issued and outstanding on December 31 of the preceding calendar year, or a lesser number of shares determined by our board of directors prior to the applicable January 1.</w:t>
      </w:r>
    </w:p>
    <w:p>
      <w:pPr>
        <w:spacing w:after="0" w:line="14" w:lineRule="exact"/>
        <w:rPr>
          <w:rFonts w:ascii="Times New Roman" w:cs="Times New Roman" w:eastAsia="Times New Roman" w:hAnsi="Times New Roman"/>
          <w:sz w:val="14"/>
          <w:szCs w:val="14"/>
          <w:color w:val="auto"/>
        </w:rPr>
      </w:pPr>
    </w:p>
    <w:p>
      <w:pPr>
        <w:ind w:left="620" w:right="200" w:hanging="594"/>
        <w:spacing w:after="0" w:line="261" w:lineRule="auto"/>
        <w:tabs>
          <w:tab w:leader="none" w:pos="6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exercise price of outstanding options, warrants and rights is $0 because there are no outstanding options and the outstanding RSUs and PSUs have no exercise price.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Services Agreements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entered into professional services agreements (the “Professional Services Agreements”), effective October 2, 2018, with our Sponsor, Dr. Aaron Rollins and other equity holders (collectively the “Advisors”), where the Advisors provided certain managerial and advisory services to us. Each of the Advisors had an ownership interest in EBS Parent LLC. Under the Professional Services Agreements, we agreed to pay the Advisors an aggregate annual fee of the greater of $500,000 or 2% of consolidated earnings before interest, tax, depreciation and amortization, less any amounts paid to Dr. Rollins as an equityholder bonus paid to Dr. Rollins pursuant to the terms of the Employment Agreement with Dr. Rollins, payable in advance quarterly installments, and the fee was allocated between the Advisors based on the outstanding Class A Units of EBS Parent LLC held by such Advisor. Under the agreements, we also reimbursed the Advisors for any out-of-pocket expenses incurred related to providing their services. During the years ended December 31, 2020 and 2019, the Company incurred management fees of approximately $500,000 each year, including the equityholder bonus paid to Dr. Rollins pursuant to the terms of the Employment Agreement with Dr. Rollins. The Professional Services Agreements were terminated immediately prior to the completion of our initial public offering for an aggregate termination fee of $1,000,000, including an equityholder bonus paid to Dr. Rollins pursuant to the terms of the Employment Agreement with Dr. Rollins.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Services Agreements and Continuity Agreements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MSAs with Elite Body Sculpture, PC (California), EBS Florida, PLLC, EBS Minnesota, LLC, Madison Avenue Medical PLLC (New York) (the “New York Professional Association”), EBS Tennessee, PLLC, EBS—Texas, PLLC, EBS Utah, LLC, EBS Virginia, LLC, and EBS Washington, PLLC. Each of these Professional Associations is owned by Dr. Aaron Rollins. Dr. Aaron Rollins does not receive any additional compensation as a result of his ownership interest in these Professional Associations.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July 2020, we entered into an MSA with EBS Arizona, LLC, which is owned by Dr. Aaron Rollins’ father, Dr. Arlen J. Rollins. Pursuant to this MSA, during Fiscal 2022 and Fiscal 2021, Dr. Arlen J. Rollins received compensation of $48,655 and $39,750, respectively, for his role as medical director of our center located in Scottsdale, Arizona.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each of the MSAs, we entered into Continuity Agreements with Dr. Aaron Rollins and Dr. Arlen J. Rollins; provided that, because of limitations under New York law, there is no Continuity Agreement in place with respect to the New York Professional Association.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our initial public offering, we entered into a stockholders agreement with affiliates of our Sponsor, and Dr. Aaron Rollins in connection with our initial public offering (the “Stockholders Agreement”). The Stockholders Agreement requires us to, among other things, nominate a number of individuals designated by affiliates of our Sponsor for election as our directors at any meeting of our stockholders (each a “Sponsor Director”) such that, upon the election of each such individual, and each other individual nominated by or at the direction of our board of directors or a duly-authorized committee of the board of directors, as a director of our Company, and taking into account any director continuing to serve without the need for re-election, the number of Sponsor Directors serving as directors of our Company will be equal to:</w:t>
      </w:r>
    </w:p>
    <w:p>
      <w:pPr>
        <w:spacing w:after="0" w:line="79"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affiliates of our Sponsor together beneficially own 25% or more of our outstanding shares of common stock, two Sponsor Directors;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affiliates of our Sponsor together beneficially own 10 % or more, but less than 25%, of our outstanding shares of common stock, one Sponsor Director.</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so long as the Stockholders Agreement remains in effect, Sponsor Directors may be removed only with the consent of our Sponsor. In the case of a vacancy on our board of directors created by the removal or resignation of a Sponsor Director, the Stockholders Agreement requires us to nominate an individual designated by affiliates of our Sponsor for election to fill the vacancy. Additionally, for so long as affiliates of our Sponsor hold at least 25% of our outstanding shares of common stock, we must take all necessary action to ensure that the number of directors serving on our board of directors will not exceed eight without the consent of affiliates of our Sponsor. Further, for so long as affiliates of our Sponsor are entitled to designate two Sponsor Directors for election to our board of directors, we are required to take all necessary action to cause the chairperson of our board of directors to be an individual chosen by affiliates of our Sponsor.</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Stockholders Agreement grants Dr. Aaron Rollins the right to nominate one director (the “Rollins Director”) to our board of directors for so long as Dr. Aaron Rollins beneficially owns 10% or more of our outstanding shares of common stock. For so long as the Stockholders Agreement remains in effect, the Rollins Director may be removed only with the consent of Dr. Aaron Rollins. In the case of a vacancy on our board of directors created by the removal or resignation of the Rollins Director, the Stockholders Agreement requires us to nominate an individual designated by Dr. Aaron Rollins for election to fill the vacancy.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stockholders agreement also requires us to obtain customary director indemnity insurance and enter into indemnification agreements with the Sponsor Directors and the Rollins Director.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initial public offering, we entered into a registration rights agreement with our Sponsor and Dr. Aaron Rollins. The registration rights agreement provides our Sponsor and Dr. Aaron Rollins with certain demand registration rights, including shelf registration rights, in respect of any shares of our common stock held by it, subject to certain conditions. In addition, in the event that we register additional shares of common stock for sale to the public, we will be required to give notice of such registration to our Sponsor and Dr. Aaron Rollins, and, subject to certain limitations, include shares of common stock held by them in such registration. The agreement includes customary indemnification provisions in favor of our Sponsor and Dr. Aaron Rollins, any person who is or might be deemed a control person (within the meaning of the Securities Act and the Exchange Act) and related parties against certain losses and liabilities (including reasonable costs of investigation and legal expenses) arising out of or based upon any filing or other disclosure made by us under the securities laws relating to any such registration.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Recapitalization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2021, the Company made a $3 million distribution to EBS Parent LLC.</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2021, the Company amended the Credit Agreement by adding an incremental $52.0 million senior secured term loan. The proceeds from this loan plus excess cash on the balance sheet were used to pay a distribution to EBS Parent LLC of approximately $59.7 million and the related fees for this transaction.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Officers and Directors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party to indemnification agreements with each of our officers and directors. The indemnification agreements provide the officers and directors with contractual rights to indemnification, expense advancement and reimbursement, to the fullest extent permitted under Delaware law. Additionally, we may enter into indemnification agreements with any new directors or officers that may be broader in scope than the specific indemnification provisions contained in Delaware law. Insofar as indemnification for liabilities arising under the Securities Act may be permitted to our officers and directors pursuant to the foregoing agreements, we have been advised that, in the opinion of the SEC, such indemnification is against public policy as expressed in the Securities Act, and is therefore unenforceable.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committee charter provides that the audit committee has the primary responsibility for reviewing and approving or disapproving “related party transactions,” which are transactions between us and related persons in which the aggregate amount involved exceeds or may be expected to exceed the lesser of $120,000 or 1% of our assets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 Our board of directors adopted a policy governing the review and approval of related party transactions by the audit committee.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Thomas Aaron, Caroline Chu, Adam Feinstein, Kenneth Higgins, Pamela Netzky and Daniel Sollof do not have a relationship that would interfere with the exercise of independent judgment in carrying out the responsibilities of a director and that each of these directors is “independent” as that term is defined under the listing standards of Nasdaq. In making these determinations, our board of directors considered the current and prior relationships that each non-employee director has with our company, including the fact that Adam Feinstein and Daniel Sollof are affiliates of our Sponsor, which owns 52.0%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SEC regulations and the Nasdaq listing standards require our audit committee to engage, retain, and supervise our independent registered public accounting firm. Our audit committee annually reviews our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Grant Thornton LLP has served as our independent registered public accounting firm since 2018.</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Registered Public Accounting Firm</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Pursuant to the audit committee charter, the audit committee is responsible for the oversight of our accounting, reporting, and financial practices. The audit committee has the responsibility to select, appoint, engage, oversee, retain, evaluate, and terminate our external auditors; pre-approve all audit and non-audit services to be provided, consistent with all applicable laws, to us by our external auditors; and establish the fees and other compensation to be paid to our external auditors. During 2022, the audit committee pre-approved all audit and permitted non-audit services provided by Grant Thornton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sets forth fees billed by Grant Thornton LLP for the audit of our annual financial statements and other services rendered for the fiscal years ended December 31, 2022 and December 31, 2021:</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Fiscal year ended December 31,</w:t>
            </w:r>
          </w:p>
        </w:tc>
      </w:tr>
      <w:tr>
        <w:trPr>
          <w:trHeight w:val="331"/>
        </w:trPr>
        <w:tc>
          <w:tcPr>
            <w:tcW w:w="7360" w:type="dxa"/>
            <w:vAlign w:val="bottom"/>
            <w:tcBorders>
              <w:bottom w:val="single" w:sz="8" w:color="CCEC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Borders>
              <w:bottom w:val="single" w:sz="8" w:color="CCEC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345"/>
        </w:trPr>
        <w:tc>
          <w:tcPr>
            <w:tcW w:w="7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Audit fees</w:t>
            </w:r>
            <w:r>
              <w:rPr>
                <w:rFonts w:ascii="Times New Roman" w:cs="Times New Roman" w:eastAsia="Times New Roman" w:hAnsi="Times New Roman"/>
                <w:sz w:val="23"/>
                <w:szCs w:val="23"/>
                <w:b w:val="1"/>
                <w:bCs w:val="1"/>
                <w:color w:val="auto"/>
                <w:vertAlign w:val="superscript"/>
              </w:rPr>
              <w:t>(1)</w:t>
            </w:r>
          </w:p>
        </w:tc>
        <w:tc>
          <w:tcPr>
            <w:tcW w:w="34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405,326</w:t>
            </w:r>
          </w:p>
        </w:tc>
        <w:tc>
          <w:tcPr>
            <w:tcW w:w="760" w:type="dxa"/>
            <w:vAlign w:val="bottom"/>
            <w:shd w:val="clear" w:color="auto" w:fill="CCECFF"/>
          </w:tcPr>
          <w:p>
            <w:pPr>
              <w:spacing w:after="0"/>
              <w:rPr>
                <w:sz w:val="24"/>
                <w:szCs w:val="24"/>
                <w:color w:val="auto"/>
              </w:rPr>
            </w:pPr>
          </w:p>
        </w:tc>
        <w:tc>
          <w:tcPr>
            <w:tcW w:w="34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578,515</w:t>
            </w:r>
          </w:p>
        </w:tc>
      </w:tr>
      <w:tr>
        <w:trPr>
          <w:trHeight w:val="364"/>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Audit-related fees</w:t>
            </w:r>
          </w:p>
        </w:tc>
        <w:tc>
          <w:tcPr>
            <w:tcW w:w="340" w:type="dxa"/>
            <w:vAlign w:val="bottom"/>
          </w:tcPr>
          <w:p>
            <w:pPr>
              <w:spacing w:after="0"/>
              <w:rPr>
                <w:sz w:val="24"/>
                <w:szCs w:val="24"/>
                <w:color w:val="auto"/>
              </w:rPr>
            </w:pPr>
          </w:p>
        </w:tc>
        <w:tc>
          <w:tcPr>
            <w:tcW w:w="19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4"/>
        </w:trPr>
        <w:tc>
          <w:tcPr>
            <w:tcW w:w="7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Tax fees</w:t>
            </w:r>
            <w:r>
              <w:rPr>
                <w:rFonts w:ascii="Times New Roman" w:cs="Times New Roman" w:eastAsia="Times New Roman" w:hAnsi="Times New Roman"/>
                <w:sz w:val="23"/>
                <w:szCs w:val="23"/>
                <w:b w:val="1"/>
                <w:bCs w:val="1"/>
                <w:color w:val="auto"/>
                <w:vertAlign w:val="superscript"/>
              </w:rPr>
              <w:t>(2)</w:t>
            </w:r>
          </w:p>
        </w:tc>
        <w:tc>
          <w:tcPr>
            <w:tcW w:w="340" w:type="dxa"/>
            <w:vAlign w:val="bottom"/>
            <w:shd w:val="clear" w:color="auto" w:fill="CCECFF"/>
          </w:tcPr>
          <w:p>
            <w:pPr>
              <w:spacing w:after="0"/>
              <w:rPr>
                <w:sz w:val="24"/>
                <w:szCs w:val="2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119,480</w:t>
            </w:r>
          </w:p>
        </w:tc>
        <w:tc>
          <w:tcPr>
            <w:tcW w:w="760" w:type="dxa"/>
            <w:vAlign w:val="bottom"/>
            <w:shd w:val="clear" w:color="auto" w:fill="CCECFF"/>
          </w:tcPr>
          <w:p>
            <w:pPr>
              <w:spacing w:after="0"/>
              <w:rPr>
                <w:sz w:val="24"/>
                <w:szCs w:val="24"/>
                <w:color w:val="auto"/>
              </w:rPr>
            </w:pPr>
          </w:p>
        </w:tc>
        <w:tc>
          <w:tcPr>
            <w:tcW w:w="340" w:type="dxa"/>
            <w:vAlign w:val="bottom"/>
            <w:shd w:val="clear" w:color="auto" w:fill="CCECFF"/>
          </w:tcPr>
          <w:p>
            <w:pPr>
              <w:spacing w:after="0"/>
              <w:rPr>
                <w:sz w:val="24"/>
                <w:szCs w:val="2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85,180</w:t>
            </w:r>
          </w:p>
        </w:tc>
      </w:tr>
      <w:tr>
        <w:trPr>
          <w:trHeight w:val="365"/>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 fees</w:t>
            </w:r>
          </w:p>
        </w:tc>
        <w:tc>
          <w:tcPr>
            <w:tcW w:w="340" w:type="dxa"/>
            <w:vAlign w:val="bottom"/>
          </w:tcPr>
          <w:p>
            <w:pPr>
              <w:spacing w:after="0"/>
              <w:rPr>
                <w:sz w:val="24"/>
                <w:szCs w:val="24"/>
                <w:color w:val="auto"/>
              </w:rPr>
            </w:pPr>
          </w:p>
        </w:tc>
        <w:tc>
          <w:tcPr>
            <w:tcW w:w="19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43"/>
        </w:trPr>
        <w:tc>
          <w:tcPr>
            <w:tcW w:w="7360" w:type="dxa"/>
            <w:vAlign w:val="bottom"/>
            <w:tcBorders>
              <w:top w:val="single" w:sz="8" w:color="CCECFF"/>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340" w:type="dxa"/>
            <w:vAlign w:val="bottom"/>
            <w:tcBorders>
              <w:top w:val="single" w:sz="8" w:color="auto"/>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524,806</w:t>
            </w:r>
          </w:p>
        </w:tc>
        <w:tc>
          <w:tcPr>
            <w:tcW w:w="760" w:type="dxa"/>
            <w:vAlign w:val="bottom"/>
            <w:tcBorders>
              <w:top w:val="single" w:sz="8" w:color="CCECFF"/>
              <w:bottom w:val="single" w:sz="8" w:color="CCECFF"/>
            </w:tcBorders>
            <w:shd w:val="clear" w:color="auto" w:fill="CCECFF"/>
          </w:tcPr>
          <w:p>
            <w:pPr>
              <w:spacing w:after="0"/>
              <w:rPr>
                <w:sz w:val="24"/>
                <w:szCs w:val="24"/>
                <w:color w:val="auto"/>
              </w:rPr>
            </w:pPr>
          </w:p>
        </w:tc>
        <w:tc>
          <w:tcPr>
            <w:tcW w:w="340" w:type="dxa"/>
            <w:vAlign w:val="bottom"/>
            <w:tcBorders>
              <w:top w:val="single" w:sz="8" w:color="auto"/>
              <w:bottom w:val="single" w:sz="8" w:color="auto"/>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663,695</w:t>
            </w:r>
          </w:p>
        </w:tc>
      </w:tr>
      <w:tr>
        <w:trPr>
          <w:trHeight w:val="20"/>
        </w:trPr>
        <w:tc>
          <w:tcPr>
            <w:tcW w:w="7360" w:type="dxa"/>
            <w:vAlign w:val="bottom"/>
            <w:tcBorders>
              <w:top w:val="single" w:sz="8" w:color="CCECFF"/>
            </w:tcBorders>
          </w:tcPr>
          <w:p>
            <w:pPr>
              <w:spacing w:after="0" w:line="20" w:lineRule="exact"/>
              <w:rPr>
                <w:sz w:val="1"/>
                <w:szCs w:val="1"/>
                <w:color w:val="auto"/>
              </w:rPr>
            </w:pPr>
          </w:p>
        </w:tc>
        <w:tc>
          <w:tcPr>
            <w:tcW w:w="340" w:type="dxa"/>
            <w:vAlign w:val="bottom"/>
            <w:tcBorders>
              <w:top w:val="single" w:sz="8" w:color="CCECFF"/>
              <w:bottom w:val="single" w:sz="8" w:color="auto"/>
            </w:tcBorders>
          </w:tcPr>
          <w:p>
            <w:pPr>
              <w:spacing w:after="0" w:line="20" w:lineRule="exact"/>
              <w:rPr>
                <w:sz w:val="1"/>
                <w:szCs w:val="1"/>
                <w:color w:val="auto"/>
              </w:rPr>
            </w:pPr>
          </w:p>
        </w:tc>
        <w:tc>
          <w:tcPr>
            <w:tcW w:w="1220" w:type="dxa"/>
            <w:vAlign w:val="bottom"/>
            <w:tcBorders>
              <w:top w:val="single" w:sz="8" w:color="CCECFF"/>
              <w:bottom w:val="single" w:sz="8" w:color="auto"/>
            </w:tcBorders>
          </w:tcPr>
          <w:p>
            <w:pPr>
              <w:spacing w:after="0" w:line="20" w:lineRule="exact"/>
              <w:rPr>
                <w:sz w:val="1"/>
                <w:szCs w:val="1"/>
                <w:color w:val="auto"/>
              </w:rPr>
            </w:pPr>
          </w:p>
        </w:tc>
        <w:tc>
          <w:tcPr>
            <w:tcW w:w="760" w:type="dxa"/>
            <w:vAlign w:val="bottom"/>
            <w:tcBorders>
              <w:top w:val="single" w:sz="8" w:color="CCECFF"/>
            </w:tcBorders>
          </w:tcPr>
          <w:p>
            <w:pPr>
              <w:spacing w:after="0" w:line="20" w:lineRule="exact"/>
              <w:rPr>
                <w:sz w:val="1"/>
                <w:szCs w:val="1"/>
                <w:color w:val="auto"/>
              </w:rPr>
            </w:pPr>
          </w:p>
        </w:tc>
        <w:tc>
          <w:tcPr>
            <w:tcW w:w="340" w:type="dxa"/>
            <w:vAlign w:val="bottom"/>
            <w:tcBorders>
              <w:top w:val="single" w:sz="8" w:color="CCECFF"/>
              <w:bottom w:val="single" w:sz="8" w:color="auto"/>
            </w:tcBorders>
          </w:tcPr>
          <w:p>
            <w:pPr>
              <w:spacing w:after="0" w:line="20" w:lineRule="exact"/>
              <w:rPr>
                <w:sz w:val="1"/>
                <w:szCs w:val="1"/>
                <w:color w:val="auto"/>
              </w:rPr>
            </w:pPr>
          </w:p>
        </w:tc>
        <w:tc>
          <w:tcPr>
            <w:tcW w:w="1220" w:type="dxa"/>
            <w:vAlign w:val="bottom"/>
            <w:tcBorders>
              <w:top w:val="single" w:sz="8" w:color="CCECFF"/>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left="580" w:right="180" w:hanging="554"/>
        <w:spacing w:after="0" w:line="235" w:lineRule="auto"/>
        <w:tabs>
          <w:tab w:leader="none" w:pos="5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Audit fees</w:t>
      </w:r>
      <w:r>
        <w:rPr>
          <w:rFonts w:ascii="Times New Roman" w:cs="Times New Roman" w:eastAsia="Times New Roman" w:hAnsi="Times New Roman"/>
          <w:sz w:val="14"/>
          <w:szCs w:val="14"/>
          <w:color w:val="auto"/>
        </w:rPr>
        <w:t>” include fees for professional services rendered for the audit of our consolidated financial statements, reviews of the interim consolidated financial statements included in quarterly reports, the review of our Registration Statement on Form S-1 for our initial public offering and services that are normally provided by Grant Thornton LLP in connection with the financial statement audit.</w:t>
      </w:r>
    </w:p>
    <w:p>
      <w:pPr>
        <w:spacing w:after="0" w:line="13" w:lineRule="exact"/>
        <w:rPr>
          <w:rFonts w:ascii="Times New Roman" w:cs="Times New Roman" w:eastAsia="Times New Roman" w:hAnsi="Times New Roman"/>
          <w:sz w:val="14"/>
          <w:szCs w:val="14"/>
          <w:color w:val="auto"/>
        </w:rPr>
      </w:pPr>
    </w:p>
    <w:p>
      <w:pPr>
        <w:ind w:left="580" w:hanging="554"/>
        <w:spacing w:after="0"/>
        <w:tabs>
          <w:tab w:leader="none" w:pos="5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fees</w:t>
      </w:r>
      <w:r>
        <w:rPr>
          <w:rFonts w:ascii="Times New Roman" w:cs="Times New Roman" w:eastAsia="Times New Roman" w:hAnsi="Times New Roman"/>
          <w:sz w:val="14"/>
          <w:szCs w:val="14"/>
          <w:color w:val="auto"/>
        </w:rPr>
        <w:t>” include fees for tax compliance and advice.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Financial Statement Schedules and Exhibits</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Financial Statements;</w:t>
      </w:r>
    </w:p>
    <w:p>
      <w:pPr>
        <w:ind w:left="980"/>
        <w:spacing w:after="0" w:line="234" w:lineRule="auto"/>
        <w:rPr>
          <w:sz w:val="20"/>
          <w:szCs w:val="20"/>
          <w:color w:val="auto"/>
        </w:rPr>
      </w:pPr>
      <w:r>
        <w:rPr>
          <w:rFonts w:ascii="Times New Roman" w:cs="Times New Roman" w:eastAsia="Times New Roman" w:hAnsi="Times New Roman"/>
          <w:sz w:val="18"/>
          <w:szCs w:val="18"/>
          <w:color w:val="auto"/>
        </w:rPr>
        <w:t>Our Consolidated Financial Statements and Notes thereto are set forth starting on page 80 of this Annual Report on Form 10-K.</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7" w:lineRule="exact"/>
        <w:rPr>
          <w:sz w:val="20"/>
          <w:szCs w:val="20"/>
          <w:color w:val="auto"/>
        </w:rPr>
      </w:pPr>
    </w:p>
    <w:p>
      <w:pPr>
        <w:ind w:left="980"/>
        <w:spacing w:after="0" w:line="235" w:lineRule="auto"/>
        <w:rPr>
          <w:sz w:val="20"/>
          <w:szCs w:val="20"/>
          <w:color w:val="auto"/>
        </w:rPr>
      </w:pPr>
      <w:r>
        <w:rPr>
          <w:rFonts w:ascii="Times New Roman" w:cs="Times New Roman" w:eastAsia="Times New Roman" w:hAnsi="Times New Roman"/>
          <w:sz w:val="18"/>
          <w:szCs w:val="18"/>
          <w:color w:val="auto"/>
        </w:rPr>
        <w:t>All financial schedules have been omitted either because they are not applicable or because the required information is provided in our Consolidated Financial Statements and Notes thereto, starting on page 80 of this Annual Report on Form 10-K.</w:t>
      </w:r>
    </w:p>
    <w:p>
      <w:pPr>
        <w:spacing w:after="0" w:line="1" w:lineRule="exact"/>
        <w:rPr>
          <w:sz w:val="20"/>
          <w:szCs w:val="20"/>
          <w:color w:val="auto"/>
        </w:rPr>
      </w:pPr>
    </w:p>
    <w:p>
      <w:pPr>
        <w:ind w:left="920" w:hanging="264"/>
        <w:spacing w:after="0"/>
        <w:tabs>
          <w:tab w:leader="none" w:pos="9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below are filed as part of or incorporated by reference into this Annual Report on Form 10-K.</w:t>
      </w:r>
    </w:p>
    <w:p>
      <w:pPr>
        <w:spacing w:after="0" w:line="14"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ectPr>
          <w:pgSz w:w="11900" w:h="16838" w:orient="portrait"/>
          <w:cols w:equalWidth="0" w:num="1">
            <w:col w:w="11240"/>
          </w:cols>
          <w:pgMar w:left="320" w:top="513" w:right="339" w:bottom="1440" w:gutter="0" w:footer="0" w:header="0"/>
        </w:sectPr>
      </w:pPr>
    </w:p>
    <w:p>
      <w:pPr>
        <w:spacing w:after="0" w:line="26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9772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3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3.1</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3.2</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19685</wp:posOffset>
            </wp:positionV>
            <wp:extent cx="30003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 w:lineRule="exact"/>
        <w:rPr>
          <w:sz w:val="20"/>
          <w:szCs w:val="20"/>
          <w:color w:val="auto"/>
        </w:rPr>
      </w:pPr>
    </w:p>
    <w:p>
      <w:pPr>
        <w:ind w:right="980"/>
        <w:spacing w:after="0" w:line="297"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Amended and Restated Articles of Incorporation</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Amended and Restated Bylaws</w:t>
        </w:r>
      </w:hyperlink>
    </w:p>
    <w:p>
      <w:pPr>
        <w:spacing w:after="0" w:line="1"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Specimen Common Stock Certificate evidencing the shares of</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Common Stock</w:t>
        </w:r>
      </w:hyperlink>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File</w:t>
            </w:r>
          </w:p>
        </w:tc>
      </w:tr>
      <w:tr>
        <w:trPr>
          <w:trHeight w:val="265"/>
        </w:trPr>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28"/>
        </w:trPr>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001-40973</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12/03/21</w:t>
            </w:r>
          </w:p>
        </w:tc>
      </w:tr>
      <w:tr>
        <w:trPr>
          <w:trHeight w:val="252"/>
        </w:trPr>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001-40973</w:t>
            </w: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12/03/21</w:t>
            </w:r>
          </w:p>
        </w:tc>
      </w:tr>
      <w:tr>
        <w:trPr>
          <w:trHeight w:val="351"/>
        </w:trPr>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333-260067</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10/28/21</w:t>
            </w:r>
          </w:p>
        </w:tc>
      </w:tr>
    </w:tbl>
    <w:p>
      <w:pPr>
        <w:spacing w:after="0" w:line="130" w:lineRule="exact"/>
        <w:rPr>
          <w:sz w:val="20"/>
          <w:szCs w:val="20"/>
          <w:color w:val="auto"/>
        </w:rPr>
      </w:pPr>
    </w:p>
    <w:p>
      <w:pPr>
        <w:sectPr>
          <w:pgSz w:w="11900" w:h="16838" w:orient="portrait"/>
          <w:cols w:equalWidth="0" w:num="3">
            <w:col w:w="1060" w:space="600"/>
            <w:col w:w="4480" w:space="320"/>
            <w:col w:w="4780"/>
          </w:cols>
          <w:pgMar w:left="320" w:top="513" w:right="339" w:bottom="1440" w:gutter="0" w:footer="0" w:header="0"/>
          <w:type w:val="continuous"/>
        </w:sectPr>
      </w:pP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br w:type="column"/>
      </w:r>
    </w:p>
    <w:p>
      <w:pPr>
        <w:ind w:right="220"/>
        <w:spacing w:after="0" w:line="266"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Registration Rights Agreement by and between the Company</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and the Sponsor, dated November 2, 2021</w:t>
        </w:r>
      </w:hyperlink>
    </w:p>
    <w:p>
      <w:pPr>
        <w:spacing w:after="0" w:line="250"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Stockholders Agreement by and between the Company, VSCP</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EBS Aggregator, LP, Dr. Aaron Rollins, and JCBI II LLC, dated</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November 2,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74"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56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bl>
    <w:p>
      <w:pPr>
        <w:spacing w:after="0" w:line="211"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940" w:space="720"/>
            <w:col w:w="4640" w:space="580"/>
            <w:col w:w="4360"/>
          </w:cols>
          <w:pgMar w:left="320" w:top="513" w:right="339" w:bottom="1440" w:gutter="0" w:footer="0" w:header="0"/>
          <w:type w:val="continuous"/>
        </w:sectPr>
      </w:pPr>
    </w:p>
    <w:tbl>
      <w:tblPr>
        <w:tblLayout w:type="fixed"/>
        <w:tblInd w:w="620" w:type="dxa"/>
        <w:tblCellMar>
          <w:top w:w="0" w:type="dxa"/>
          <w:left w:w="0" w:type="dxa"/>
          <w:bottom w:w="0" w:type="dxa"/>
          <w:right w:w="0" w:type="dxa"/>
        </w:tblCellMar>
      </w:tblPr>
      <w:tr>
        <w:trPr>
          <w:trHeight w:val="207"/>
        </w:trPr>
        <w:tc>
          <w:tcPr>
            <w:tcW w:w="10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4.4</w:t>
            </w:r>
          </w:p>
        </w:tc>
        <w:tc>
          <w:tcPr>
            <w:tcW w:w="270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Description of Registrant’s Securities</w:t>
              </w:r>
            </w:hyperlink>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4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w w:val="95"/>
              </w:rPr>
              <w:t>10.1</w:t>
            </w:r>
          </w:p>
        </w:tc>
        <w:tc>
          <w:tcPr>
            <w:tcW w:w="40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Form of Indemnification Agreement by and between the</w:t>
              </w:r>
            </w:hyperlink>
          </w:p>
        </w:tc>
        <w:tc>
          <w:tcPr>
            <w:tcW w:w="0" w:type="dxa"/>
            <w:vAlign w:val="bottom"/>
          </w:tcPr>
          <w:p>
            <w:pPr>
              <w:spacing w:after="0"/>
              <w:rPr>
                <w:sz w:val="1"/>
                <w:szCs w:val="1"/>
                <w:color w:val="auto"/>
              </w:rPr>
            </w:pPr>
          </w:p>
        </w:tc>
      </w:tr>
      <w:tr>
        <w:trPr>
          <w:trHeight w:val="115"/>
        </w:trPr>
        <w:tc>
          <w:tcPr>
            <w:tcW w:w="1040" w:type="dxa"/>
            <w:vAlign w:val="bottom"/>
            <w:vMerge w:val="continue"/>
          </w:tcPr>
          <w:p>
            <w:pPr>
              <w:spacing w:after="0"/>
              <w:rPr>
                <w:sz w:val="10"/>
                <w:szCs w:val="10"/>
                <w:color w:val="auto"/>
              </w:rPr>
            </w:pPr>
          </w:p>
        </w:tc>
        <w:tc>
          <w:tcPr>
            <w:tcW w:w="3360" w:type="dxa"/>
            <w:vAlign w:val="bottom"/>
            <w:gridSpan w:val="2"/>
            <w:vMerge w:val="restart"/>
          </w:tcPr>
          <w:p>
            <w:pPr>
              <w:spacing w:after="0" w:line="182"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Company and each of its directors and officers</w:t>
              </w:r>
            </w:hyperlink>
          </w:p>
        </w:tc>
        <w:tc>
          <w:tcPr>
            <w:tcW w:w="7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3360" w:type="dxa"/>
            <w:vAlign w:val="bottom"/>
            <w:tcBorders>
              <w:bottom w:val="single" w:sz="8" w:color="0000FF"/>
            </w:tcBorders>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4660" w:type="dxa"/>
            <w:vAlign w:val="bottom"/>
            <w:gridSpan w:val="6"/>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Credit Agreement dated as of November 7, 2022, among</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4660" w:type="dxa"/>
            <w:vAlign w:val="bottom"/>
            <w:gridSpan w:val="6"/>
          </w:tcPr>
          <w:p>
            <w:pPr>
              <w:spacing w:after="0" w:line="182"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AirSculpt Technologies, Inc., as Holdings, EBS Intermediate</w:t>
              </w:r>
            </w:hyperlink>
          </w:p>
        </w:tc>
        <w:tc>
          <w:tcPr>
            <w:tcW w:w="0" w:type="dxa"/>
            <w:vAlign w:val="bottom"/>
          </w:tcPr>
          <w:p>
            <w:pPr>
              <w:spacing w:after="0"/>
              <w:rPr>
                <w:sz w:val="1"/>
                <w:szCs w:val="1"/>
                <w:color w:val="auto"/>
              </w:rPr>
            </w:pPr>
          </w:p>
        </w:tc>
      </w:tr>
      <w:tr>
        <w:trPr>
          <w:trHeight w:val="182"/>
        </w:trPr>
        <w:tc>
          <w:tcPr>
            <w:tcW w:w="104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w w:val="95"/>
              </w:rPr>
              <w:t>10.2</w:t>
            </w:r>
          </w:p>
        </w:tc>
        <w:tc>
          <w:tcPr>
            <w:tcW w:w="438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7"/>
              </w:rPr>
            </w:pPr>
            <w:hyperlink r:id="rId147">
              <w:r>
                <w:rPr>
                  <w:rFonts w:ascii="Times New Roman" w:cs="Times New Roman" w:eastAsia="Times New Roman" w:hAnsi="Times New Roman"/>
                  <w:sz w:val="18"/>
                  <w:szCs w:val="18"/>
                  <w:color w:val="0000FF"/>
                  <w:w w:val="97"/>
                </w:rPr>
                <w:t>Parent LLC, as Intermediate Holdings, EBS Enterprises LLC,</w:t>
              </w:r>
            </w:hyperlink>
          </w:p>
        </w:tc>
        <w:tc>
          <w:tcPr>
            <w:tcW w:w="280" w:type="dxa"/>
            <w:vAlign w:val="bottom"/>
            <w:tcBorders>
              <w:bottom w:val="single" w:sz="8" w:color="0000FF"/>
            </w:tcBorders>
            <w:gridSpan w:val="2"/>
          </w:tcPr>
          <w:p>
            <w:pPr>
              <w:ind w:left="120"/>
              <w:spacing w:after="0" w:line="182" w:lineRule="exact"/>
              <w:rPr>
                <w:rFonts w:ascii="Times New Roman" w:cs="Times New Roman" w:eastAsia="Times New Roman" w:hAnsi="Times New Roman"/>
                <w:sz w:val="18"/>
                <w:szCs w:val="18"/>
                <w:color w:val="0000FF"/>
                <w:w w:val="93"/>
              </w:rPr>
            </w:pPr>
            <w:hyperlink r:id="rId147">
              <w:r>
                <w:rPr>
                  <w:rFonts w:ascii="Times New Roman" w:cs="Times New Roman" w:eastAsia="Times New Roman" w:hAnsi="Times New Roman"/>
                  <w:sz w:val="18"/>
                  <w:szCs w:val="18"/>
                  <w:color w:val="0000FF"/>
                  <w:w w:val="93"/>
                </w:rPr>
                <w:t>as</w:t>
              </w:r>
            </w:hyperlink>
          </w:p>
        </w:tc>
        <w:tc>
          <w:tcPr>
            <w:tcW w:w="0" w:type="dxa"/>
            <w:vAlign w:val="bottom"/>
          </w:tcPr>
          <w:p>
            <w:pPr>
              <w:spacing w:after="0"/>
              <w:rPr>
                <w:sz w:val="1"/>
                <w:szCs w:val="1"/>
                <w:color w:val="auto"/>
              </w:rPr>
            </w:pPr>
          </w:p>
        </w:tc>
      </w:tr>
      <w:tr>
        <w:trPr>
          <w:trHeight w:val="115"/>
        </w:trPr>
        <w:tc>
          <w:tcPr>
            <w:tcW w:w="1040" w:type="dxa"/>
            <w:vAlign w:val="bottom"/>
            <w:vMerge w:val="continue"/>
          </w:tcPr>
          <w:p>
            <w:pPr>
              <w:spacing w:after="0"/>
              <w:rPr>
                <w:sz w:val="10"/>
                <w:szCs w:val="10"/>
                <w:color w:val="auto"/>
              </w:rPr>
            </w:pPr>
          </w:p>
        </w:tc>
        <w:tc>
          <w:tcPr>
            <w:tcW w:w="4660" w:type="dxa"/>
            <w:vAlign w:val="bottom"/>
            <w:gridSpan w:val="6"/>
            <w:vMerge w:val="restart"/>
          </w:tcPr>
          <w:p>
            <w:pPr>
              <w:spacing w:after="0" w:line="182"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the Borrower, the several lenders from time to time party hereto,</w:t>
              </w:r>
            </w:hyperlink>
          </w:p>
        </w:tc>
        <w:tc>
          <w:tcPr>
            <w:tcW w:w="0" w:type="dxa"/>
            <w:vAlign w:val="bottom"/>
          </w:tcPr>
          <w:p>
            <w:pPr>
              <w:spacing w:after="0"/>
              <w:rPr>
                <w:sz w:val="1"/>
                <w:szCs w:val="1"/>
                <w:color w:val="auto"/>
              </w:rPr>
            </w:pPr>
          </w:p>
        </w:tc>
      </w:tr>
      <w:tr>
        <w:trPr>
          <w:trHeight w:val="67"/>
        </w:trPr>
        <w:tc>
          <w:tcPr>
            <w:tcW w:w="1040" w:type="dxa"/>
            <w:vAlign w:val="bottom"/>
          </w:tcPr>
          <w:p>
            <w:pPr>
              <w:spacing w:after="0"/>
              <w:rPr>
                <w:sz w:val="5"/>
                <w:szCs w:val="5"/>
                <w:color w:val="auto"/>
              </w:rPr>
            </w:pPr>
          </w:p>
        </w:tc>
        <w:tc>
          <w:tcPr>
            <w:tcW w:w="46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640" w:type="dxa"/>
            <w:vAlign w:val="bottom"/>
            <w:tcBorders>
              <w:top w:val="single" w:sz="8" w:color="0000FF"/>
            </w:tcBorders>
            <w:gridSpan w:val="5"/>
          </w:tcPr>
          <w:p>
            <w:pPr>
              <w:spacing w:after="0" w:line="182"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and Silicon Valley Bank, as Administrative Agent, Issuing</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200" w:type="dxa"/>
            <w:vAlign w:val="bottom"/>
            <w:tcBorders>
              <w:top w:val="single" w:sz="8" w:color="0000FF"/>
            </w:tcBorders>
            <w:gridSpan w:val="3"/>
          </w:tcPr>
          <w:p>
            <w:pPr>
              <w:spacing w:after="0" w:line="182"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Lender and Swingline Lender</w:t>
              </w:r>
            </w:hyperlink>
          </w:p>
        </w:tc>
        <w:tc>
          <w:tcPr>
            <w:tcW w:w="4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10-K</w:t>
            </w: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001-40973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03/11/22</w:t>
            </w:r>
          </w:p>
        </w:tc>
      </w:tr>
      <w:tr>
        <w:trPr>
          <w:trHeight w:val="337"/>
        </w:trPr>
        <w:tc>
          <w:tcPr>
            <w:tcW w:w="6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10-Q</w:t>
            </w: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001-40973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86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001-40973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11/09/22</w:t>
            </w:r>
          </w:p>
        </w:tc>
      </w:tr>
    </w:tbl>
    <w:p>
      <w:pPr>
        <w:spacing w:after="0" w:line="534" w:lineRule="exact"/>
        <w:rPr>
          <w:sz w:val="20"/>
          <w:szCs w:val="20"/>
          <w:color w:val="auto"/>
        </w:rPr>
      </w:pPr>
    </w:p>
    <w:p>
      <w:pPr>
        <w:sectPr>
          <w:pgSz w:w="11900" w:h="16838" w:orient="portrait"/>
          <w:cols w:equalWidth="0" w:num="2">
            <w:col w:w="6300" w:space="580"/>
            <w:col w:w="4360"/>
          </w:cols>
          <w:pgMar w:left="320" w:top="513" w:right="3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8"/>
          <w:szCs w:val="18"/>
          <w:color w:val="auto"/>
        </w:rPr>
        <w:t>10.3</w: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10.4</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10.5†</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br w:type="column"/>
      </w:r>
    </w:p>
    <w:p>
      <w:pPr>
        <w:ind w:right="1440"/>
        <w:spacing w:after="0" w:line="297"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Form of Management Services Agreement</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Form of Continuity Agreement</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2021 Equity Incentive Plan</w:t>
        </w:r>
      </w:hyperlink>
    </w:p>
    <w:p>
      <w:pPr>
        <w:spacing w:after="0" w:line="1" w:lineRule="exact"/>
        <w:rPr>
          <w:rFonts w:ascii="Times New Roman" w:cs="Times New Roman" w:eastAsia="Times New Roman" w:hAnsi="Times New Roman"/>
          <w:sz w:val="18"/>
          <w:szCs w:val="18"/>
          <w:u w:val="single" w:color="auto"/>
          <w:color w:val="0000FF"/>
        </w:rPr>
      </w:pPr>
    </w:p>
    <w:p>
      <w:pPr>
        <w:ind w:right="80"/>
        <w:spacing w:after="0" w:line="281" w:lineRule="auto"/>
        <w:rPr>
          <w:rFonts w:ascii="Times New Roman" w:cs="Times New Roman" w:eastAsia="Times New Roman" w:hAnsi="Times New Roman"/>
          <w:sz w:val="17"/>
          <w:szCs w:val="17"/>
          <w:u w:val="single" w:color="auto"/>
          <w:color w:val="0000FF"/>
        </w:rPr>
      </w:pPr>
      <w:hyperlink r:id="rId151">
        <w:r>
          <w:rPr>
            <w:rFonts w:ascii="Times New Roman" w:cs="Times New Roman" w:eastAsia="Times New Roman" w:hAnsi="Times New Roman"/>
            <w:sz w:val="17"/>
            <w:szCs w:val="17"/>
            <w:u w:val="single" w:color="auto"/>
            <w:color w:val="0000FF"/>
          </w:rPr>
          <w:t>Second Amended and Restated Employment Agreement</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between the Company and Dr. Rollins, dated January 4, 2023</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001-40973</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256"/>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001-40973</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257"/>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001-40973</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351"/>
        </w:trPr>
        <w:tc>
          <w:tcPr>
            <w:tcW w:w="7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001-40973</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01/06/23</w:t>
            </w:r>
          </w:p>
        </w:tc>
      </w:tr>
    </w:tbl>
    <w:p>
      <w:pPr>
        <w:spacing w:after="0" w:line="129" w:lineRule="exact"/>
        <w:rPr>
          <w:sz w:val="20"/>
          <w:szCs w:val="20"/>
          <w:color w:val="auto"/>
        </w:rPr>
      </w:pPr>
    </w:p>
    <w:p>
      <w:pPr>
        <w:sectPr>
          <w:pgSz w:w="11900" w:h="16838" w:orient="portrait"/>
          <w:cols w:equalWidth="0" w:num="3">
            <w:col w:w="980" w:space="680"/>
            <w:col w:w="4500" w:space="720"/>
            <w:col w:w="4360"/>
          </w:cols>
          <w:pgMar w:left="320" w:top="513" w:right="339" w:bottom="1440" w:gutter="0" w:footer="0" w:header="0"/>
          <w:type w:val="continuous"/>
        </w:sectPr>
      </w:pPr>
    </w:p>
    <w:p>
      <w:pPr>
        <w:spacing w:after="0" w:line="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10.7†</w:t>
      </w:r>
    </w:p>
    <w:p>
      <w:pPr>
        <w:spacing w:after="0" w:line="2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br w:type="column"/>
      </w:r>
    </w:p>
    <w:p>
      <w:pPr>
        <w:ind w:right="460"/>
        <w:spacing w:after="0" w:line="281" w:lineRule="auto"/>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7"/>
            <w:szCs w:val="17"/>
            <w:u w:val="single" w:color="auto"/>
            <w:color w:val="0000FF"/>
          </w:rPr>
          <w:t>Separation and General Release Agreement between the</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Company and Ronald Zelhof, dated December 30, 2022</w:t>
        </w:r>
      </w:hyperlink>
    </w:p>
    <w:p>
      <w:pPr>
        <w:spacing w:after="0" w:line="1"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Amended and Restated Employment Agreement between EBS</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Enterprises, LLC and Dennis Dean</w:t>
        </w:r>
      </w:hyperlink>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8-K</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01/06/23</w:t>
            </w:r>
          </w:p>
        </w:tc>
      </w:tr>
      <w:tr>
        <w:trPr>
          <w:trHeight w:val="459"/>
        </w:trPr>
        <w:tc>
          <w:tcPr>
            <w:tcW w:w="7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bl>
    <w:p>
      <w:pPr>
        <w:spacing w:after="0" w:line="130" w:lineRule="exact"/>
        <w:rPr>
          <w:sz w:val="20"/>
          <w:szCs w:val="20"/>
          <w:color w:val="auto"/>
        </w:rPr>
      </w:pPr>
    </w:p>
    <w:p>
      <w:pPr>
        <w:sectPr>
          <w:pgSz w:w="11900" w:h="16838" w:orient="portrait"/>
          <w:cols w:equalWidth="0" w:num="3">
            <w:col w:w="980" w:space="680"/>
            <w:col w:w="4500" w:space="720"/>
            <w:col w:w="4360"/>
          </w:cols>
          <w:pgMar w:left="320" w:top="513" w:right="3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13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10.9†</w:t>
            </w:r>
          </w:p>
        </w:tc>
        <w:tc>
          <w:tcPr>
            <w:tcW w:w="5240" w:type="dxa"/>
            <w:vAlign w:val="bottom"/>
            <w:gridSpan w:val="4"/>
          </w:tcPr>
          <w:p>
            <w:pPr>
              <w:ind w:left="340"/>
              <w:spacing w:after="0" w:line="194"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AirSculpt Technologies, Inc. RSU Award Grant Notice</w:t>
              </w:r>
            </w:hyperlink>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001-40973</w:t>
            </w:r>
          </w:p>
        </w:tc>
        <w:tc>
          <w:tcPr>
            <w:tcW w:w="10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12/03/21</w:t>
            </w:r>
          </w:p>
        </w:tc>
        <w:tc>
          <w:tcPr>
            <w:tcW w:w="0" w:type="dxa"/>
            <w:vAlign w:val="bottom"/>
          </w:tcPr>
          <w:p>
            <w:pPr>
              <w:spacing w:after="0"/>
              <w:rPr>
                <w:sz w:val="1"/>
                <w:szCs w:val="1"/>
                <w:color w:val="auto"/>
              </w:rPr>
            </w:pPr>
          </w:p>
        </w:tc>
      </w:tr>
      <w:tr>
        <w:trPr>
          <w:trHeight w:val="20"/>
        </w:trPr>
        <w:tc>
          <w:tcPr>
            <w:tcW w:w="132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320" w:type="dxa"/>
            <w:vAlign w:val="bottom"/>
            <w:vMerge w:val="continue"/>
          </w:tcPr>
          <w:p>
            <w:pPr>
              <w:spacing w:after="0"/>
              <w:rPr>
                <w:sz w:val="10"/>
                <w:szCs w:val="10"/>
                <w:color w:val="auto"/>
              </w:rPr>
            </w:pPr>
          </w:p>
        </w:tc>
        <w:tc>
          <w:tcPr>
            <w:tcW w:w="5240" w:type="dxa"/>
            <w:vAlign w:val="bottom"/>
            <w:gridSpan w:val="4"/>
            <w:vMerge w:val="restart"/>
          </w:tcPr>
          <w:p>
            <w:pPr>
              <w:ind w:left="340"/>
              <w:spacing w:after="0" w:line="182"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and Award Agreement (IPO Grants)</w:t>
              </w:r>
            </w:hyperlink>
          </w:p>
        </w:tc>
        <w:tc>
          <w:tcPr>
            <w:tcW w:w="104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320" w:type="dxa"/>
            <w:vAlign w:val="bottom"/>
          </w:tcPr>
          <w:p>
            <w:pPr>
              <w:spacing w:after="0"/>
              <w:rPr>
                <w:sz w:val="5"/>
                <w:szCs w:val="5"/>
                <w:color w:val="auto"/>
              </w:rPr>
            </w:pPr>
          </w:p>
        </w:tc>
        <w:tc>
          <w:tcPr>
            <w:tcW w:w="524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2"/>
        </w:trPr>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tcBorders>
              <w:top w:val="single" w:sz="8" w:color="0000FF"/>
            </w:tcBorders>
          </w:tcPr>
          <w:p>
            <w:pPr>
              <w:spacing w:after="0"/>
              <w:rPr>
                <w:sz w:val="24"/>
                <w:szCs w:val="24"/>
                <w:color w:val="auto"/>
              </w:rPr>
            </w:pPr>
          </w:p>
        </w:tc>
        <w:tc>
          <w:tcPr>
            <w:tcW w:w="1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10.10†</w:t>
      </w:r>
    </w:p>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10.11†</w:t>
      </w:r>
    </w:p>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10.12†</w:t>
      </w:r>
    </w:p>
    <w:p>
      <w:pPr>
        <w:spacing w:after="0" w:line="3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80"/>
        <w:spacing w:after="0" w:line="266"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Form of AirSculpt Technologies, Inc. PSU Award Grant Notice</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and Award Agreement (IPO Grants)</w:t>
        </w:r>
      </w:hyperlink>
    </w:p>
    <w:p>
      <w:pPr>
        <w:ind w:right="280"/>
        <w:spacing w:after="0" w:line="266"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Form of AirSculpt Technologies, Inc. 2021 RSU Award Grant</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Notice and Award Agreement</w:t>
        </w:r>
      </w:hyperlink>
    </w:p>
    <w:p>
      <w:pPr>
        <w:ind w:right="20"/>
        <w:spacing w:after="0" w:line="266"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Employee Covenants Agreement, dated as of October 2, 2018, by</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and between EBS Enterprises, LLC and Dr. Aaron Rollins</w:t>
        </w:r>
      </w:hyperlink>
    </w:p>
    <w:p>
      <w:pPr>
        <w:spacing w:after="0" w:line="250"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First Amendment to Employee Covenants Agreement, dated as of</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October 5, 2021, by and between EBS Enterprises, LLC and Dr.</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Aaron Rollins</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65"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45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45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r>
        <w:trPr>
          <w:trHeight w:val="56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001-40973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12/03/21</w:t>
            </w:r>
          </w:p>
        </w:tc>
      </w:tr>
    </w:tbl>
    <w:p>
      <w:pPr>
        <w:spacing w:after="0" w:line="211"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1280" w:space="400"/>
            <w:col w:w="4740" w:space="480"/>
            <w:col w:w="4100"/>
          </w:cols>
          <w:pgMar w:left="320" w:top="513" w:right="579" w:bottom="1440" w:gutter="0" w:footer="0" w:header="0"/>
        </w:sectPr>
      </w:pPr>
    </w:p>
    <w:tbl>
      <w:tblPr>
        <w:tblLayout w:type="fixed"/>
        <w:tblInd w:w="480" w:type="dxa"/>
        <w:tblCellMar>
          <w:top w:w="0" w:type="dxa"/>
          <w:left w:w="0" w:type="dxa"/>
          <w:bottom w:w="0" w:type="dxa"/>
          <w:right w:w="0" w:type="dxa"/>
        </w:tblCellMar>
      </w:tblPr>
      <w:tr>
        <w:trPr>
          <w:trHeight w:val="207"/>
        </w:trPr>
        <w:tc>
          <w:tcPr>
            <w:tcW w:w="1200" w:type="dxa"/>
            <w:vAlign w:val="bottom"/>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10.14†</w:t>
            </w:r>
          </w:p>
        </w:tc>
        <w:tc>
          <w:tcPr>
            <w:tcW w:w="4700" w:type="dxa"/>
            <w:vAlign w:val="bottom"/>
            <w:gridSpan w:val="12"/>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AirSculpt Technologies, Inc. 2022 PSU Award Grant</w:t>
              </w:r>
            </w:hyperlink>
          </w:p>
        </w:tc>
        <w:tc>
          <w:tcPr>
            <w:tcW w:w="0" w:type="dxa"/>
            <w:vAlign w:val="bottom"/>
          </w:tcPr>
          <w:p>
            <w:pPr>
              <w:spacing w:after="0"/>
              <w:rPr>
                <w:sz w:val="1"/>
                <w:szCs w:val="1"/>
                <w:color w:val="auto"/>
              </w:rPr>
            </w:pPr>
          </w:p>
        </w:tc>
      </w:tr>
      <w:tr>
        <w:trPr>
          <w:trHeight w:val="115"/>
        </w:trPr>
        <w:tc>
          <w:tcPr>
            <w:tcW w:w="1200" w:type="dxa"/>
            <w:vAlign w:val="bottom"/>
            <w:vMerge w:val="continue"/>
          </w:tcPr>
          <w:p>
            <w:pPr>
              <w:spacing w:after="0"/>
              <w:rPr>
                <w:sz w:val="10"/>
                <w:szCs w:val="10"/>
                <w:color w:val="auto"/>
              </w:rPr>
            </w:pPr>
          </w:p>
        </w:tc>
        <w:tc>
          <w:tcPr>
            <w:tcW w:w="2140" w:type="dxa"/>
            <w:vAlign w:val="bottom"/>
            <w:tcBorders>
              <w:top w:val="single" w:sz="8" w:color="0000FF"/>
            </w:tcBorders>
            <w:gridSpan w:val="5"/>
            <w:vMerge w:val="restart"/>
          </w:tcPr>
          <w:p>
            <w:pPr>
              <w:spacing w:after="0" w:line="182"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Notice and Award Agreement</w:t>
              </w:r>
            </w:hyperlink>
          </w:p>
        </w:tc>
        <w:tc>
          <w:tcPr>
            <w:tcW w:w="2300" w:type="dxa"/>
            <w:vAlign w:val="bottom"/>
            <w:tcBorders>
              <w:top w:val="single" w:sz="8" w:color="0000FF"/>
            </w:tcBorders>
            <w:gridSpan w:val="5"/>
            <w:vMerge w:val="restart"/>
          </w:tcPr>
          <w:p>
            <w:pPr>
              <w:spacing w:after="0"/>
              <w:rPr>
                <w:sz w:val="10"/>
                <w:szCs w:val="10"/>
                <w:color w:val="auto"/>
              </w:rPr>
            </w:pPr>
          </w:p>
        </w:tc>
        <w:tc>
          <w:tcPr>
            <w:tcW w:w="26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200" w:type="dxa"/>
            <w:vAlign w:val="bottom"/>
          </w:tcPr>
          <w:p>
            <w:pPr>
              <w:spacing w:after="0"/>
              <w:rPr>
                <w:sz w:val="5"/>
                <w:szCs w:val="5"/>
                <w:color w:val="auto"/>
              </w:rPr>
            </w:pPr>
          </w:p>
        </w:tc>
        <w:tc>
          <w:tcPr>
            <w:tcW w:w="2140" w:type="dxa"/>
            <w:vAlign w:val="bottom"/>
            <w:tcBorders>
              <w:bottom w:val="single" w:sz="8" w:color="0000FF"/>
            </w:tcBorders>
            <w:gridSpan w:val="5"/>
            <w:vMerge w:val="continue"/>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200" w:type="dxa"/>
            <w:vAlign w:val="bottom"/>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10.15†</w:t>
            </w:r>
          </w:p>
        </w:tc>
        <w:tc>
          <w:tcPr>
            <w:tcW w:w="41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Employment Agreement between the Company and Todd</w:t>
              </w:r>
            </w:hyperlink>
          </w:p>
        </w:tc>
        <w:tc>
          <w:tcPr>
            <w:tcW w:w="56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1200" w:type="dxa"/>
            <w:vAlign w:val="bottom"/>
            <w:vMerge w:val="continue"/>
          </w:tcPr>
          <w:p>
            <w:pPr>
              <w:spacing w:after="0"/>
              <w:rPr>
                <w:sz w:val="10"/>
                <w:szCs w:val="10"/>
                <w:color w:val="auto"/>
              </w:rPr>
            </w:pPr>
          </w:p>
        </w:tc>
        <w:tc>
          <w:tcPr>
            <w:tcW w:w="4700" w:type="dxa"/>
            <w:vAlign w:val="bottom"/>
            <w:gridSpan w:val="12"/>
            <w:vMerge w:val="restart"/>
          </w:tcPr>
          <w:p>
            <w:pPr>
              <w:spacing w:after="0" w:line="182"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Magazine, dated December 29, 2022</w:t>
              </w:r>
            </w:hyperlink>
          </w:p>
        </w:tc>
        <w:tc>
          <w:tcPr>
            <w:tcW w:w="0" w:type="dxa"/>
            <w:vAlign w:val="bottom"/>
          </w:tcPr>
          <w:p>
            <w:pPr>
              <w:spacing w:after="0"/>
              <w:rPr>
                <w:sz w:val="1"/>
                <w:szCs w:val="1"/>
                <w:color w:val="auto"/>
              </w:rPr>
            </w:pPr>
          </w:p>
        </w:tc>
      </w:tr>
      <w:tr>
        <w:trPr>
          <w:trHeight w:val="68"/>
        </w:trPr>
        <w:tc>
          <w:tcPr>
            <w:tcW w:w="1200" w:type="dxa"/>
            <w:vAlign w:val="bottom"/>
          </w:tcPr>
          <w:p>
            <w:pPr>
              <w:spacing w:after="0"/>
              <w:rPr>
                <w:sz w:val="5"/>
                <w:szCs w:val="5"/>
                <w:color w:val="auto"/>
              </w:rPr>
            </w:pPr>
          </w:p>
        </w:tc>
        <w:tc>
          <w:tcPr>
            <w:tcW w:w="470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2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21.1</w:t>
            </w:r>
          </w:p>
        </w:tc>
        <w:tc>
          <w:tcPr>
            <w:tcW w:w="140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8"/>
              </w:rPr>
            </w:pPr>
            <w:hyperlink r:id="rId163">
              <w:r>
                <w:rPr>
                  <w:rFonts w:ascii="Times New Roman" w:cs="Times New Roman" w:eastAsia="Times New Roman" w:hAnsi="Times New Roman"/>
                  <w:sz w:val="18"/>
                  <w:szCs w:val="18"/>
                  <w:color w:val="0000FF"/>
                  <w:w w:val="98"/>
                </w:rPr>
                <w:t>List of Subsidiaries</w:t>
              </w:r>
            </w:hyperlink>
          </w:p>
        </w:tc>
        <w:tc>
          <w:tcPr>
            <w:tcW w:w="1240" w:type="dxa"/>
            <w:vAlign w:val="bottom"/>
            <w:tcBorders>
              <w:top w:val="single" w:sz="8" w:color="0000FF"/>
            </w:tcBorders>
            <w:gridSpan w:val="6"/>
          </w:tcPr>
          <w:p>
            <w:pPr>
              <w:spacing w:after="0"/>
              <w:rPr>
                <w:sz w:val="20"/>
                <w:szCs w:val="20"/>
                <w:color w:val="auto"/>
              </w:rPr>
            </w:pPr>
          </w:p>
        </w:tc>
        <w:tc>
          <w:tcPr>
            <w:tcW w:w="206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23.1</w:t>
            </w:r>
          </w:p>
        </w:tc>
        <w:tc>
          <w:tcPr>
            <w:tcW w:w="2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Consent of Grant Thornton LLP</w:t>
            </w:r>
          </w:p>
        </w:tc>
        <w:tc>
          <w:tcPr>
            <w:tcW w:w="23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20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rPr>
              <w:t>24.1</w:t>
            </w:r>
          </w:p>
        </w:tc>
        <w:tc>
          <w:tcPr>
            <w:tcW w:w="4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Power of Attorney (set forth on the signature page to this Annual</w:t>
            </w:r>
          </w:p>
        </w:tc>
        <w:tc>
          <w:tcPr>
            <w:tcW w:w="0" w:type="dxa"/>
            <w:vAlign w:val="bottom"/>
          </w:tcPr>
          <w:p>
            <w:pPr>
              <w:spacing w:after="0"/>
              <w:rPr>
                <w:sz w:val="1"/>
                <w:szCs w:val="1"/>
                <w:color w:val="auto"/>
              </w:rPr>
            </w:pPr>
          </w:p>
        </w:tc>
      </w:tr>
      <w:tr>
        <w:trPr>
          <w:trHeight w:val="126"/>
        </w:trPr>
        <w:tc>
          <w:tcPr>
            <w:tcW w:w="1200" w:type="dxa"/>
            <w:vAlign w:val="bottom"/>
            <w:vMerge w:val="continue"/>
          </w:tcPr>
          <w:p>
            <w:pPr>
              <w:spacing w:after="0"/>
              <w:rPr>
                <w:sz w:val="10"/>
                <w:szCs w:val="10"/>
                <w:color w:val="auto"/>
              </w:rPr>
            </w:pPr>
          </w:p>
        </w:tc>
        <w:tc>
          <w:tcPr>
            <w:tcW w:w="47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auto"/>
              </w:rPr>
              <w:t>Report on Form 10-K)</w:t>
            </w: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4700" w:type="dxa"/>
            <w:vAlign w:val="bottom"/>
            <w:gridSpan w:val="1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rPr>
              <w:t>31.1</w:t>
            </w:r>
          </w:p>
        </w:tc>
        <w:tc>
          <w:tcPr>
            <w:tcW w:w="47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required by Rule</w:t>
            </w:r>
          </w:p>
        </w:tc>
        <w:tc>
          <w:tcPr>
            <w:tcW w:w="0" w:type="dxa"/>
            <w:vAlign w:val="bottom"/>
          </w:tcPr>
          <w:p>
            <w:pPr>
              <w:spacing w:after="0"/>
              <w:rPr>
                <w:sz w:val="1"/>
                <w:szCs w:val="1"/>
                <w:color w:val="auto"/>
              </w:rPr>
            </w:pPr>
          </w:p>
        </w:tc>
      </w:tr>
      <w:tr>
        <w:trPr>
          <w:trHeight w:val="115"/>
        </w:trPr>
        <w:tc>
          <w:tcPr>
            <w:tcW w:w="1200" w:type="dxa"/>
            <w:vAlign w:val="bottom"/>
            <w:vMerge w:val="continue"/>
          </w:tcPr>
          <w:p>
            <w:pPr>
              <w:spacing w:after="0"/>
              <w:rPr>
                <w:sz w:val="10"/>
                <w:szCs w:val="10"/>
                <w:color w:val="auto"/>
              </w:rPr>
            </w:pPr>
          </w:p>
        </w:tc>
        <w:tc>
          <w:tcPr>
            <w:tcW w:w="2080" w:type="dxa"/>
            <w:vAlign w:val="bottom"/>
            <w:tcBorders>
              <w:top w:val="single" w:sz="8" w:color="0000FF"/>
            </w:tcBorders>
            <w:gridSpan w:val="4"/>
            <w:vMerge w:val="restart"/>
          </w:tcPr>
          <w:p>
            <w:pPr>
              <w:spacing w:after="0" w:line="182" w:lineRule="exact"/>
              <w:rPr>
                <w:sz w:val="20"/>
                <w:szCs w:val="20"/>
                <w:color w:val="auto"/>
              </w:rPr>
            </w:pPr>
            <w:r>
              <w:rPr>
                <w:rFonts w:ascii="Times New Roman" w:cs="Times New Roman" w:eastAsia="Times New Roman" w:hAnsi="Times New Roman"/>
                <w:sz w:val="18"/>
                <w:szCs w:val="18"/>
                <w:color w:val="0000FF"/>
                <w:w w:val="99"/>
              </w:rPr>
              <w:t>13a-14(a) or Rule 15d-14(a).</w:t>
            </w:r>
          </w:p>
        </w:tc>
        <w:tc>
          <w:tcPr>
            <w:tcW w:w="2300" w:type="dxa"/>
            <w:vAlign w:val="bottom"/>
            <w:tcBorders>
              <w:top w:val="single" w:sz="8" w:color="0000FF"/>
            </w:tcBorders>
            <w:gridSpan w:val="5"/>
            <w:vMerge w:val="restart"/>
          </w:tcPr>
          <w:p>
            <w:pPr>
              <w:spacing w:after="0"/>
              <w:rPr>
                <w:sz w:val="10"/>
                <w:szCs w:val="10"/>
                <w:color w:val="auto"/>
              </w:rPr>
            </w:pPr>
          </w:p>
        </w:tc>
        <w:tc>
          <w:tcPr>
            <w:tcW w:w="3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200" w:type="dxa"/>
            <w:vAlign w:val="bottom"/>
          </w:tcPr>
          <w:p>
            <w:pPr>
              <w:spacing w:after="0"/>
              <w:rPr>
                <w:sz w:val="5"/>
                <w:szCs w:val="5"/>
                <w:color w:val="auto"/>
              </w:rPr>
            </w:pPr>
          </w:p>
        </w:tc>
        <w:tc>
          <w:tcPr>
            <w:tcW w:w="2080" w:type="dxa"/>
            <w:vAlign w:val="bottom"/>
            <w:tcBorders>
              <w:bottom w:val="single" w:sz="8" w:color="0000FF"/>
            </w:tcBorders>
            <w:gridSpan w:val="4"/>
            <w:vMerge w:val="continue"/>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20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rPr>
              <w:t>31.2</w:t>
            </w:r>
          </w:p>
        </w:tc>
        <w:tc>
          <w:tcPr>
            <w:tcW w:w="47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required by Rule 13a-</w:t>
            </w:r>
          </w:p>
        </w:tc>
        <w:tc>
          <w:tcPr>
            <w:tcW w:w="0" w:type="dxa"/>
            <w:vAlign w:val="bottom"/>
          </w:tcPr>
          <w:p>
            <w:pPr>
              <w:spacing w:after="0"/>
              <w:rPr>
                <w:sz w:val="1"/>
                <w:szCs w:val="1"/>
                <w:color w:val="auto"/>
              </w:rPr>
            </w:pPr>
          </w:p>
        </w:tc>
      </w:tr>
      <w:tr>
        <w:trPr>
          <w:trHeight w:val="115"/>
        </w:trPr>
        <w:tc>
          <w:tcPr>
            <w:tcW w:w="1200" w:type="dxa"/>
            <w:vAlign w:val="bottom"/>
            <w:vMerge w:val="continue"/>
          </w:tcPr>
          <w:p>
            <w:pPr>
              <w:spacing w:after="0"/>
              <w:rPr>
                <w:sz w:val="10"/>
                <w:szCs w:val="10"/>
                <w:color w:val="auto"/>
              </w:rPr>
            </w:pPr>
          </w:p>
        </w:tc>
        <w:tc>
          <w:tcPr>
            <w:tcW w:w="1760" w:type="dxa"/>
            <w:vAlign w:val="bottom"/>
            <w:gridSpan w:val="3"/>
            <w:vMerge w:val="restart"/>
          </w:tcPr>
          <w:p>
            <w:pPr>
              <w:spacing w:after="0" w:line="182" w:lineRule="exact"/>
              <w:rPr>
                <w:sz w:val="20"/>
                <w:szCs w:val="20"/>
                <w:color w:val="auto"/>
              </w:rPr>
            </w:pPr>
            <w:r>
              <w:rPr>
                <w:rFonts w:ascii="Times New Roman" w:cs="Times New Roman" w:eastAsia="Times New Roman" w:hAnsi="Times New Roman"/>
                <w:sz w:val="18"/>
                <w:szCs w:val="18"/>
                <w:color w:val="0000FF"/>
                <w:w w:val="98"/>
              </w:rPr>
              <w:t>14(a) or Rule 15d-14(a).</w:t>
            </w:r>
          </w:p>
        </w:tc>
        <w:tc>
          <w:tcPr>
            <w:tcW w:w="2940" w:type="dxa"/>
            <w:vAlign w:val="bottom"/>
            <w:gridSpan w:val="9"/>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200" w:type="dxa"/>
            <w:vAlign w:val="bottom"/>
          </w:tcPr>
          <w:p>
            <w:pPr>
              <w:spacing w:after="0"/>
              <w:rPr>
                <w:sz w:val="5"/>
                <w:szCs w:val="5"/>
                <w:color w:val="auto"/>
              </w:rPr>
            </w:pPr>
          </w:p>
        </w:tc>
        <w:tc>
          <w:tcPr>
            <w:tcW w:w="1760" w:type="dxa"/>
            <w:vAlign w:val="bottom"/>
            <w:tcBorders>
              <w:bottom w:val="single" w:sz="8" w:color="0000FF"/>
            </w:tcBorders>
            <w:gridSpan w:val="3"/>
            <w:vMerge w:val="continue"/>
          </w:tcPr>
          <w:p>
            <w:pPr>
              <w:spacing w:after="0"/>
              <w:rPr>
                <w:sz w:val="5"/>
                <w:szCs w:val="5"/>
                <w:color w:val="auto"/>
              </w:rPr>
            </w:pPr>
          </w:p>
        </w:tc>
        <w:tc>
          <w:tcPr>
            <w:tcW w:w="294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200" w:type="dxa"/>
            <w:vAlign w:val="bottom"/>
            <w:vMerge w:val="restart"/>
          </w:tcPr>
          <w:p>
            <w:pPr>
              <w:jc w:val="center"/>
              <w:ind w:right="510"/>
              <w:spacing w:after="0"/>
              <w:rPr>
                <w:sz w:val="20"/>
                <w:szCs w:val="20"/>
                <w:color w:val="auto"/>
              </w:rPr>
            </w:pPr>
            <w:r>
              <w:rPr>
                <w:rFonts w:ascii="Times New Roman" w:cs="Times New Roman" w:eastAsia="Times New Roman" w:hAnsi="Times New Roman"/>
                <w:sz w:val="18"/>
                <w:szCs w:val="18"/>
                <w:color w:val="auto"/>
              </w:rPr>
              <w:t>32.1</w:t>
            </w:r>
          </w:p>
        </w:tc>
        <w:tc>
          <w:tcPr>
            <w:tcW w:w="47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the Chief</w:t>
            </w:r>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680" w:type="dxa"/>
            <w:vAlign w:val="bottom"/>
            <w:gridSpan w:val="6"/>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470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Financial Officer required by Rule 13a-14(b) or Rule 15d-14(b)</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46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and 18 U.S.C. 1350.</w:t>
            </w:r>
          </w:p>
        </w:tc>
        <w:tc>
          <w:tcPr>
            <w:tcW w:w="3120" w:type="dxa"/>
            <w:vAlign w:val="bottom"/>
            <w:tcBorders>
              <w:top w:val="single" w:sz="8" w:color="0000FF"/>
            </w:tcBorders>
            <w:gridSpan w:val="9"/>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200" w:type="dxa"/>
            <w:vAlign w:val="bottom"/>
          </w:tcPr>
          <w:p>
            <w:pPr>
              <w:spacing w:after="0"/>
              <w:rPr>
                <w:sz w:val="21"/>
                <w:szCs w:val="21"/>
                <w:color w:val="auto"/>
              </w:rPr>
            </w:pPr>
          </w:p>
        </w:tc>
        <w:tc>
          <w:tcPr>
            <w:tcW w:w="4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(the instance document does not appear in</w:t>
            </w:r>
          </w:p>
        </w:tc>
        <w:tc>
          <w:tcPr>
            <w:tcW w:w="0" w:type="dxa"/>
            <w:vAlign w:val="bottom"/>
          </w:tcPr>
          <w:p>
            <w:pPr>
              <w:spacing w:after="0"/>
              <w:rPr>
                <w:sz w:val="1"/>
                <w:szCs w:val="1"/>
                <w:color w:val="auto"/>
              </w:rPr>
            </w:pPr>
          </w:p>
        </w:tc>
      </w:tr>
      <w:tr>
        <w:trPr>
          <w:trHeight w:val="203"/>
        </w:trPr>
        <w:tc>
          <w:tcPr>
            <w:tcW w:w="1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101.INS</w:t>
            </w:r>
          </w:p>
        </w:tc>
        <w:tc>
          <w:tcPr>
            <w:tcW w:w="4700" w:type="dxa"/>
            <w:vAlign w:val="bottom"/>
            <w:gridSpan w:val="12"/>
          </w:tcPr>
          <w:p>
            <w:pPr>
              <w:spacing w:after="0" w:line="202"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4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001-40973</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03/03/21</w:t>
            </w:r>
          </w:p>
        </w:tc>
      </w:tr>
      <w:tr>
        <w:trPr>
          <w:trHeight w:val="459"/>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001-40973</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01/06/23</w:t>
            </w:r>
          </w:p>
        </w:tc>
      </w:tr>
      <w:tr>
        <w:trPr>
          <w:trHeight w:val="365"/>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333-260067</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10/28/21</w:t>
            </w:r>
          </w:p>
        </w:tc>
      </w:tr>
    </w:tbl>
    <w:p>
      <w:pPr>
        <w:spacing w:after="0" w:line="2978" w:lineRule="exact"/>
        <w:rPr>
          <w:sz w:val="20"/>
          <w:szCs w:val="20"/>
          <w:color w:val="auto"/>
        </w:rPr>
      </w:pPr>
    </w:p>
    <w:p>
      <w:pPr>
        <w:sectPr>
          <w:pgSz w:w="11900" w:h="16838" w:orient="portrait"/>
          <w:cols w:equalWidth="0" w:num="2">
            <w:col w:w="6380" w:space="500"/>
            <w:col w:w="4120"/>
          </w:cols>
          <w:pgMar w:left="320" w:top="513" w:right="579" w:bottom="1440" w:gutter="0" w:footer="0" w:header="0"/>
          <w:type w:val="continuous"/>
        </w:sectPr>
      </w:pPr>
    </w:p>
    <w:tbl>
      <w:tblPr>
        <w:tblLayout w:type="fixed"/>
        <w:tblInd w:w="440" w:type="dxa"/>
        <w:tblCellMar>
          <w:top w:w="0" w:type="dxa"/>
          <w:left w:w="0" w:type="dxa"/>
          <w:bottom w:w="0" w:type="dxa"/>
          <w:right w:w="0" w:type="dxa"/>
        </w:tblCellMar>
      </w:tblPr>
      <w:tr>
        <w:trPr>
          <w:trHeight w:val="234"/>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5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25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7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Inline XBRL Taxonomy Extension Presentation</w:t>
            </w:r>
          </w:p>
        </w:tc>
      </w:tr>
      <w:tr>
        <w:trPr>
          <w:trHeight w:val="25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bl>
    <w:p>
      <w:pPr>
        <w:spacing w:after="0" w:line="22" w:lineRule="exact"/>
        <w:rPr>
          <w:sz w:val="20"/>
          <w:szCs w:val="20"/>
          <w:color w:val="auto"/>
        </w:rPr>
      </w:pPr>
    </w:p>
    <w:p>
      <w:pPr>
        <w:ind w:left="1680" w:right="4680" w:hanging="1031"/>
        <w:spacing w:after="0" w:line="182" w:lineRule="auto"/>
        <w:tabs>
          <w:tab w:leader="none" w:pos="1680" w:val="left"/>
        </w:tabs>
        <w:numPr>
          <w:ilvl w:val="1"/>
          <w:numId w:val="67"/>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331" w:lineRule="exact"/>
        <w:rPr>
          <w:rFonts w:ascii="Times New Roman" w:cs="Times New Roman" w:eastAsia="Times New Roman" w:hAnsi="Times New Roman"/>
          <w:sz w:val="33"/>
          <w:szCs w:val="33"/>
          <w:color w:val="auto"/>
          <w:vertAlign w:val="subscript"/>
        </w:rPr>
      </w:pPr>
    </w:p>
    <w:p>
      <w:pPr>
        <w:ind w:left="140" w:hanging="132"/>
        <w:spacing w:after="0"/>
        <w:tabs>
          <w:tab w:leader="none" w:pos="140" w:val="left"/>
        </w:tabs>
        <w:numPr>
          <w:ilvl w:val="0"/>
          <w:numId w:val="6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Indicates a management or compensatory plan or arrangement in which directors or executive officers are eligible to participate.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513" w:right="57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AIRSCULPT TECHNOLOGIES,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2023</w:t>
      </w:r>
    </w:p>
    <w:p>
      <w:pPr>
        <w:spacing w:after="0" w:line="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/s/ Todd Magazine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-20320</wp:posOffset>
            </wp:positionV>
            <wp:extent cx="8769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876935"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18"/>
          <w:szCs w:val="18"/>
          <w:color w:val="auto"/>
        </w:rPr>
        <w:t>Todd Magazine</w:t>
      </w:r>
    </w:p>
    <w:p>
      <w:pPr>
        <w:ind w:left="4540"/>
        <w:spacing w:after="0" w:line="234" w:lineRule="auto"/>
        <w:rPr>
          <w:sz w:val="20"/>
          <w:szCs w:val="20"/>
          <w:color w:val="auto"/>
        </w:rPr>
      </w:pPr>
      <w:r>
        <w:rPr>
          <w:rFonts w:ascii="Times New Roman" w:cs="Times New Roman" w:eastAsia="Times New Roman" w:hAnsi="Times New Roman"/>
          <w:sz w:val="18"/>
          <w:szCs w:val="18"/>
          <w:color w:val="auto"/>
        </w:rPr>
        <w:t>Chief Executive Officer</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Todd Magazine and Dennis Dean, jointly and severally, his or her attorneys-in-fact, each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1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SIGNATURES</w:t>
            </w:r>
          </w:p>
        </w:tc>
        <w:tc>
          <w:tcPr>
            <w:tcW w:w="42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5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5"/>
              </w:rPr>
              <w:t>DATE</w:t>
            </w:r>
          </w:p>
        </w:tc>
      </w:tr>
      <w:tr>
        <w:trPr>
          <w:trHeight w:val="445"/>
        </w:trPr>
        <w:tc>
          <w:tcPr>
            <w:tcW w:w="4820" w:type="dxa"/>
            <w:vAlign w:val="bottom"/>
          </w:tcPr>
          <w:p>
            <w:pPr>
              <w:spacing w:after="0"/>
              <w:rPr>
                <w:sz w:val="24"/>
                <w:szCs w:val="24"/>
                <w:color w:val="auto"/>
              </w:rPr>
            </w:pPr>
          </w:p>
        </w:tc>
        <w:tc>
          <w:tcPr>
            <w:tcW w:w="42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Chief Executive Officer, Director</w:t>
            </w:r>
          </w:p>
        </w:tc>
        <w:tc>
          <w:tcPr>
            <w:tcW w:w="1540" w:type="dxa"/>
            <w:vAlign w:val="bottom"/>
          </w:tcPr>
          <w:p>
            <w:pPr>
              <w:spacing w:after="0"/>
              <w:rPr>
                <w:sz w:val="24"/>
                <w:szCs w:val="24"/>
                <w:color w:val="auto"/>
              </w:rPr>
            </w:pPr>
          </w:p>
        </w:tc>
      </w:tr>
      <w:tr>
        <w:trPr>
          <w:trHeight w:val="243"/>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Todd Magazine</w:t>
            </w:r>
          </w:p>
        </w:tc>
        <w:tc>
          <w:tcPr>
            <w:tcW w:w="42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5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Todd Magazine</w:t>
            </w:r>
          </w:p>
        </w:tc>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41"/>
        </w:trPr>
        <w:tc>
          <w:tcPr>
            <w:tcW w:w="4820" w:type="dxa"/>
            <w:vAlign w:val="bottom"/>
          </w:tcPr>
          <w:p>
            <w:pPr>
              <w:spacing w:after="0"/>
              <w:rPr>
                <w:sz w:val="24"/>
                <w:szCs w:val="24"/>
                <w:color w:val="auto"/>
              </w:rPr>
            </w:pPr>
          </w:p>
        </w:tc>
        <w:tc>
          <w:tcPr>
            <w:tcW w:w="42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540" w:type="dxa"/>
            <w:vAlign w:val="bottom"/>
          </w:tcPr>
          <w:p>
            <w:pPr>
              <w:spacing w:after="0"/>
              <w:rPr>
                <w:sz w:val="24"/>
                <w:szCs w:val="24"/>
                <w:color w:val="auto"/>
              </w:rPr>
            </w:pPr>
          </w:p>
        </w:tc>
      </w:tr>
      <w:tr>
        <w:trPr>
          <w:trHeight w:val="243"/>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Dennis Dean</w:t>
            </w:r>
          </w:p>
        </w:tc>
        <w:tc>
          <w:tcPr>
            <w:tcW w:w="42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5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Dennis Dean</w:t>
            </w:r>
          </w:p>
        </w:tc>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95"/>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Dr. Aaron Rollins</w:t>
            </w:r>
          </w:p>
        </w:tc>
        <w:tc>
          <w:tcPr>
            <w:tcW w:w="42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Executive Chairman of the Board</w:t>
            </w:r>
          </w:p>
        </w:tc>
        <w:tc>
          <w:tcPr>
            <w:tcW w:w="15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Dr. Aaron Rollins</w:t>
            </w:r>
          </w:p>
        </w:tc>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643"/>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Adam Feinstein</w:t>
            </w:r>
          </w:p>
        </w:tc>
        <w:tc>
          <w:tcPr>
            <w:tcW w:w="42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Adam Feinstein</w:t>
            </w:r>
          </w:p>
        </w:tc>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95"/>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Sollof</w:t>
            </w:r>
          </w:p>
        </w:tc>
        <w:tc>
          <w:tcPr>
            <w:tcW w:w="42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Daniel Sollof</w:t>
            </w:r>
          </w:p>
        </w:tc>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95"/>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Caroline Chu</w:t>
            </w:r>
          </w:p>
        </w:tc>
        <w:tc>
          <w:tcPr>
            <w:tcW w:w="42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Caroline Chu</w:t>
            </w:r>
          </w:p>
        </w:tc>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95"/>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Thomas Aaron</w:t>
            </w:r>
          </w:p>
        </w:tc>
        <w:tc>
          <w:tcPr>
            <w:tcW w:w="42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Thomas Aaron</w:t>
            </w:r>
          </w:p>
        </w:tc>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95"/>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Kenneth Higgins</w:t>
            </w:r>
          </w:p>
        </w:tc>
        <w:tc>
          <w:tcPr>
            <w:tcW w:w="42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Kenneth Higgins</w:t>
            </w:r>
          </w:p>
        </w:tc>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95"/>
        </w:trPr>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Pamela Netzky</w:t>
            </w:r>
          </w:p>
        </w:tc>
        <w:tc>
          <w:tcPr>
            <w:tcW w:w="42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Director</w:t>
            </w:r>
          </w:p>
        </w:tc>
        <w:tc>
          <w:tcPr>
            <w:tcW w:w="15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March 10, 2023</w:t>
            </w:r>
          </w:p>
        </w:tc>
      </w:tr>
      <w:tr>
        <w:trPr>
          <w:trHeight w:val="228"/>
        </w:trPr>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Pamela Netzky</w:t>
            </w:r>
          </w:p>
        </w:tc>
        <w:tc>
          <w:tcPr>
            <w:tcW w:w="422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580"/>
          </w:cols>
          <w:pgMar w:left="320" w:top="513" w:right="99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52"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We have issued our report dated March 10, 2023, with respect to the consolidated financial statements included in the Annual Report of AirSculpt Technologies, Inc. on Form 10-K for the year ended December 31, 2022. We consent to the incorporation by reference of said report in the Registration Statements of AirSculpt Technologies, Inc. on Form S-3 (File No. 333-270069) and on Form S-8 (File No. 333-260609).</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2023</w:t>
      </w:r>
    </w:p>
    <w:p>
      <w:pPr>
        <w:sectPr>
          <w:pgSz w:w="11900" w:h="16838" w:orient="portrait"/>
          <w:cols w:equalWidth="0" w:num="1">
            <w:col w:w="11240"/>
          </w:cols>
          <w:pgMar w:left="320" w:top="954"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4640"/>
        <w:spacing w:after="0" w:line="226"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Todd Magazine, certify that:</w:t>
      </w:r>
    </w:p>
    <w:p>
      <w:pPr>
        <w:spacing w:after="0" w:line="225"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AirSculpt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p>
      <w:pPr>
        <w:spacing w:after="0" w:line="175" w:lineRule="exact"/>
        <w:rPr>
          <w:sz w:val="20"/>
          <w:szCs w:val="20"/>
          <w:color w:val="auto"/>
        </w:rPr>
      </w:pPr>
    </w:p>
    <w:p>
      <w:pPr>
        <w:ind w:left="360"/>
        <w:spacing w:after="0"/>
        <w:tabs>
          <w:tab w:leader="none" w:pos="7360" w:val="left"/>
          <w:tab w:leader="none" w:pos="7940" w:val="left"/>
        </w:tabs>
        <w:rPr>
          <w:sz w:val="20"/>
          <w:szCs w:val="20"/>
          <w:color w:val="auto"/>
        </w:rPr>
      </w:pPr>
      <w:r>
        <w:rPr>
          <w:rFonts w:ascii="Times New Roman" w:cs="Times New Roman" w:eastAsia="Times New Roman" w:hAnsi="Times New Roman"/>
          <w:sz w:val="18"/>
          <w:szCs w:val="18"/>
          <w:color w:val="auto"/>
        </w:rPr>
        <w:t>Date: March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Magazine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17145</wp:posOffset>
            </wp:positionV>
            <wp:extent cx="18345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Todd Magazine</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4640"/>
        <w:spacing w:after="0" w:line="226"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Dennis Dean, certify that: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have reviewed this annual report on Form 10-K of AirSculpt Technologies, Inc.;</w:t>
      </w:r>
    </w:p>
    <w:p>
      <w:pPr>
        <w:spacing w:after="0" w:line="225" w:lineRule="exact"/>
        <w:rPr>
          <w:sz w:val="20"/>
          <w:szCs w:val="20"/>
          <w:color w:val="auto"/>
        </w:rPr>
      </w:pPr>
    </w:p>
    <w:p>
      <w:pPr>
        <w:jc w:val="both"/>
        <w:ind w:left="340" w:hanging="332"/>
        <w:spacing w:after="0" w:line="26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6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65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AirSculpt Technologies, Inc.</w:t>
      </w:r>
    </w:p>
    <w:p>
      <w:pPr>
        <w:spacing w:after="0" w:line="200" w:lineRule="exact"/>
        <w:rPr>
          <w:sz w:val="20"/>
          <w:szCs w:val="20"/>
          <w:color w:val="auto"/>
        </w:rPr>
      </w:pPr>
    </w:p>
    <w:p>
      <w:pPr>
        <w:spacing w:after="0" w:line="205" w:lineRule="exact"/>
        <w:rPr>
          <w:sz w:val="20"/>
          <w:szCs w:val="20"/>
          <w:color w:val="auto"/>
        </w:rPr>
      </w:pPr>
    </w:p>
    <w:p>
      <w:pPr>
        <w:ind w:left="360"/>
        <w:spacing w:after="0"/>
        <w:tabs>
          <w:tab w:leader="none" w:pos="7360" w:val="left"/>
          <w:tab w:leader="none" w:pos="7940" w:val="left"/>
        </w:tabs>
        <w:rPr>
          <w:sz w:val="20"/>
          <w:szCs w:val="20"/>
          <w:color w:val="auto"/>
        </w:rPr>
      </w:pPr>
      <w:r>
        <w:rPr>
          <w:rFonts w:ascii="Times New Roman" w:cs="Times New Roman" w:eastAsia="Times New Roman" w:hAnsi="Times New Roman"/>
          <w:sz w:val="18"/>
          <w:szCs w:val="18"/>
          <w:color w:val="auto"/>
        </w:rPr>
        <w:t>Date: March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17145</wp:posOffset>
            </wp:positionV>
            <wp:extent cx="18345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3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Dennis Dean</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of chapter 63 of title 18 of the United States Code), the undersigned officer of AirSculpt Technologies, Inc. (the “Company”), hereby certifies, to such officer’s knowledge, that:</w:t>
      </w:r>
    </w:p>
    <w:p>
      <w:pPr>
        <w:spacing w:after="0" w:line="17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This annual report on Form 10-K for the fiscal year ended December 31, 2022 (the “Report”) of the Company fully complies with the requirements of section 13(a) or 15(d) of the Securities Exchange Act of 1934, and information contained in the Report fairly presents, in all material respects, the financial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and results of operations of the Company.</w:t>
      </w: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6840" w:val="left"/>
          <w:tab w:leader="none" w:pos="7360" w:val="left"/>
        </w:tabs>
        <w:rPr>
          <w:sz w:val="20"/>
          <w:szCs w:val="20"/>
          <w:color w:val="auto"/>
        </w:rPr>
      </w:pPr>
      <w:r>
        <w:rPr>
          <w:rFonts w:ascii="Times New Roman" w:cs="Times New Roman" w:eastAsia="Times New Roman" w:hAnsi="Times New Roman"/>
          <w:sz w:val="18"/>
          <w:szCs w:val="18"/>
          <w:color w:val="auto"/>
        </w:rPr>
        <w:t>Date: March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Magazine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17145</wp:posOffset>
            </wp:positionV>
            <wp:extent cx="24599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32"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Todd Magazine</w:t>
      </w:r>
    </w:p>
    <w:p>
      <w:pPr>
        <w:spacing w:after="0" w:line="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of chapter 63 of title 18 of the United States Code), the undersigned officer of AirSculpt Technologies, Inc. (the “Company”), hereby certifies, to such officer’s knowledge, that:</w:t>
      </w:r>
    </w:p>
    <w:p>
      <w:pPr>
        <w:spacing w:after="0" w:line="17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This annual report on Form 10-K for the fiscal year ended December 31, 2022 (the “Report”) of the Company fully complies with the requirements of section 13(a) or 15(d) of the Securities Exchange Act of 1934, and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840" w:val="left"/>
          <w:tab w:leader="none" w:pos="7360" w:val="left"/>
        </w:tabs>
        <w:rPr>
          <w:sz w:val="20"/>
          <w:szCs w:val="20"/>
          <w:color w:val="auto"/>
        </w:rPr>
      </w:pPr>
      <w:r>
        <w:rPr>
          <w:rFonts w:ascii="Times New Roman" w:cs="Times New Roman" w:eastAsia="Times New Roman" w:hAnsi="Times New Roman"/>
          <w:sz w:val="18"/>
          <w:szCs w:val="18"/>
          <w:color w:val="auto"/>
        </w:rPr>
        <w:t>Date: March 10, 2023</w:t>
      </w:r>
      <w:r>
        <w:rPr>
          <w:sz w:val="20"/>
          <w:szCs w:val="20"/>
          <w:color w:val="auto"/>
        </w:rPr>
        <w:tab/>
      </w:r>
      <w:r>
        <w:rPr>
          <w:rFonts w:ascii="Times New Roman" w:cs="Times New Roman" w:eastAsia="Times New Roman" w:hAnsi="Times New Roman"/>
          <w:sz w:val="18"/>
          <w:szCs w:val="18"/>
          <w:color w:val="auto"/>
        </w:rPr>
        <w:t>By:</w:t>
        <w:tab/>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17145</wp:posOffset>
            </wp:positionV>
            <wp:extent cx="24599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2"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Dennis Dean</w:t>
      </w:r>
    </w:p>
    <w:p>
      <w:pPr>
        <w:spacing w:after="0" w:line="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lvl w:ilvl="1">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lvl w:ilvl="1">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1)"/>
      <w:numFmt w:val="lowerRoman"/>
      <w:start w:val="2"/>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0">
    <w:nsid w:val="23F9C13C"/>
    <w:multiLevelType w:val="hybridMultilevel"/>
    <w:lvl w:ilvl="0">
      <w:lvlJc w:val="left"/>
      <w:lvlText w:val="(%1)"/>
      <w:numFmt w:val="decimal"/>
      <w:start w:val="1"/>
    </w:lvl>
  </w:abstractNum>
  <w:abstractNum w:abstractNumId="41">
    <w:nsid w:val="649BB77C"/>
    <w:multiLevelType w:val="hybridMultilevel"/>
    <w:lvl w:ilvl="0">
      <w:lvlJc w:val="left"/>
      <w:lvlText w:val="(%1)"/>
      <w:numFmt w:val="decimal"/>
      <w:start w:val="1"/>
    </w:lvl>
  </w:abstractNum>
  <w:abstractNum w:abstractNumId="42">
    <w:nsid w:val="275AC794"/>
    <w:multiLevelType w:val="hybridMultilevel"/>
    <w:lvl w:ilvl="0">
      <w:lvlJc w:val="left"/>
      <w:lvlText w:val="(%1)"/>
      <w:numFmt w:val="decimal"/>
      <w:start w:val="1"/>
    </w:lvl>
  </w:abstractNum>
  <w:abstractNum w:abstractNumId="43">
    <w:nsid w:val="39386575"/>
    <w:multiLevelType w:val="hybridMultilevel"/>
    <w:lvl w:ilvl="0">
      <w:lvlJc w:val="left"/>
      <w:lvlText w:val="%1."/>
      <w:numFmt w:val="lowerRoman"/>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1)"/>
      <w:numFmt w:val="decimal"/>
      <w:start w:val="1"/>
    </w:lvl>
  </w:abstractNum>
  <w:abstractNum w:abstractNumId="56">
    <w:nsid w:val="77AE35EB"/>
    <w:multiLevelType w:val="hybridMultilevel"/>
    <w:lvl w:ilvl="0">
      <w:lvlJc w:val="left"/>
      <w:lvlText w:val="(%1)"/>
      <w:numFmt w:val="decimal"/>
      <w:start w:val="2"/>
    </w:lvl>
  </w:abstractNum>
  <w:abstractNum w:abstractNumId="57">
    <w:nsid w:val="579BE4F1"/>
    <w:multiLevelType w:val="hybridMultilevel"/>
    <w:lvl w:ilvl="0">
      <w:lvlJc w:val="left"/>
      <w:lvlText w:val="(%1)"/>
      <w:numFmt w:val="decimal"/>
      <w:start w:val="3"/>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3"/>
    </w:lvl>
  </w:abstractNum>
  <w:abstractNum w:abstractNumId="66">
    <w:nsid w:val="5DB70AE5"/>
    <w:multiLevelType w:val="hybridMultilevel"/>
    <w:lvl w:ilvl="0">
      <w:lvlJc w:val="left"/>
      <w:lvlText w:val="†"/>
      <w:numFmt w:val="bullet"/>
      <w:start w:val="1"/>
    </w:lvl>
    <w:lvl w:ilvl="1">
      <w:lvlJc w:val="left"/>
      <w:lvlText w:val="%2"/>
      <w:numFmt w:val="decimal"/>
      <w:start w:val="104"/>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40" Type="http://schemas.openxmlformats.org/officeDocument/2006/relationships/hyperlink" Target="https://www.sec.gov/Archives/edgar/data/1870940/000110465921133100/tm2121217d23_ex3-1.htm" TargetMode="External"/><Relationship Id="rId141" Type="http://schemas.openxmlformats.org/officeDocument/2006/relationships/hyperlink" Target="https://www.sec.gov/Archives/edgar/data/1870940/000110465921127861/tm2121217d11_ex3-4.htm" TargetMode="External"/><Relationship Id="rId142" Type="http://schemas.openxmlformats.org/officeDocument/2006/relationships/hyperlink" Target="https://www.sec.gov/Archives/edgar/data/1870940/000110465921130215/tm2121217d14_ex4-1.htm" TargetMode="External"/><Relationship Id="rId143" Type="http://schemas.openxmlformats.org/officeDocument/2006/relationships/hyperlink" Target="https://www.sec.gov/Archives/edgar/data/1870940/000110465921133100/tm2121217d23_ex10-2.htm" TargetMode="External"/><Relationship Id="rId144" Type="http://schemas.openxmlformats.org/officeDocument/2006/relationships/hyperlink" Target="https://www.sec.gov/Archives/edgar/data/1870940/000110465921133100/tm2121217d23_ex10-3.htm" TargetMode="External"/><Relationship Id="rId145" Type="http://schemas.openxmlformats.org/officeDocument/2006/relationships/hyperlink" Target="https://www.sec.gov/Archives/edgar/data/1870940/000187094022000011/exhibit44.htm" TargetMode="External"/><Relationship Id="rId146" Type="http://schemas.openxmlformats.org/officeDocument/2006/relationships/hyperlink" Target="https://www.sec.gov/Archives/edgar/data/1870940/000110465921127861/tm2121217d11_ex10-1.htm" TargetMode="External"/><Relationship Id="rId147" Type="http://schemas.openxmlformats.org/officeDocument/2006/relationships/hyperlink" Target="https://www.sec.gov/Archives/edgar/data/1870940/000187094022000050/exhibit101.htm" TargetMode="External"/><Relationship Id="rId148" Type="http://schemas.openxmlformats.org/officeDocument/2006/relationships/hyperlink" Target="https://www.sec.gov/Archives/edgar/data/1870940/000110465921123187/tm2121217d8_ex10-6.htm" TargetMode="External"/><Relationship Id="rId149" Type="http://schemas.openxmlformats.org/officeDocument/2006/relationships/hyperlink" Target="https://www.sec.gov/Archives/edgar/data/1870940/000110465921123187/tm2121217d8_ex10-7.htm" TargetMode="External"/><Relationship Id="rId150" Type="http://schemas.openxmlformats.org/officeDocument/2006/relationships/hyperlink" Target="https://www.sec.gov/Archives/edgar/data/1870940/000110465921127861/tm2121217d11_ex10-6.htm" TargetMode="External"/><Relationship Id="rId151" Type="http://schemas.openxmlformats.org/officeDocument/2006/relationships/hyperlink" Target="https://www.sec.gov/Archives/edgar/data/1870940/000110465923001736/tm232309d1_ex10-3.htm" TargetMode="External"/><Relationship Id="rId152" Type="http://schemas.openxmlformats.org/officeDocument/2006/relationships/hyperlink" Target="https://www.sec.gov/Archives/edgar/data/1870940/000110465923001736/tm232309d1_ex10-2.htm" TargetMode="External"/><Relationship Id="rId153" Type="http://schemas.openxmlformats.org/officeDocument/2006/relationships/hyperlink" Target="https://www.sec.gov/Archives/edgar/data/1870940/000110465921127861/tm2121217d11_ex10-12.htm" TargetMode="External"/><Relationship Id="rId154" Type="http://schemas.openxmlformats.org/officeDocument/2006/relationships/hyperlink" Target="https://www.sec.gov/Archives/edgar/data/1870940/000110465921127861/tm2121217d11_ex10-7.htm" TargetMode="External"/><Relationship Id="rId157" Type="http://schemas.openxmlformats.org/officeDocument/2006/relationships/hyperlink" Target="https://www.sec.gov/Archives/edgar/data/1870940/000110465921127861/tm2121217d11_ex10-8.htm" TargetMode="External"/><Relationship Id="rId158" Type="http://schemas.openxmlformats.org/officeDocument/2006/relationships/hyperlink" Target="https://www.sec.gov/Archives/edgar/data/1870940/000110465921130215/tm2121217d14_ex10-14.htm" TargetMode="External"/><Relationship Id="rId159" Type="http://schemas.openxmlformats.org/officeDocument/2006/relationships/hyperlink" Target="https://www.sec.gov/Archives/edgar/data/1870940/000110465921130215/tm2121217d14_ex10-15.htm" TargetMode="External"/><Relationship Id="rId160" Type="http://schemas.openxmlformats.org/officeDocument/2006/relationships/hyperlink" Target="https://www.sec.gov/Archives/edgar/data/1870940/000110465921130215/tm2121217d14_ex10-16.htm" TargetMode="External"/><Relationship Id="rId161" Type="http://schemas.openxmlformats.org/officeDocument/2006/relationships/hyperlink" Target="https://www.sec.gov/Archives/edgar/data/1870940/000110465922029649/tm228228d1_ex10-1.htm" TargetMode="External"/><Relationship Id="rId162" Type="http://schemas.openxmlformats.org/officeDocument/2006/relationships/hyperlink" Target="https://www.sec.gov/Archives/edgar/data/1870940/000110465923001736/tm232309d1_ex10-1.htm" TargetMode="External"/><Relationship Id="rId163" Type="http://schemas.openxmlformats.org/officeDocument/2006/relationships/hyperlink" Target="https://www.sec.gov/Archives/edgar/data/1870940/000110465921123187/tm2121217d8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2023-03-10T13:20:30Z</dcterms:created>
  <dcterms:modified xsi:type="dcterms:W3CDTF">2023-03-10T13:20:30Z</dcterms:modified>
</cp:coreProperties>
</file>