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5"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quarterly period ended June 30, 2025</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07" w:lineRule="exact"/>
        <w:rPr>
          <w:sz w:val="24"/>
          <w:szCs w:val="24"/>
          <w:color w:val="auto"/>
        </w:rPr>
      </w:pPr>
    </w:p>
    <w:p>
      <w:pPr>
        <w:ind w:left="3620" w:right="2800" w:hanging="3612"/>
        <w:spacing w:after="0" w:line="396" w:lineRule="auto"/>
        <w:tabs>
          <w:tab w:leader="none" w:pos="19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001-40973</w:t>
      </w:r>
    </w:p>
    <w:p>
      <w:pPr>
        <w:spacing w:after="0" w:line="102"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20"/>
                <w:szCs w:val="20"/>
                <w:b w:val="1"/>
                <w:bCs w:val="1"/>
                <w:color w:val="auto"/>
                <w:w w:val="98"/>
              </w:rPr>
              <w:t>AirSculpt Technologies, Inc.</w:t>
            </w:r>
          </w:p>
        </w:tc>
        <w:tc>
          <w:tcPr>
            <w:tcW w:w="1480" w:type="dxa"/>
            <w:vAlign w:val="bottom"/>
          </w:tcPr>
          <w:p>
            <w:pPr>
              <w:spacing w:after="0"/>
              <w:rPr>
                <w:sz w:val="21"/>
                <w:szCs w:val="21"/>
                <w:color w:val="auto"/>
              </w:rPr>
            </w:pPr>
          </w:p>
        </w:tc>
      </w:tr>
      <w:tr>
        <w:trPr>
          <w:trHeight w:val="210"/>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480" w:type="dxa"/>
            <w:vAlign w:val="bottom"/>
          </w:tcPr>
          <w:p>
            <w:pPr>
              <w:spacing w:after="0"/>
              <w:rPr>
                <w:sz w:val="18"/>
                <w:szCs w:val="18"/>
                <w:color w:val="auto"/>
              </w:rPr>
            </w:pPr>
          </w:p>
        </w:tc>
      </w:tr>
      <w:tr>
        <w:trPr>
          <w:trHeight w:val="351"/>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87-1471855</w:t>
            </w:r>
          </w:p>
        </w:tc>
      </w:tr>
      <w:tr>
        <w:trPr>
          <w:trHeight w:val="235"/>
        </w:trPr>
        <w:tc>
          <w:tcPr>
            <w:tcW w:w="6080" w:type="dxa"/>
            <w:vAlign w:val="bottom"/>
          </w:tcPr>
          <w:p>
            <w:pPr>
              <w:jc w:val="center"/>
              <w:ind w:right="3437"/>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86"/>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w w:val="9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(786) 709-9690</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03"/>
        </w:trPr>
        <w:tc>
          <w:tcPr>
            <w:tcW w:w="15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496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AIRS</w:t>
            </w:r>
          </w:p>
        </w:tc>
        <w:tc>
          <w:tcPr>
            <w:tcW w:w="13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200" w:lineRule="exact"/>
        <w:rPr>
          <w:sz w:val="24"/>
          <w:szCs w:val="24"/>
          <w:color w:val="auto"/>
        </w:rPr>
      </w:pPr>
    </w:p>
    <w:p>
      <w:pPr>
        <w:spacing w:after="0" w:line="251"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1"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140" w:type="dxa"/>
        <w:tblCellMar>
          <w:top w:w="0" w:type="dxa"/>
          <w:left w:w="0" w:type="dxa"/>
          <w:bottom w:w="0" w:type="dxa"/>
          <w:right w:w="0" w:type="dxa"/>
        </w:tblCellMar>
      </w:tblPr>
      <w:tr>
        <w:trPr>
          <w:trHeight w:val="210"/>
        </w:trPr>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rPr>
              <w:t>o</w:t>
            </w:r>
          </w:p>
        </w:tc>
      </w:tr>
      <w:tr>
        <w:trPr>
          <w:trHeight w:val="243"/>
        </w:trPr>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180"/>
              <w:spacing w:after="0"/>
              <w:rPr>
                <w:sz w:val="20"/>
                <w:szCs w:val="20"/>
                <w:color w:val="auto"/>
              </w:rPr>
            </w:pPr>
            <w:r>
              <w:rPr>
                <w:rFonts w:ascii="Wingdings" w:cs="Wingdings" w:eastAsia="Wingdings" w:hAnsi="Wingdings"/>
                <w:sz w:val="16"/>
                <w:szCs w:val="16"/>
                <w:b w:val="1"/>
                <w:bCs w:val="1"/>
                <w:color w:val="auto"/>
              </w:rPr>
              <w:t>x</w:t>
            </w:r>
          </w:p>
        </w:tc>
        <w:tc>
          <w:tcPr>
            <w:tcW w:w="33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3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6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4" w:lineRule="exact"/>
        <w:rPr>
          <w:sz w:val="24"/>
          <w:szCs w:val="24"/>
          <w:color w:val="auto"/>
        </w:rPr>
      </w:pPr>
    </w:p>
    <w:p>
      <w:pPr>
        <w:ind w:right="29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62,436,670 shares of common stock outstanding as of July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100" w:type="dxa"/>
            <w:vAlign w:val="bottom"/>
            <w:gridSpan w:val="9"/>
          </w:tcPr>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tcBorders>
              <w:top w:val="single" w:sz="8" w:color="0000FF"/>
            </w:tcBorders>
            <w:gridSpan w:val="4"/>
          </w:tcPr>
          <w:p>
            <w:pPr>
              <w:spacing w:after="0"/>
              <w:rPr>
                <w:sz w:val="24"/>
                <w:szCs w:val="24"/>
                <w:color w:val="auto"/>
              </w:rPr>
            </w:pPr>
          </w:p>
        </w:tc>
        <w:tc>
          <w:tcPr>
            <w:tcW w:w="20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(Unaudited) and December 31,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2025 and 2024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Other Comprehensive (Loss)/Income for the Three and Six Months Ended June 30, 2025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8"/>
              </w:rPr>
              <w:t>and 2024 (Unaudited)</w:t>
            </w:r>
          </w:p>
        </w:tc>
        <w:tc>
          <w:tcPr>
            <w:tcW w:w="7680" w:type="dxa"/>
            <w:vAlign w:val="bottom"/>
            <w:tcBorders>
              <w:top w:val="single" w:sz="8" w:color="0000FF"/>
            </w:tcBorders>
            <w:gridSpan w:val="11"/>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2025 and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8"/>
              </w:rPr>
              <w:t>2024 (Unaudited)</w:t>
            </w:r>
          </w:p>
        </w:tc>
        <w:tc>
          <w:tcPr>
            <w:tcW w:w="7960" w:type="dxa"/>
            <w:vAlign w:val="bottom"/>
            <w:tcBorders>
              <w:top w:val="single" w:sz="8" w:color="0000FF"/>
            </w:tcBorders>
            <w:gridSpan w:val="13"/>
          </w:tcPr>
          <w:p>
            <w:pPr>
              <w:spacing w:after="0"/>
              <w:rPr>
                <w:sz w:val="15"/>
                <w:szCs w:val="15"/>
                <w:color w:val="auto"/>
              </w:rPr>
            </w:pPr>
          </w:p>
        </w:tc>
        <w:tc>
          <w:tcPr>
            <w:tcW w:w="180" w:type="dxa"/>
            <w:vAlign w:val="bottom"/>
            <w:gridSpan w:val="2"/>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2025 and 2024 (Unaudited)</w:t>
            </w:r>
          </w:p>
        </w:tc>
        <w:tc>
          <w:tcPr>
            <w:tcW w:w="1140" w:type="dxa"/>
            <w:vAlign w:val="bottom"/>
            <w:gridSpan w:val="4"/>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r>
              <w:rPr>
                <w:rFonts w:ascii="Times New Roman" w:cs="Times New Roman" w:eastAsia="Times New Roman" w:hAnsi="Times New Roman"/>
                <w:sz w:val="18"/>
                <w:szCs w:val="18"/>
                <w:color w:val="000000"/>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80" w:type="dxa"/>
            <w:vAlign w:val="bottom"/>
            <w:tcBorders>
              <w:left w:val="single" w:sz="8" w:color="0000FF"/>
            </w:tcBorders>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20"/>
                <w:szCs w:val="20"/>
                <w:color w:val="auto"/>
              </w:rPr>
            </w:pPr>
          </w:p>
        </w:tc>
        <w:tc>
          <w:tcPr>
            <w:tcW w:w="480" w:type="dxa"/>
            <w:vAlign w:val="bottom"/>
            <w:gridSpan w:val="3"/>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80" w:type="dxa"/>
            <w:vAlign w:val="bottom"/>
            <w:tcBorders>
              <w:top w:val="single" w:sz="8" w:color="0000FF"/>
            </w:tcBorders>
            <w:gridSpan w:val="2"/>
          </w:tcPr>
          <w:p>
            <w:pPr>
              <w:spacing w:after="0"/>
              <w:rPr>
                <w:sz w:val="20"/>
                <w:szCs w:val="20"/>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60" w:type="dxa"/>
            <w:vAlign w:val="bottom"/>
            <w:gridSpan w:val="11"/>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80" w:type="dxa"/>
            <w:vAlign w:val="bottom"/>
            <w:gridSpan w:val="3"/>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1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80" w:type="dxa"/>
            <w:vAlign w:val="bottom"/>
            <w:gridSpan w:val="3"/>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6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480" w:type="dxa"/>
            <w:vAlign w:val="bottom"/>
            <w:gridSpan w:val="3"/>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1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480" w:type="dxa"/>
            <w:vAlign w:val="bottom"/>
            <w:gridSpan w:val="3"/>
          </w:tcPr>
          <w:p>
            <w:pPr>
              <w:spacing w:after="0"/>
              <w:rPr>
                <w:sz w:val="20"/>
                <w:szCs w:val="20"/>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statements in the sections titled “Risk Factors,” “Management’s Discussion and Analysis of Financial Condition and Results of Operations,” “Quantitative and Qualitative Disclosures About Market Risk”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including those factors discussed in the section titled “Risk Factors” in our Annual Report on Form 10-K. We qualify all of our forward-looking statements by these cautionary statements.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results could be affected by a variety of other factors, including, but not limited to, inability to sell equity or other securities in the future at a time when we might otherwise wish to effect sales; inability to raise capital on commercially reasonable terms, if at all; the risk that any future financings may dilute our stockholders or restrict our business; failure to stabilize same-center performance; not being able to optimize our marketing investment, go-to-market strategy and sales process; not having the ability to expand our financing options for consumers; being unsuccessful in further product innovations; failure to operate centers in a cost-effective manner; increased operating expenses due to rising inflation; increased competition in the weight loss and obesity solutions market, including as a result of the recent regulatory approval,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natural disasters, war, pandemic, terrorist acts or political unrest.</w:t>
      </w:r>
    </w:p>
    <w:p>
      <w:pPr>
        <w:spacing w:after="0" w:line="20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risk factors discussed in the section titled “Item 1A. Risk Factors” in our Annual Report on Form 10-K could cause our results to differ materially from those anticipated in the forward-looking statements made in this Quarterly Report on Form 10-Q and in other filings we make from time to time with the U.S. Securities and Exchange Commission. There also may be other risks and uncertainties that are currently unknown to us or that we are unable to predict at this time.</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which are inherently subject to change, and we are under no duty and we assume no obligation to update any of the forward-looking statements, or to update the reasons actual results could differ materially from those anticipated in the forward-looking statements, after the date of this Quarterly Report on Form 10-Q to conform our prior statements to actual results or revised expectations, except as required by law. Given these uncertainties, investors should not place undue reliance on these forward-looking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 except for shares)</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37,471</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25,669</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41,592</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0" w:type="dxa"/>
            <w:vAlign w:val="bottom"/>
          </w:tcPr>
          <w:p>
            <w:pPr>
              <w:spacing w:after="0"/>
              <w:rPr>
                <w:sz w:val="1"/>
                <w:szCs w:val="1"/>
                <w:color w:val="auto"/>
              </w:rPr>
            </w:pPr>
          </w:p>
        </w:tc>
      </w:tr>
      <w:tr>
        <w:trPr>
          <w:trHeight w:val="25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198,367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209,996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funds payable</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9)</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shares authorized - 450,000,000; shares issued and outstanding - 62,436,670</w:t>
            </w:r>
          </w:p>
        </w:tc>
        <w:tc>
          <w:tcPr>
            <w:tcW w:w="2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58,369,138, respectively</w:t>
            </w:r>
          </w:p>
        </w:tc>
        <w:tc>
          <w:tcPr>
            <w:tcW w:w="2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107,721</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79,290</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$000s, except for shares and per share figures)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98,624</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 (exclusive of depreciation and amortization)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36,869</w:t>
            </w:r>
          </w:p>
        </w:tc>
        <w:tc>
          <w:tcPr>
            <w:tcW w:w="0" w:type="dxa"/>
            <w:vAlign w:val="bottom"/>
          </w:tcPr>
          <w:p>
            <w:pPr>
              <w:spacing w:after="0"/>
              <w:rPr>
                <w:sz w:val="1"/>
                <w:szCs w:val="1"/>
                <w:color w:val="auto"/>
              </w:rPr>
            </w:pPr>
          </w:p>
        </w:tc>
      </w:tr>
      <w:tr>
        <w:trPr>
          <w:trHeight w:val="27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50,030</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84,186</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92,593</w:t>
            </w:r>
          </w:p>
        </w:tc>
        <w:tc>
          <w:tcPr>
            <w:tcW w:w="0" w:type="dxa"/>
            <w:vAlign w:val="bottom"/>
          </w:tcPr>
          <w:p>
            <w:pPr>
              <w:spacing w:after="0"/>
              <w:rPr>
                <w:sz w:val="1"/>
                <w:szCs w:val="1"/>
                <w:color w:val="auto"/>
              </w:rPr>
            </w:pPr>
          </w:p>
        </w:tc>
      </w:tr>
      <w:tr>
        <w:trPr>
          <w:trHeight w:val="24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Pre-tax net (loss)/income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57"/>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(Loss)/income per share of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59,590,033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57,557,178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59,066,400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57,489,466</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59,590,033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57,557,178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59,066,400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58,066,133</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hanging="652"/>
        <w:spacing w:after="0" w:line="281" w:lineRule="auto"/>
        <w:tabs>
          <w:tab w:leader="none" w:pos="3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Other Comprehensive (Loss)/Income (Unaudited)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(loss)/income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8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21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
                <w:szCs w:val="2"/>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
                <w:szCs w:val="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 except shares and per share figures)</w:t>
            </w: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57,355,676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83,992</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0" w:type="dxa"/>
            <w:vAlign w:val="bottom"/>
          </w:tcPr>
          <w:p>
            <w:pPr>
              <w:spacing w:after="0"/>
              <w:rPr>
                <w:sz w:val="1"/>
                <w:szCs w:val="1"/>
                <w:color w:val="auto"/>
              </w:rPr>
            </w:pPr>
          </w:p>
        </w:tc>
      </w:tr>
      <w:tr>
        <w:trPr>
          <w:trHeight w:val="146"/>
        </w:trPr>
        <w:tc>
          <w:tcPr>
            <w:tcW w:w="364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Payment of taxes withheld through vested equity-based</w:t>
            </w: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98"/>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6,029</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9"/>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57,537,393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97,219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83,503</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4,873</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69"/>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57,574,244</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102,078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85,014</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58,369,138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107,721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(27,802)</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79,290</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146"/>
        </w:trPr>
        <w:tc>
          <w:tcPr>
            <w:tcW w:w="364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Payment of taxes withheld through vested equity-based</w:t>
            </w: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8"/>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58,661,268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77,333</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unit vesting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through public offerings,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3,752,582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14,011</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1,352</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95"/>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62,436,670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123,885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(31,240)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91,157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(loss)/income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amortization of debt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receivable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on term loan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debt modification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public offerings,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taxes withheld through vested 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activity</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115"/>
        </w:trPr>
        <w:tc>
          <w:tcPr>
            <w:tcW w:w="8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information: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AirSculpt Technologies, Inc. (“AirSculpt” or the "Company"), was formed as a Delaware corporation on June 30, 2021. The Company's revenues are concentrated in the specialty, minimally invasive liposuction market. The Company and its consolidated subsidiaries are referred to collectively in these consolidated financial statements as “we,” “our,” and “us.” Solely for convenience, some of the copyrights, trade names and trademarks referred to in these consolidated financial statements are listed without their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and ™ symbols, but we will assert, to the fullest extent under applicable law, our rights to our copyrights, trade names and trademarks.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wholly-owned subsidiaries, is a provider of practice management services to professional associations (“PAs”) located throughout the United States, Canada, and the United Kingdom.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present the financial position and results of operations of the Company, its wholly-owned domestic and international subsidiaries, and its variable interest in the managed PAs in the United States ("Domestic PAs"), which are under the control of the Company and are considered variable interest entities in which the Company is the primary beneficiary.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Interim Financial Statement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accompanying notes have been prepared in accordance with accounting principles generally accepted in the United States of America (“U.S.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variable interest in the Domestic PAs where it has a long-term and unilateral controlling financial interest over their assets and operations. The Company has the ability to direct the activities that most significantly affect the Domestic PAs’ economic performance via the MSAs and related agreements. The Company is a practice management service organization and does not engage in the practice of medicine. These services are provided by licensed professionals at each of the Domestic PAs. Certain key features of the MSAs and related agreements enable the Company to assign the member interests of certain of the Domestic PAs to another member designated by the Company (i.e., “nominee shareholder”) for a nominal value in certain circumstances at the Company’s sole discretion. The MSA does not allow the Company to be involved in, or provide guidance on, the clinical operations of the Domestic PAs. The Company consolidates the Domestic PAs into the financial statements. All of the Company’s revenue is earned from services provided by the Domestic PAs and its wholly-owned foreign subsidiaries in the United Kingdom and Canada. The only assets and liabilities held by the Domestic PAs included in the accompanying consolidated balance sheets are clinical related. The clinical assets and liabilities are not material to the Company as a whole.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Estimates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Concentration of Credit Risk</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when purchased to be cash equivalents. The Company’s revenues are concentrated in the specialty, minimally invasive liposuction market.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cash balances at financial institutions which may at times exceed the amount covered by the Federal Deposit Insurance Corporation. The Company has not experienced any losses in such accounts.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Costs, Net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$0.1 million and $0.1 million for the three months ended June 30, 2025 and 2024, respectively. Total amortization of deferred financing costs was approximately $0.2 million and $0.2 million for the six months ended June 30, 2025 and 2024, respectively. Amortization of loan costs and discounts is included as a component of interest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impairment of long-lived assets in accordance with the provisions of the Financial Accounting Standards Board (“FASB”) Accounting Standards Codification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and Topic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and six months ended June 30, 2025 and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observable inputs that are corroborated by market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(loss)/income for the three and six months ended June 30, 2025 and 2024 by the weighted-average number of shares of common stock outstanding during the same period. Diluted earnings per share of common stock is computed by net (loss)/income for the three and six months ended June 30, 2025 and 2024 by the weighted-average number of shares of common stock adjusted to give effect to potentially dilutive securities.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in the period when the costs are incurred and are included as a component of selling, general and administrative costs. Advertising expenses were approximately $7.3 million and $11.0 million for the three months ended June 30, 2025 and 2024, respectively, and approximately $14.5 million and $19.4 million for the six months ended June 30,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June 30, 2025 or December 31, 2024. The Company is not subject to U.S. federal tax examination prior to 2021, when it was formed.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effective tax rate of approximately 23.8% and 50.6% for the three months ended June 30, 2025 and 2024, respectively, and approximately 13.8% and 5.4% for the six months ended June 30, 2025 and 2024, respectively, inclusive of all applicable U.S. federal and state income taxes.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which includes significant changes to federal tax law and other regulatory provisions that may impact the Company. The Company is currently evaluating the provisions of the new law and the potential effects on its financial position, results of operations, and cash flows. Additional disclosures will be provided in future periods as the impact of the legislation is determined.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establishes new requirements for the categorization and disaggregation of information in the rate reconciliation as well as for disaggregation of income taxes paid. The ASU is effective for annual periods beginning after December 15, 2024 and interim periods beginning after December 15, 2025. The amendments in this ASU may be applied prospectively or retrospectively to all periods presented and early adoption is permitted. The Company is evaluating the impact of this ASU on its consolidated financial statements.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requires public business entities to disclose disaggregated information on certain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notes to the financial statements. The ASU is effective for annual periods beginning after December 15, 2026 and interim periods beginning after December 15, 2027. The amendments in this ASU may be applied prospectively or retrospectively to all periods presented and early adoption is permitted. The Company is evaluating the impact of this ASU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GOODWILL AND INTANGIBLES,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review of goodwill impairment will be performed in October 2025. There were no triggering events during the three and six months ended June 30,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$81.7 million at June 30, 2025 and December 31, 2024.</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June 30, 2025 and December 31, 2024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know-how</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58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7"/>
        </w:trPr>
        <w:tc>
          <w:tcPr>
            <w:tcW w:w="6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58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technology and know-how</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(22,333)</w:t>
            </w:r>
          </w:p>
        </w:tc>
        <w:tc>
          <w:tcPr>
            <w:tcW w:w="1580" w:type="dxa"/>
            <w:vAlign w:val="bottom"/>
          </w:tcPr>
          <w:p>
            <w:pPr>
              <w:spacing w:after="0"/>
              <w:rPr>
                <w:sz w:val="21"/>
                <w:szCs w:val="2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tradenames and trademarks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1580" w:type="dxa"/>
            <w:vAlign w:val="bottom"/>
            <w:shd w:val="clear" w:color="auto" w:fill="CCEEFF"/>
          </w:tcPr>
          <w:p>
            <w:pPr>
              <w:spacing w:after="0"/>
              <w:rPr>
                <w:sz w:val="22"/>
                <w:szCs w:val="22"/>
                <w:color w:val="auto"/>
              </w:rPr>
            </w:pPr>
          </w:p>
        </w:tc>
      </w:tr>
      <w:tr>
        <w:trPr>
          <w:trHeight w:val="257"/>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41,592</w:t>
            </w:r>
          </w:p>
        </w:tc>
        <w:tc>
          <w:tcPr>
            <w:tcW w:w="1580" w:type="dxa"/>
            <w:vAlign w:val="bottom"/>
          </w:tcPr>
          <w:p>
            <w:pPr>
              <w:spacing w:after="0"/>
              <w:rPr>
                <w:sz w:val="22"/>
                <w:szCs w:val="22"/>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will be $4.8 million per year for each of the next five fiscal years.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Aggregate amortization expense on intangible assets was approximately $1.2 million for both of the three months ended June 30, 2025 and 2024 and $2.4 million for both of the six months ended June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property and equipment consists of the following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(18,632)</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$2.1 million and $1.7 million for the three months ended June 30, 2025 and 2024, respectively, and $4.1 million and $3.3 million for the six months ended June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originally maturing November 7, 2027. Pursuant to the Credit Agreement, there is (i) an $85.0 million original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2025, the Company amended the Credit Agreement to modify certain financial covenants made by the Company in the Credit Agreement,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months ending May 31,</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2025 and thereafter (or the last day of each fiscal quarter thereafter upon the satisfaction of certain financial tests described therein); and (iv) new liquidity and financial reporting requirements have been added.</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revising the covenants listed above, the Third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Vesey Street Capital Partners, L.L.C., our private equity sponsor (“Sponsor”). In consideration of the Third Amendment, the Company paid a fee equal to 0.15% of the outstanding loans to consenting Lenders, and a $0.1 million arrangement fee to SVB. On March 12, 2025 in connection with the Third Amendment, the Company, SVB and our Sponsor (through certain affiliated entities) entered into that certain Limited Guarantee by and among Vesey Street Capital Partners Healthcare Fund, L.P., Vesey Street Capital Partners Healthcare Fund-A, L.P., SVB, and the Company (the "Limited Guarantee") pursuant to which our Sponsor agreed to provide a $10.0 million limited guaranty of the Company’s obligations under the Credit Agreement. The Limited Guarantee was callable on June 15, 2025 (or upon the earlier occurrence of certain defaults described therein) if the Company had not prepaid the term loan (excluding regularly scheduled amortization) by $10.0 million as of such date. Under the terms of the Limited Guarantee, if our Sponsor was required to make any payment under the Limited Guarantee (other than as a result of a bankruptcy event), then our Sponsor would be deemed to have purchased shares of common stock of the Company having an aggregate value equal to the amount of such payment. The Company has agreed to issue a subordinated note to our Sponsor if a payment occurred under the Limited Guarantee, to the extent such payment did not result from the issuance of shares of common stock by the Company to our Sponsor. As of June 30, 2025, the interest rate was 7.83%.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13, 2025, the Company made a $10.0 million principal payment on the term loan in accordance with the Third Amendment using proceeds from its underwritten public offering completed on June 11,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borrowings as of June 30, 2025 and December 31, 2024 were as follows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58,777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70,750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(1,044)</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57,738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69,706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(4,250)</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53,188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65,456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 Company had $5.0 million and $0.0 million available on the revolving credit facility.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future maturities of long-term debt as of June 30, 2025 is as follows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893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(excluding the six months ended June 30, 2025)</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51,497</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borrowings under the Credit Agreement are cross collateralized by substantially all assets of the Company and are subject to certain restrictive covenants including quarterly total leverage ratio and fixed charge ratio requirements discussed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The Company is in compliance with all covenants and has no letter of credit outstanding as of June 30, 2025 and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primarily for real estate, including medical office suites and corporate offices. For the three months ended June 30, 2025 and 2024, the Company incurred rent expense of $1.7 million and $1.6 million, respectively, for its medical office suites. For the six months ended June 30, 2025 and 2024, the Company incurred rent expense of $3.5 million and $3.1 million, respectively, related to its medical office suites. The Company’s rent expense related to its medical office suites is classified in cost of services within the Company’s condensed consolidated statements of operations. The Company incurred rent expense of $64,000 and $91,000 for the three months ended June 30, 2025 and 2024, respectively, and $155,000 and $182,000 for the six months ended June 30, 2025 and 2024, respectively, related to the corporate offices which is classified in selling, general and administrative expenses. The Company currently does not have any finance leases.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for the six months ended June 30, 2025 and 2024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4"/>
                <w:szCs w:val="14"/>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893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(excluding the six months ended June 30, 2025)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w:t>
            </w:r>
          </w:p>
        </w:tc>
      </w:tr>
      <w:tr>
        <w:trPr>
          <w:trHeight w:val="25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40,645</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r>
      <w:tr>
        <w:trPr>
          <w:trHeight w:val="256"/>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27,570</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granted 175,782 and 1,064,083 restricted stock units ("RSUs"), respectively, to executive officers and employees under the 2021 Equity Incentive Plan. During the three and six months ended June 30, 2024, the Company granted 104,348 and 515,804 RSUs, respectively. These RSUs are not considered outstanding until vested. These RSUs have a time-based vesting condition. These units will vest 1/3 per year over three years. Vesting and payment of these RSUs are generally subject to continuing service of the employee or non-employee director over the ratable vesting periods beginning one year from the date of grant to three years after the date of grant. The fair values of these RSUs were determined based on the closing price of the Company’s common stock on the trading date immediately prior to the grant date.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granted 0 and 899,919 performance-based stock units ("PSUs"), respectively, which have market-based vesting conditions. In the three and six months ended June 30, 2024, the Company granted 0 and 407,688 PSUs, respectively, which have market-based vesting conditions. The vesting is based on achievement of a total shareholder return relative to a specified peer group (“rTSR”). Based on the rTSR, the awards can settle in shares in a range from 0% to 200%.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fair values of PSUs with a market-based vesting condition were estimated using a Monte Carlo simulation model.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IPO, on November 4, 2021 the Company previously granted PSUs with performance-based vesting conditions to certain employees. The performance-based conditions include PSUs that can vest upon achieving specified stock price performance targets, and the remaining PSUs can vest upon achieving a revenue performance target in any trailing twelve-month period up to December 31, 2024 (the "Revenue Target"). During the three months ended March 31, 2024, the Company reassessed the probability of achieving the Revenue Target and determined such achievement is improbable based on current facts and circumstances. As a result, the Company recorded a $10.4 million cumulative reversal of stock compensation expense related to the unvested PSUs attributable to the Revenue Target in the three months ended March 31,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equity-based compensation expense of $1.4 million and $4.9 million for the three months ended June 30, 2025 and 2024, respectively, and $2.6 million and $(1.9) million for the six months ended June 30, 2025 and 2024, respectively, in selling, general and administrative expenses on the condensed consolidated statements of operations. Forfeitures are recognized as incurred.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paid dividends of approximately $0 for the three and six months ended June 30, 2025, and $14,000 for the three and six months ended June 30,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Underwritten Follow-On Equity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9, 2025, the Company entered into an underwriting agreement (the “Underwriting Agreement”) with Leerink Partners LLC (“Leerink Partners”), to issue and sell 3,160,000 shares (the “Firm Shares”) of the Company’s common stock to Leerink Partners, in an underwritten registered public offering (the “Offering”), at a price of $3.80 per share. Pursuant to the Underwriting Agreement, the Company also granted Leerink Partners a 30-day option to purchase up to an additional 474,000 shares of the Company's common stock (the “Additional Shares,” and together with the Firm Shares, the “Shares”), at the same price per share as the Firm Shares. Leerink Partners exercised in full its option to purchase the Additional Shares on June 10, 2025. Vesey Street Capital Partners, L.L.C., which is affiliated with two directors and is the largest stockholder of the Company, purchased an aggregate of 1,000,000 Shares in the Offering on the same terms and conditions as purchases by the public in the Offering.</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closed on June 11, 2025, and the Company received net proceeds of approximately $13.8 million from the sale of 3,634,000 Shares, which included the 474,000 Additional Shares, after deducting estimated offering expenses.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Offering was pursuant to a prospectus supplement dated June 9, 2025, filed with the SEC in connection with the Company’s shelf registration statement on Form S-3 (File 333-285825), filed with the SEC on March 14, 2025 and declared effective on March 24, 2025 and the related prospectus dated March 14,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Common Offering Program</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March 14, 2025, the Company entered into a sales agreement (the “ATM Agreement”) with Leerink, as sales agent, in connection with an at-the-market offering program under which the Company may offer and sell, from time to time in our sole discretion, shares of our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us under our Registration Statement on Form S-3 (File 333-285825). The Company and Leerink each have the right to suspend or terminate the ATM Agreement in each party’s sole discretion at any time.</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and six months ended June 30, 2025, the Company sold the following quantities of our common stock pursuant to the ATM Agreement for total net proceeds of approximately $251 thousand and $264 thousand: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3/26/2025</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3/27/2025</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48"/>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Q1 Total</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4/1/2025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51,513</w:t>
            </w:r>
          </w:p>
        </w:tc>
      </w:tr>
      <w:tr>
        <w:trPr>
          <w:trHeight w:val="230"/>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4/2/2025</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67,069</w:t>
            </w:r>
          </w:p>
        </w:tc>
      </w:tr>
      <w:tr>
        <w:trPr>
          <w:trHeight w:val="248"/>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Q2 Total</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118,582</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(loss)/income by the weighted-average number of shares of common stock outstanding during the same period. Diluted earnings per share of common stock is computed by dividing net (loss)/income by the weighted-average number of shares of common stock adjusted to give effect to potentially dilutive securities. Where the inclusion of potentially dilutive shares would be antidilutive, diluted loss per share equals basic loss per share.</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(loss)/income per share of common stock is as follows (in 000’s except for shares and per share figures):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59,590,033</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57,557,178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59,066,400</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57,489,466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576,667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59,590,033</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57,557,178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59,066,400</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58,066,133</w:t>
            </w: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(Loss)/income per share of common stock outstanding - basic and</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33000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number of potentially dilutive shares were excluded from the calculation of diluted loss per share because the effect of including such potentially dilutive shares would have been antidilutive.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06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9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1,363,449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1,544,923</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1,363,449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1,341,790</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market-based stock units</w:t>
            </w:r>
          </w:p>
        </w:tc>
        <w:tc>
          <w:tcPr>
            <w:tcW w:w="19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1,702,042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2,680,748</w:t>
            </w:r>
          </w:p>
        </w:tc>
        <w:tc>
          <w:tcPr>
            <w:tcW w:w="80" w:type="dxa"/>
            <w:vAlign w:val="bottom"/>
          </w:tcPr>
          <w:p>
            <w:pPr>
              <w:spacing w:after="0"/>
              <w:rPr>
                <w:sz w:val="20"/>
                <w:szCs w:val="20"/>
                <w:color w:val="auto"/>
              </w:rPr>
            </w:pPr>
          </w:p>
        </w:tc>
        <w:tc>
          <w:tcPr>
            <w:tcW w:w="19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1,702,042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33000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income tax benefit for the three months ended June 30, 2025 and 2024 was $(0.2) million and $(0.6) million, respectively, and the income tax (benefit)/expense for the six months ended June 30, 2025 and 2024 was $(3.3) million and $0.2 million, respectively. The effective tax rate for the three months ended June 30, 2025 and 2024 was 23.8% and 50.6%, respectively. The effective tax rate for the six months ended June 30, 2025 and 2024 was 13.8% and 5.4%, respectively. The main driver of the difference between the effective and statutory rate is non-deductible executive compensation under Section 162(m) of the Internal Revenue Code. There are no uncertain tax positions as of June 30, 2025 or December 31, 2024.</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United States Congress passed budget reconciliation bill H.R. 1 referred to as the One Big Beautiful Bill Act (“OBBBA”). OBBBA contains several changes to corporate taxation including modifications to capitalization of research and development expenses, limitations on deductions for interest expense and accelerated fixed asset depreciation. The Company will evaluate the OBBBA and its future impact on the financial statements and related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Liability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one operating and one reportable segment: direct medical procedure services. This segment is made up of facilities and medical staff that provide the Company’s patented AirSculpt® procedures to patients. The accounting policies of the direct medical procedure services segment are the same as those presented in Note 1 - Organization and Summary of Key Accounting Policies. The Company’s chief operating decision maker (“CODM”) is the Company’s chief executive officer. The CODM reviews financial information presented on a consolidated basis for purposes of making operating decisions, assessing financial performance and allocating resources. The Company’s CODM reviews revenue, gross profit, Adjusted EBITDA and net income/(loss). The CODM uses Adjusted EBITDA as the primary profit metric to evaluate income generated from operations in deciding where to spend additional marketing dollars or allocate additional resources. Gross profit is defined as revenues less cost of service incurred and Adjusted EBITDA as net (loss)/income excluding depreciation and amortization, net interest expense, income tax (benefit)/expense, restructuring and related severance costs, loss/(gain) on disposal of long-lived assets, and equity-based compensation. Segment information is presented below showing revenue, significant expenses and net (loss)/income (the closest GAAP measure to Adjusted EBITDA), in the same manner that the CODM reviews the operating results in assessing performance and allocating resources.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6"/>
        </w:trPr>
        <w:tc>
          <w:tcPr>
            <w:tcW w:w="50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50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2EDF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44,012</w:t>
            </w: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51,004</w:t>
            </w:r>
          </w:p>
        </w:tc>
        <w:tc>
          <w:tcPr>
            <w:tcW w:w="80" w:type="dxa"/>
            <w:vAlign w:val="bottom"/>
            <w:shd w:val="clear" w:color="auto" w:fill="D2EDFE"/>
          </w:tcPr>
          <w:p>
            <w:pPr>
              <w:spacing w:after="0"/>
              <w:rPr>
                <w:sz w:val="19"/>
                <w:szCs w:val="19"/>
                <w:color w:val="auto"/>
              </w:rPr>
            </w:pPr>
          </w:p>
        </w:tc>
        <w:tc>
          <w:tcPr>
            <w:tcW w:w="36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83,383</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98,624</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6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8"/>
                <w:szCs w:val="18"/>
                <w:color w:val="auto"/>
              </w:rPr>
              <w:t xml:space="preserve">Cost of service (exclusive of depreciation and amortization) </w:t>
            </w:r>
            <w:r>
              <w:rPr>
                <w:rFonts w:ascii="Times New Roman" w:cs="Times New Roman" w:eastAsia="Times New Roman" w:hAnsi="Times New Roman"/>
                <w:sz w:val="23"/>
                <w:szCs w:val="23"/>
                <w:color w:val="auto"/>
                <w:vertAlign w:val="superscript"/>
              </w:rPr>
              <w:t>(1)</w:t>
            </w:r>
          </w:p>
        </w:tc>
        <w:tc>
          <w:tcPr>
            <w:tcW w:w="340" w:type="dxa"/>
            <w:vAlign w:val="bottom"/>
            <w:shd w:val="clear" w:color="auto" w:fill="D2EDFE"/>
          </w:tcPr>
          <w:p>
            <w:pPr>
              <w:spacing w:after="0"/>
              <w:rPr>
                <w:sz w:val="23"/>
                <w:szCs w:val="23"/>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17,201</w:t>
            </w:r>
          </w:p>
        </w:tc>
        <w:tc>
          <w:tcPr>
            <w:tcW w:w="100" w:type="dxa"/>
            <w:vAlign w:val="bottom"/>
            <w:shd w:val="clear" w:color="auto" w:fill="D2EDFE"/>
          </w:tcPr>
          <w:p>
            <w:pPr>
              <w:spacing w:after="0"/>
              <w:rPr>
                <w:sz w:val="23"/>
                <w:szCs w:val="23"/>
                <w:color w:val="auto"/>
              </w:rPr>
            </w:pPr>
          </w:p>
        </w:tc>
        <w:tc>
          <w:tcPr>
            <w:tcW w:w="400" w:type="dxa"/>
            <w:vAlign w:val="bottom"/>
            <w:shd w:val="clear" w:color="auto" w:fill="D2EDFE"/>
          </w:tcPr>
          <w:p>
            <w:pPr>
              <w:spacing w:after="0"/>
              <w:rPr>
                <w:sz w:val="23"/>
                <w:szCs w:val="23"/>
                <w:color w:val="auto"/>
              </w:rPr>
            </w:pP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80" w:type="dxa"/>
            <w:vAlign w:val="bottom"/>
            <w:shd w:val="clear" w:color="auto" w:fill="D2EDFE"/>
          </w:tcPr>
          <w:p>
            <w:pPr>
              <w:spacing w:after="0"/>
              <w:rPr>
                <w:sz w:val="23"/>
                <w:szCs w:val="23"/>
                <w:color w:val="auto"/>
              </w:rPr>
            </w:pPr>
          </w:p>
        </w:tc>
        <w:tc>
          <w:tcPr>
            <w:tcW w:w="360" w:type="dxa"/>
            <w:vAlign w:val="bottom"/>
            <w:shd w:val="clear" w:color="auto" w:fill="D2EDFE"/>
          </w:tcPr>
          <w:p>
            <w:pPr>
              <w:spacing w:after="0"/>
              <w:rPr>
                <w:sz w:val="23"/>
                <w:szCs w:val="23"/>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33,151</w:t>
            </w:r>
          </w:p>
        </w:tc>
        <w:tc>
          <w:tcPr>
            <w:tcW w:w="100" w:type="dxa"/>
            <w:vAlign w:val="bottom"/>
            <w:shd w:val="clear" w:color="auto" w:fill="D2EDFE"/>
          </w:tcPr>
          <w:p>
            <w:pPr>
              <w:spacing w:after="0"/>
              <w:rPr>
                <w:sz w:val="23"/>
                <w:szCs w:val="23"/>
                <w:color w:val="auto"/>
              </w:rPr>
            </w:pPr>
          </w:p>
        </w:tc>
        <w:tc>
          <w:tcPr>
            <w:tcW w:w="560" w:type="dxa"/>
            <w:vAlign w:val="bottom"/>
            <w:shd w:val="clear" w:color="auto" w:fill="D2EDFE"/>
          </w:tcPr>
          <w:p>
            <w:pPr>
              <w:spacing w:after="0"/>
              <w:rPr>
                <w:sz w:val="23"/>
                <w:szCs w:val="23"/>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36,869</w:t>
            </w:r>
          </w:p>
        </w:tc>
      </w:tr>
      <w:tr>
        <w:trPr>
          <w:trHeight w:val="26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Cost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r>
      <w:tr>
        <w:trPr>
          <w:trHeight w:val="277"/>
        </w:trPr>
        <w:tc>
          <w:tcPr>
            <w:tcW w:w="506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8"/>
                <w:szCs w:val="18"/>
                <w:color w:val="auto"/>
              </w:rPr>
              <w:t>Facility selling, general, and administrative expense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shd w:val="clear" w:color="auto" w:fill="D2EDFE"/>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80" w:type="dxa"/>
            <w:vAlign w:val="bottom"/>
            <w:shd w:val="clear" w:color="auto" w:fill="D2EDFE"/>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100" w:type="dxa"/>
            <w:vAlign w:val="bottom"/>
            <w:shd w:val="clear" w:color="auto" w:fill="D2EDFE"/>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r>
      <w:tr>
        <w:trPr>
          <w:trHeight w:val="27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Corporate selling, general, and administrative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18,675</w:t>
            </w:r>
          </w:p>
        </w:tc>
      </w:tr>
      <w:tr>
        <w:trPr>
          <w:trHeight w:val="270"/>
        </w:trPr>
        <w:tc>
          <w:tcPr>
            <w:tcW w:w="506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D2EDFE"/>
          </w:tcPr>
          <w:p>
            <w:pPr>
              <w:spacing w:after="0"/>
              <w:rPr>
                <w:sz w:val="23"/>
                <w:szCs w:val="23"/>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D2EDFE"/>
          </w:tcPr>
          <w:p>
            <w:pPr>
              <w:spacing w:after="0"/>
              <w:rPr>
                <w:sz w:val="23"/>
                <w:szCs w:val="23"/>
                <w:color w:val="auto"/>
              </w:rPr>
            </w:pPr>
          </w:p>
        </w:tc>
        <w:tc>
          <w:tcPr>
            <w:tcW w:w="400" w:type="dxa"/>
            <w:vAlign w:val="bottom"/>
            <w:shd w:val="clear" w:color="auto" w:fill="D2EDFE"/>
          </w:tcPr>
          <w:p>
            <w:pPr>
              <w:spacing w:after="0"/>
              <w:rPr>
                <w:sz w:val="23"/>
                <w:szCs w:val="23"/>
                <w:color w:val="auto"/>
              </w:rPr>
            </w:pP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80" w:type="dxa"/>
            <w:vAlign w:val="bottom"/>
            <w:shd w:val="clear" w:color="auto" w:fill="D2EDFE"/>
          </w:tcPr>
          <w:p>
            <w:pPr>
              <w:spacing w:after="0"/>
              <w:rPr>
                <w:sz w:val="23"/>
                <w:szCs w:val="23"/>
                <w:color w:val="auto"/>
              </w:rPr>
            </w:pPr>
          </w:p>
        </w:tc>
        <w:tc>
          <w:tcPr>
            <w:tcW w:w="360" w:type="dxa"/>
            <w:vAlign w:val="bottom"/>
            <w:shd w:val="clear" w:color="auto" w:fill="D2EDFE"/>
          </w:tcPr>
          <w:p>
            <w:pPr>
              <w:spacing w:after="0"/>
              <w:rPr>
                <w:sz w:val="23"/>
                <w:szCs w:val="23"/>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shd w:val="clear" w:color="auto" w:fill="D2EDFE"/>
          </w:tcPr>
          <w:p>
            <w:pPr>
              <w:spacing w:after="0"/>
              <w:rPr>
                <w:sz w:val="23"/>
                <w:szCs w:val="23"/>
                <w:color w:val="auto"/>
              </w:rPr>
            </w:pPr>
          </w:p>
        </w:tc>
        <w:tc>
          <w:tcPr>
            <w:tcW w:w="560" w:type="dxa"/>
            <w:vAlign w:val="bottom"/>
            <w:shd w:val="clear" w:color="auto" w:fill="D2EDFE"/>
          </w:tcPr>
          <w:p>
            <w:pPr>
              <w:spacing w:after="0"/>
              <w:rPr>
                <w:sz w:val="23"/>
                <w:szCs w:val="23"/>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5,690</w:t>
            </w:r>
          </w:p>
        </w:tc>
      </w:tr>
      <w:tr>
        <w:trPr>
          <w:trHeight w:val="263"/>
        </w:trPr>
        <w:tc>
          <w:tcPr>
            <w:tcW w:w="5060" w:type="dxa"/>
            <w:vAlign w:val="bottom"/>
            <w:tcBorders>
              <w:bottom w:val="single" w:sz="8" w:color="D2EDFE"/>
            </w:tcBorders>
          </w:tcPr>
          <w:p>
            <w:pPr>
              <w:ind w:left="18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D2EDFE"/>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D2EDFE"/>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D2EDFE"/>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506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D2EDFE"/>
          </w:tcPr>
          <w:p>
            <w:pPr>
              <w:spacing w:after="0"/>
              <w:rPr>
                <w:sz w:val="22"/>
                <w:szCs w:val="22"/>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43,226</w:t>
            </w:r>
          </w:p>
        </w:tc>
        <w:tc>
          <w:tcPr>
            <w:tcW w:w="100" w:type="dxa"/>
            <w:vAlign w:val="bottom"/>
            <w:shd w:val="clear" w:color="auto" w:fill="D2EDFE"/>
          </w:tcPr>
          <w:p>
            <w:pPr>
              <w:spacing w:after="0"/>
              <w:rPr>
                <w:sz w:val="22"/>
                <w:szCs w:val="22"/>
                <w:color w:val="auto"/>
              </w:rPr>
            </w:pPr>
          </w:p>
        </w:tc>
        <w:tc>
          <w:tcPr>
            <w:tcW w:w="400" w:type="dxa"/>
            <w:vAlign w:val="bottom"/>
            <w:tcBorders>
              <w:bottom w:val="single" w:sz="8" w:color="auto"/>
            </w:tcBorders>
            <w:shd w:val="clear" w:color="auto" w:fill="D2EDFE"/>
          </w:tcPr>
          <w:p>
            <w:pPr>
              <w:spacing w:after="0"/>
              <w:rPr>
                <w:sz w:val="22"/>
                <w:szCs w:val="22"/>
                <w:color w:val="auto"/>
              </w:rPr>
            </w:pPr>
          </w:p>
        </w:tc>
        <w:tc>
          <w:tcPr>
            <w:tcW w:w="10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55,985</w:t>
            </w:r>
          </w:p>
        </w:tc>
        <w:tc>
          <w:tcPr>
            <w:tcW w:w="80" w:type="dxa"/>
            <w:vAlign w:val="bottom"/>
            <w:shd w:val="clear" w:color="auto" w:fill="D2EDFE"/>
          </w:tcPr>
          <w:p>
            <w:pPr>
              <w:spacing w:after="0"/>
              <w:rPr>
                <w:sz w:val="22"/>
                <w:szCs w:val="22"/>
                <w:color w:val="auto"/>
              </w:rPr>
            </w:pPr>
          </w:p>
        </w:tc>
        <w:tc>
          <w:tcPr>
            <w:tcW w:w="360" w:type="dxa"/>
            <w:vAlign w:val="bottom"/>
            <w:tcBorders>
              <w:bottom w:val="single" w:sz="8" w:color="auto"/>
            </w:tcBorders>
            <w:shd w:val="clear" w:color="auto" w:fill="D2EDFE"/>
          </w:tcPr>
          <w:p>
            <w:pPr>
              <w:spacing w:after="0"/>
              <w:rPr>
                <w:sz w:val="22"/>
                <w:szCs w:val="22"/>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84,186</w:t>
            </w:r>
          </w:p>
        </w:tc>
        <w:tc>
          <w:tcPr>
            <w:tcW w:w="100" w:type="dxa"/>
            <w:vAlign w:val="bottom"/>
            <w:shd w:val="clear" w:color="auto" w:fill="D2EDFE"/>
          </w:tcPr>
          <w:p>
            <w:pPr>
              <w:spacing w:after="0"/>
              <w:rPr>
                <w:sz w:val="22"/>
                <w:szCs w:val="22"/>
                <w:color w:val="auto"/>
              </w:rPr>
            </w:pPr>
          </w:p>
        </w:tc>
        <w:tc>
          <w:tcPr>
            <w:tcW w:w="560" w:type="dxa"/>
            <w:vAlign w:val="bottom"/>
            <w:tcBorders>
              <w:bottom w:val="single" w:sz="8" w:color="auto"/>
            </w:tcBorders>
            <w:shd w:val="clear" w:color="auto" w:fill="D2EDFE"/>
          </w:tcPr>
          <w:p>
            <w:pPr>
              <w:spacing w:after="0"/>
              <w:rPr>
                <w:sz w:val="22"/>
                <w:szCs w:val="22"/>
                <w:color w:val="auto"/>
              </w:rPr>
            </w:pPr>
          </w:p>
        </w:tc>
        <w:tc>
          <w:tcPr>
            <w:tcW w:w="9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92,593</w:t>
            </w:r>
          </w:p>
        </w:tc>
      </w:tr>
      <w:tr>
        <w:trPr>
          <w:trHeight w:val="243"/>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r>
      <w:tr>
        <w:trPr>
          <w:trHeight w:val="277"/>
        </w:trPr>
        <w:tc>
          <w:tcPr>
            <w:tcW w:w="506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D2EDFE"/>
          </w:tcPr>
          <w:p>
            <w:pPr>
              <w:spacing w:after="0"/>
              <w:rPr>
                <w:sz w:val="24"/>
                <w:szCs w:val="24"/>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D2EDFE"/>
          </w:tcPr>
          <w:p>
            <w:pPr>
              <w:spacing w:after="0"/>
              <w:rPr>
                <w:sz w:val="24"/>
                <w:szCs w:val="24"/>
                <w:color w:val="auto"/>
              </w:rPr>
            </w:pPr>
          </w:p>
        </w:tc>
        <w:tc>
          <w:tcPr>
            <w:tcW w:w="400" w:type="dxa"/>
            <w:vAlign w:val="bottom"/>
            <w:tcBorders>
              <w:bottom w:val="single" w:sz="8" w:color="auto"/>
            </w:tcBorders>
            <w:shd w:val="clear" w:color="auto" w:fill="D2EDFE"/>
          </w:tcPr>
          <w:p>
            <w:pPr>
              <w:spacing w:after="0"/>
              <w:rPr>
                <w:sz w:val="24"/>
                <w:szCs w:val="24"/>
                <w:color w:val="auto"/>
              </w:rPr>
            </w:pPr>
          </w:p>
        </w:tc>
        <w:tc>
          <w:tcPr>
            <w:tcW w:w="10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shd w:val="clear" w:color="auto" w:fill="D2EDFE"/>
          </w:tcPr>
          <w:p>
            <w:pPr>
              <w:spacing w:after="0"/>
              <w:rPr>
                <w:sz w:val="24"/>
                <w:szCs w:val="24"/>
                <w:color w:val="auto"/>
              </w:rPr>
            </w:pPr>
          </w:p>
        </w:tc>
        <w:tc>
          <w:tcPr>
            <w:tcW w:w="360" w:type="dxa"/>
            <w:vAlign w:val="bottom"/>
            <w:tcBorders>
              <w:bottom w:val="single" w:sz="8" w:color="auto"/>
            </w:tcBorders>
            <w:shd w:val="clear" w:color="auto" w:fill="D2EDFE"/>
          </w:tcPr>
          <w:p>
            <w:pPr>
              <w:spacing w:after="0"/>
              <w:rPr>
                <w:sz w:val="24"/>
                <w:szCs w:val="24"/>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D2EDFE"/>
          </w:tcPr>
          <w:p>
            <w:pPr>
              <w:spacing w:after="0"/>
              <w:rPr>
                <w:sz w:val="24"/>
                <w:szCs w:val="24"/>
                <w:color w:val="auto"/>
              </w:rPr>
            </w:pPr>
          </w:p>
        </w:tc>
        <w:tc>
          <w:tcPr>
            <w:tcW w:w="560" w:type="dxa"/>
            <w:vAlign w:val="bottom"/>
            <w:tcBorders>
              <w:bottom w:val="single" w:sz="8" w:color="auto"/>
            </w:tcBorders>
            <w:shd w:val="clear" w:color="auto" w:fill="D2EDFE"/>
          </w:tcPr>
          <w:p>
            <w:pPr>
              <w:spacing w:after="0"/>
              <w:rPr>
                <w:sz w:val="24"/>
                <w:szCs w:val="24"/>
                <w:color w:val="auto"/>
              </w:rPr>
            </w:pPr>
          </w:p>
        </w:tc>
        <w:tc>
          <w:tcPr>
            <w:tcW w:w="9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3,047</w:t>
            </w:r>
          </w:p>
        </w:tc>
      </w:tr>
      <w:tr>
        <w:trPr>
          <w:trHeight w:val="243"/>
        </w:trPr>
        <w:tc>
          <w:tcPr>
            <w:tcW w:w="5060" w:type="dxa"/>
            <w:vAlign w:val="bottom"/>
            <w:tcBorders>
              <w:bottom w:val="single" w:sz="8" w:color="D2EDFE"/>
            </w:tcBorders>
          </w:tcPr>
          <w:p>
            <w:pPr>
              <w:ind w:left="360"/>
              <w:spacing w:after="0"/>
              <w:rPr>
                <w:sz w:val="20"/>
                <w:szCs w:val="20"/>
                <w:color w:val="auto"/>
              </w:rPr>
            </w:pPr>
            <w:r>
              <w:rPr>
                <w:rFonts w:ascii="Times New Roman" w:cs="Times New Roman" w:eastAsia="Times New Roman" w:hAnsi="Times New Roman"/>
                <w:sz w:val="18"/>
                <w:szCs w:val="18"/>
                <w:color w:val="auto"/>
              </w:rPr>
              <w:t>Pre-tax net (loss)/income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D2EDF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80" w:type="dxa"/>
            <w:vAlign w:val="bottom"/>
            <w:tcBorders>
              <w:bottom w:val="single" w:sz="8" w:color="D2EDF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tcBorders>
              <w:bottom w:val="single" w:sz="8" w:color="D2EDFE"/>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50"/>
        </w:trPr>
        <w:tc>
          <w:tcPr>
            <w:tcW w:w="506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40" w:type="dxa"/>
            <w:vAlign w:val="bottom"/>
            <w:tcBorders>
              <w:bottom w:val="single" w:sz="8" w:color="auto"/>
            </w:tcBorders>
            <w:shd w:val="clear" w:color="auto" w:fill="D2EDFE"/>
          </w:tcPr>
          <w:p>
            <w:pPr>
              <w:spacing w:after="0"/>
              <w:rPr>
                <w:sz w:val="21"/>
                <w:szCs w:val="21"/>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D2EDFE"/>
          </w:tcPr>
          <w:p>
            <w:pPr>
              <w:spacing w:after="0"/>
              <w:rPr>
                <w:sz w:val="21"/>
                <w:szCs w:val="21"/>
                <w:color w:val="auto"/>
              </w:rPr>
            </w:pPr>
          </w:p>
        </w:tc>
        <w:tc>
          <w:tcPr>
            <w:tcW w:w="400" w:type="dxa"/>
            <w:vAlign w:val="bottom"/>
            <w:tcBorders>
              <w:bottom w:val="single" w:sz="8" w:color="auto"/>
            </w:tcBorders>
            <w:shd w:val="clear" w:color="auto" w:fill="D2EDFE"/>
          </w:tcPr>
          <w:p>
            <w:pPr>
              <w:spacing w:after="0"/>
              <w:rPr>
                <w:sz w:val="21"/>
                <w:szCs w:val="21"/>
                <w:color w:val="auto"/>
              </w:rPr>
            </w:pPr>
          </w:p>
        </w:tc>
        <w:tc>
          <w:tcPr>
            <w:tcW w:w="10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80" w:type="dxa"/>
            <w:vAlign w:val="bottom"/>
            <w:shd w:val="clear" w:color="auto" w:fill="D2EDFE"/>
          </w:tcPr>
          <w:p>
            <w:pPr>
              <w:spacing w:after="0"/>
              <w:rPr>
                <w:sz w:val="21"/>
                <w:szCs w:val="21"/>
                <w:color w:val="auto"/>
              </w:rPr>
            </w:pPr>
          </w:p>
        </w:tc>
        <w:tc>
          <w:tcPr>
            <w:tcW w:w="360" w:type="dxa"/>
            <w:vAlign w:val="bottom"/>
            <w:tcBorders>
              <w:bottom w:val="single" w:sz="8" w:color="auto"/>
            </w:tcBorders>
            <w:shd w:val="clear" w:color="auto" w:fill="D2EDFE"/>
          </w:tcPr>
          <w:p>
            <w:pPr>
              <w:spacing w:after="0"/>
              <w:rPr>
                <w:sz w:val="21"/>
                <w:szCs w:val="21"/>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D2EDFE"/>
          </w:tcPr>
          <w:p>
            <w:pPr>
              <w:spacing w:after="0"/>
              <w:rPr>
                <w:sz w:val="21"/>
                <w:szCs w:val="21"/>
                <w:color w:val="auto"/>
              </w:rPr>
            </w:pPr>
          </w:p>
        </w:tc>
        <w:tc>
          <w:tcPr>
            <w:tcW w:w="560" w:type="dxa"/>
            <w:vAlign w:val="bottom"/>
            <w:tcBorders>
              <w:bottom w:val="single" w:sz="8" w:color="auto"/>
            </w:tcBorders>
            <w:shd w:val="clear" w:color="auto" w:fill="D2EDFE"/>
          </w:tcPr>
          <w:p>
            <w:pPr>
              <w:spacing w:after="0"/>
              <w:rPr>
                <w:sz w:val="21"/>
                <w:szCs w:val="21"/>
                <w:color w:val="auto"/>
              </w:rPr>
            </w:pPr>
          </w:p>
        </w:tc>
        <w:tc>
          <w:tcPr>
            <w:tcW w:w="9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57"/>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r>
      <w:tr>
        <w:trPr>
          <w:trHeight w:val="20"/>
        </w:trPr>
        <w:tc>
          <w:tcPr>
            <w:tcW w:w="5060" w:type="dxa"/>
            <w:vAlign w:val="bottom"/>
            <w:tcBorders>
              <w:bottom w:val="single" w:sz="8" w:color="D2EDF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EDFE"/>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EDF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EDFE"/>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8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20" w:type="dxa"/>
            <w:vAlign w:val="bottom"/>
            <w:shd w:val="clear" w:color="auto" w:fill="D2EDFE"/>
          </w:tcPr>
          <w:p>
            <w:pPr>
              <w:spacing w:after="0"/>
              <w:rPr>
                <w:sz w:val="19"/>
                <w:szCs w:val="19"/>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198,367</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210,110</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198,367</w:t>
            </w: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210,110</w:t>
            </w:r>
          </w:p>
        </w:tc>
      </w:tr>
    </w:tbl>
    <w:p>
      <w:pPr>
        <w:spacing w:after="0" w:line="269"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services includes the costs of physicians, nursing, supplies and rent directly related to the performance of procedures at the facility level.</w:t>
      </w:r>
    </w:p>
    <w:p>
      <w:pPr>
        <w:spacing w:after="0" w:line="230" w:lineRule="exact"/>
        <w:rPr>
          <w:rFonts w:ascii="Times New Roman" w:cs="Times New Roman" w:eastAsia="Times New Roman" w:hAnsi="Times New Roman"/>
          <w:sz w:val="14"/>
          <w:szCs w:val="14"/>
          <w:color w:val="auto"/>
        </w:rPr>
      </w:pPr>
    </w:p>
    <w:p>
      <w:pPr>
        <w:ind w:left="660" w:hanging="652"/>
        <w:spacing w:after="0" w:line="281" w:lineRule="auto"/>
        <w:tabs>
          <w:tab w:leader="none" w:pos="37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ACCRUED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accrued and other current liabilities consists of the following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advertising costs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 payable</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8,114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related notes and other financial information appearing in our Annual Report on Form 10-K dated March 14, 2025 filed with the Securities and Exchange Commission (“SEC”) pursuant to Section 13 or 15(d) of the Securities Exchange Act of 1934 (the “Exchange Act”). This discussion and analysis contains forward-looking statements that involve risks, uncertainties and assumptions. Our actual results could differ materially from those anticipated in the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section titled “Cautionary Note Regarding Forward-Looking Statements” in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statements publicly, or to update the reasons actual results could differ materially from those anticipated in these forward-looking statements, even if new information becomes available in the future.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Quarterly Report on Form 10-Q to the “Company,” “AirSculpt,” “we,” “us” and “our” refer to AirSculpt Technologies, Inc. and its consolidated subsidiaries and the professional associations.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AirSculpt is an experienced national provider of body contouring procedures delivering a premium consumer experience. We provide custom body contouring using our proprietary AirSculpt® method that removes unwanted fat and tightens skin in a minimally invasive procedure, producing dramatic results. We deliver our AirSculpt® procedures through a nationwide footprint of 32 centers across 20 states, Canada and the United Kingdom as of August 1,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we performed 3,392 and 6,468 cases, respectively, compared to 3,949 and 7,695 for the three and six months ended June 30, 2024, respectively. For the three and six months ended June 30, 2025, we generated approximately $44.0 million and $83.4 million of revenue, respectively, compared to $51.0 million and $98.6 million for the three and six months ended June 30, 2024, respectively. This represents approximately 14% decline in revenue for the three months ended June 30, 2025 over the same period in the prior year and approximately 15% decline in revenue for the six months ended June 30, 2025 over the same period in the prior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 decline in our revenue, we announced on March 14, 2025 an initiative to stabilize revenue growth through a number of strategic priorities, including:</w:t>
      </w:r>
    </w:p>
    <w:p>
      <w:pPr>
        <w:ind w:left="660" w:right="100" w:hanging="328"/>
        <w:spacing w:after="0" w:line="23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our marketing investment by spending on techniques that have proven successful for us in the past using a returns-based approach and testing new areas such as online video, and other social marketing channels under the direction of our new Chief Digital Officer;</w:t>
      </w:r>
    </w:p>
    <w:p>
      <w:pPr>
        <w:spacing w:after="0" w:line="1" w:lineRule="exact"/>
        <w:rPr>
          <w:rFonts w:ascii="Times New Roman" w:cs="Times New Roman" w:eastAsia="Times New Roman" w:hAnsi="Times New Roman"/>
          <w:sz w:val="18"/>
          <w:szCs w:val="18"/>
          <w:color w:val="auto"/>
        </w:rPr>
      </w:pPr>
    </w:p>
    <w:p>
      <w:pPr>
        <w:ind w:left="660" w:right="80" w:hanging="328"/>
        <w:spacing w:after="0"/>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go-to-market and sales strategies under our new Chief Sales Officer who is dedicated to strengthening our consultative sales model with enhanced training, improving our sales processes, and providing a greater focus on increasing lead generation, consultations, and case conversion;</w:t>
      </w:r>
    </w:p>
    <w:p>
      <w:pPr>
        <w:ind w:left="660" w:right="30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customer experience to ensure we consistently provide premium results, with initiatives that are in development and expected to roll out in the second half of fiscal year 2025 and into fiscal year 2026;</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expanded consumer financing offerings across all of our centers in the first half of fiscal year 2025; and</w:t>
      </w:r>
    </w:p>
    <w:p>
      <w:pPr>
        <w:ind w:left="660" w:right="80" w:hanging="328"/>
        <w:spacing w:after="0" w:line="288"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focusing on new product innovation and introducing new services to expand our customer reach, leverage existing infrastructure and surgical expertise, and generate incremental revenues, including by expanding our pilot program of our skin tightening procedure as a standalone offering.</w:t>
      </w:r>
    </w:p>
    <w:p>
      <w:pPr>
        <w:spacing w:after="0" w:line="3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have also implemented a cost reduction program that is estimated to eliminate approximately $3.0 million in annual overhead costs and contracted expenses, and have paused de novo center and new procedure room openings.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Cases Performed and Revenue per Case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Case and Revenue Metrics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6"/>
        </w:trPr>
        <w:tc>
          <w:tcPr>
            <w:tcW w:w="49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ind w:right="36"/>
              <w:spacing w:after="0"/>
              <w:rPr>
                <w:sz w:val="20"/>
                <w:szCs w:val="20"/>
                <w:color w:val="auto"/>
              </w:rPr>
            </w:pPr>
            <w:r>
              <w:rPr>
                <w:rFonts w:ascii="Times New Roman" w:cs="Times New Roman" w:eastAsia="Times New Roman" w:hAnsi="Times New Roman"/>
                <w:sz w:val="18"/>
                <w:szCs w:val="18"/>
                <w:color w:val="auto"/>
              </w:rPr>
              <w:t>6,468</w:t>
            </w:r>
          </w:p>
        </w:tc>
        <w:tc>
          <w:tcPr>
            <w:tcW w:w="100" w:type="dxa"/>
            <w:vAlign w:val="bottom"/>
            <w:shd w:val="clear" w:color="auto" w:fill="D2EDFE"/>
          </w:tcPr>
          <w:p>
            <w:pPr>
              <w:spacing w:after="0"/>
              <w:rPr>
                <w:sz w:val="19"/>
                <w:szCs w:val="19"/>
                <w:color w:val="auto"/>
              </w:rPr>
            </w:pPr>
          </w:p>
        </w:tc>
        <w:tc>
          <w:tcPr>
            <w:tcW w:w="520" w:type="dxa"/>
            <w:vAlign w:val="bottom"/>
            <w:shd w:val="clear" w:color="auto" w:fill="D2EDFE"/>
          </w:tcPr>
          <w:p>
            <w:pPr>
              <w:spacing w:after="0"/>
              <w:rPr>
                <w:sz w:val="19"/>
                <w:szCs w:val="19"/>
                <w:color w:val="auto"/>
              </w:rPr>
            </w:pPr>
          </w:p>
        </w:tc>
        <w:tc>
          <w:tcPr>
            <w:tcW w:w="92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8"/>
                <w:szCs w:val="18"/>
                <w:color w:val="auto"/>
              </w:rPr>
              <w:t>7,695</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12,975</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2EDFE"/>
          </w:tcPr>
          <w:p>
            <w:pPr>
              <w:jc w:val="right"/>
              <w:ind w:right="36"/>
              <w:spacing w:after="0"/>
              <w:rPr>
                <w:sz w:val="20"/>
                <w:szCs w:val="20"/>
                <w:color w:val="auto"/>
              </w:rPr>
            </w:pPr>
            <w:r>
              <w:rPr>
                <w:rFonts w:ascii="Times New Roman" w:cs="Times New Roman" w:eastAsia="Times New Roman" w:hAnsi="Times New Roman"/>
                <w:sz w:val="18"/>
                <w:szCs w:val="18"/>
                <w:color w:val="auto"/>
              </w:rPr>
              <w:t>12,892</w:t>
            </w:r>
          </w:p>
        </w:tc>
        <w:tc>
          <w:tcPr>
            <w:tcW w:w="100" w:type="dxa"/>
            <w:vAlign w:val="bottom"/>
            <w:shd w:val="clear" w:color="auto" w:fill="D2EDFE"/>
          </w:tcPr>
          <w:p>
            <w:pPr>
              <w:spacing w:after="0"/>
              <w:rPr>
                <w:sz w:val="19"/>
                <w:szCs w:val="19"/>
                <w:color w:val="auto"/>
              </w:rPr>
            </w:pPr>
          </w:p>
        </w:tc>
        <w:tc>
          <w:tcPr>
            <w:tcW w:w="520" w:type="dxa"/>
            <w:vAlign w:val="bottom"/>
            <w:shd w:val="clear" w:color="auto" w:fill="D2EDF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8"/>
                <w:szCs w:val="18"/>
                <w:color w:val="auto"/>
              </w:rPr>
              <w:t>12,817</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D2EDFE"/>
          </w:tcPr>
          <w:p>
            <w:pPr>
              <w:spacing w:after="0"/>
              <w:rPr>
                <w:sz w:val="19"/>
                <w:szCs w:val="19"/>
                <w:color w:val="auto"/>
              </w:rPr>
            </w:pPr>
          </w:p>
        </w:tc>
        <w:tc>
          <w:tcPr>
            <w:tcW w:w="52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 Case and Revenue Metrics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Same-Center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and 2024, we define same-center case and revenue growth as the growth in each of our cases and revenue at facilities that were owned and operated during the three months ended June 30, 2025 and 2024, respectively. At facilities that were not owned or operated for the entirety of the prior year period, the current year period has been pro-rated to reflect only growth experienced during the portion of the three months ended June 30, 2025 in which such facilities were owned and operated during the three months ended June 30, 2024. We define same-center facilities and procedure rooms based on if a facility was owned or operated as of June 30,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and 2024, we define same-center case and revenue growth as the growth in each of our cases and revenue at facilities that were owned and operated during the six months ended June 30, 2025 and 2024, respectively. At facilities that were not owned or operated for the entirety of the prior year period, the current year period has been pro-rated to reflect only growth experienced during the portion of the six months ended June 30, 2025 in which such facilities were owned and operated during the six months ended June 30, 2024. We define same-center facilities and procedure rooms based on if a facility was owned or operated as of June 30,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r>
      <w:tr>
        <w:trPr>
          <w:trHeight w:val="195"/>
        </w:trPr>
        <w:tc>
          <w:tcPr>
            <w:tcW w:w="4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4880" w:type="dxa"/>
            <w:vAlign w:val="bottom"/>
            <w:tcBorders>
              <w:bottom w:val="single" w:sz="8" w:color="D2EDF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D2EDFE"/>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2EDF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3,079</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7,695</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12,911</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12,846</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12,817</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D2EDFE"/>
          </w:tcPr>
          <w:p>
            <w:pPr>
              <w:spacing w:after="0"/>
              <w:rPr>
                <w:sz w:val="19"/>
                <w:szCs w:val="19"/>
                <w:color w:val="auto"/>
              </w:rPr>
            </w:pPr>
          </w:p>
        </w:tc>
        <w:tc>
          <w:tcPr>
            <w:tcW w:w="500" w:type="dxa"/>
            <w:vAlign w:val="bottom"/>
            <w:shd w:val="clear" w:color="auto" w:fill="D2EDFE"/>
          </w:tcPr>
          <w:p>
            <w:pPr>
              <w:spacing w:after="0"/>
              <w:rPr>
                <w:sz w:val="19"/>
                <w:szCs w:val="19"/>
                <w:color w:val="auto"/>
              </w:rPr>
            </w:pPr>
          </w:p>
        </w:tc>
        <w:tc>
          <w:tcPr>
            <w:tcW w:w="9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same-center case decline is primarily attributed to weaker than expected performance across the broader aesthetics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Measures—Adjusted EBITDA, Adjusted EBITDA Margin, Adjusted Net Income, and Adjusted Net Income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spacing w:after="0" w:line="95"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We define Adjusted EBITDA as net (loss)/income excluding depreciation and amortization, net interest expense, income tax (benefit)/expense, restructuring and related severance costs, loss/(gain) on disposal of long-lived assets, and equity-based compensation.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Net Income as net (loss)/income excluding restructuring and related severance costs, loss/(gain) on disposal of long-lived assets, equity-based compensation and the tax effect of these adjustments.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Income has limitations as an analytical tool because it does not include results from equity-based compensation.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and Adjusted EBITDA Margin to net (loss)/income, the most directly comparable GAAP financial measure: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96"/>
        </w:trPr>
        <w:tc>
          <w:tcPr>
            <w:tcW w:w="4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196"/>
        </w:trPr>
        <w:tc>
          <w:tcPr>
            <w:tcW w:w="468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D2EDFE"/>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6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D2EDFE"/>
          </w:tcPr>
          <w:p>
            <w:pPr>
              <w:jc w:val="right"/>
              <w:ind w:right="115"/>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D2EDFE"/>
          </w:tcPr>
          <w:p>
            <w:pPr>
              <w:jc w:val="right"/>
              <w:ind w:right="112"/>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2,823</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680" w:type="dxa"/>
            <w:vAlign w:val="bottom"/>
            <w:shd w:val="clear" w:color="auto" w:fill="D2EDFE"/>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(1)</w:t>
            </w:r>
          </w:p>
        </w:tc>
        <w:tc>
          <w:tcPr>
            <w:tcW w:w="380" w:type="dxa"/>
            <w:vAlign w:val="bottom"/>
            <w:shd w:val="clear" w:color="auto" w:fill="D2EDFE"/>
          </w:tcPr>
          <w:p>
            <w:pPr>
              <w:spacing w:after="0"/>
              <w:rPr>
                <w:sz w:val="19"/>
                <w:szCs w:val="19"/>
                <w:color w:val="auto"/>
              </w:rPr>
            </w:pPr>
          </w:p>
        </w:tc>
        <w:tc>
          <w:tcPr>
            <w:tcW w:w="118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12"/>
              <w:spacing w:after="0"/>
              <w:rPr>
                <w:sz w:val="20"/>
                <w:szCs w:val="20"/>
                <w:color w:val="auto"/>
              </w:rPr>
            </w:pPr>
            <w:r>
              <w:rPr>
                <w:rFonts w:ascii="Times New Roman" w:cs="Times New Roman" w:eastAsia="Times New Roman" w:hAnsi="Times New Roman"/>
                <w:sz w:val="18"/>
                <w:szCs w:val="18"/>
                <w:color w:val="auto"/>
              </w:rPr>
              <w:t>(1,908)</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4,388</w:t>
            </w:r>
          </w:p>
        </w:tc>
      </w:tr>
      <w:tr>
        <w:trPr>
          <w:trHeight w:val="229"/>
        </w:trPr>
        <w:tc>
          <w:tcPr>
            <w:tcW w:w="46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D2EDFE"/>
          </w:tcPr>
          <w:p>
            <w:pPr>
              <w:spacing w:after="0"/>
              <w:rPr>
                <w:sz w:val="19"/>
                <w:szCs w:val="19"/>
                <w:color w:val="auto"/>
              </w:rPr>
            </w:pPr>
          </w:p>
        </w:tc>
        <w:tc>
          <w:tcPr>
            <w:tcW w:w="118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5,690</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6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D2EDFE"/>
          </w:tcPr>
          <w:p>
            <w:pPr>
              <w:spacing w:after="0"/>
              <w:rPr>
                <w:sz w:val="19"/>
                <w:szCs w:val="19"/>
                <w:color w:val="auto"/>
              </w:rPr>
            </w:pPr>
          </w:p>
        </w:tc>
        <w:tc>
          <w:tcPr>
            <w:tcW w:w="118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94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9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3,047</w:t>
            </w:r>
          </w:p>
        </w:tc>
      </w:tr>
      <w:tr>
        <w:trPr>
          <w:trHeight w:val="230"/>
        </w:trPr>
        <w:tc>
          <w:tcPr>
            <w:tcW w:w="468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D2EDFE"/>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tcBorders>
              <w:bottom w:val="single" w:sz="8" w:color="D2EDF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D2EDFE"/>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46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D2EDFE"/>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5,835</w:t>
            </w:r>
          </w:p>
        </w:tc>
        <w:tc>
          <w:tcPr>
            <w:tcW w:w="100" w:type="dxa"/>
            <w:vAlign w:val="bottom"/>
            <w:shd w:val="clear" w:color="auto" w:fill="D2EDFE"/>
          </w:tcPr>
          <w:p>
            <w:pPr>
              <w:spacing w:after="0"/>
              <w:rPr>
                <w:sz w:val="19"/>
                <w:szCs w:val="19"/>
                <w:color w:val="auto"/>
              </w:rPr>
            </w:pPr>
          </w:p>
        </w:tc>
        <w:tc>
          <w:tcPr>
            <w:tcW w:w="620" w:type="dxa"/>
            <w:vAlign w:val="bottom"/>
            <w:tcBorders>
              <w:bottom w:val="single" w:sz="8" w:color="auto"/>
            </w:tcBorders>
            <w:shd w:val="clear" w:color="auto" w:fill="D2EDFE"/>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6,868</w:t>
            </w:r>
          </w:p>
        </w:tc>
        <w:tc>
          <w:tcPr>
            <w:tcW w:w="100" w:type="dxa"/>
            <w:vAlign w:val="bottom"/>
            <w:shd w:val="clear" w:color="auto" w:fill="D2EDFE"/>
          </w:tcPr>
          <w:p>
            <w:pPr>
              <w:spacing w:after="0"/>
              <w:rPr>
                <w:sz w:val="19"/>
                <w:szCs w:val="19"/>
                <w:color w:val="auto"/>
              </w:rPr>
            </w:pPr>
          </w:p>
        </w:tc>
        <w:tc>
          <w:tcPr>
            <w:tcW w:w="380" w:type="dxa"/>
            <w:vAlign w:val="bottom"/>
            <w:tcBorders>
              <w:bottom w:val="single" w:sz="8" w:color="auto"/>
            </w:tcBorders>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9,590</w:t>
            </w:r>
          </w:p>
        </w:tc>
        <w:tc>
          <w:tcPr>
            <w:tcW w:w="200" w:type="dxa"/>
            <w:vAlign w:val="bottom"/>
            <w:tcBorders>
              <w:bottom w:val="single" w:sz="8" w:color="auto"/>
            </w:tcBorders>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580" w:type="dxa"/>
            <w:vAlign w:val="bottom"/>
            <w:tcBorders>
              <w:bottom w:val="single" w:sz="8" w:color="auto"/>
            </w:tcBorders>
            <w:shd w:val="clear" w:color="auto" w:fill="D2EDFE"/>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14,205</w:t>
            </w:r>
          </w:p>
        </w:tc>
      </w:tr>
      <w:tr>
        <w:trPr>
          <w:trHeight w:val="232"/>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14.4 %</w:t>
            </w:r>
          </w:p>
        </w:tc>
      </w:tr>
    </w:tbl>
    <w:p>
      <w:pPr>
        <w:spacing w:after="0" w:line="200" w:lineRule="exact"/>
        <w:rPr>
          <w:sz w:val="20"/>
          <w:szCs w:val="20"/>
          <w:color w:val="auto"/>
        </w:rPr>
      </w:pPr>
    </w:p>
    <w:p>
      <w:pPr>
        <w:spacing w:after="0" w:line="335" w:lineRule="exact"/>
        <w:rPr>
          <w:sz w:val="20"/>
          <w:szCs w:val="20"/>
          <w:color w:val="auto"/>
        </w:rPr>
      </w:pPr>
    </w:p>
    <w:p>
      <w:pPr>
        <w:ind w:left="680" w:right="660" w:hanging="654"/>
        <w:spacing w:after="0" w:line="281" w:lineRule="auto"/>
        <w:tabs>
          <w:tab w:leader="none" w:pos="35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reconciles Adjusted Net Income and Adjusted Net Income per Share to net (loss)/income, the most directly comparable GAAP financial measure: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4"/>
        </w:trPr>
        <w:tc>
          <w:tcPr>
            <w:tcW w:w="5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0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2EDFE"/>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6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2,823</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060" w:type="dxa"/>
            <w:vAlign w:val="bottom"/>
            <w:shd w:val="clear" w:color="auto" w:fill="D2EDFE"/>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(1)</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29"/>
        </w:trPr>
        <w:tc>
          <w:tcPr>
            <w:tcW w:w="50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D2EDFE"/>
          </w:tcPr>
          <w:p>
            <w:pPr>
              <w:spacing w:after="0"/>
              <w:rPr>
                <w:sz w:val="19"/>
                <w:szCs w:val="19"/>
                <w:color w:val="auto"/>
              </w:rPr>
            </w:pPr>
          </w:p>
        </w:tc>
        <w:tc>
          <w:tcPr>
            <w:tcW w:w="5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06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D2EDF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D2EDFE"/>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23"/>
        </w:trPr>
        <w:tc>
          <w:tcPr>
            <w:tcW w:w="5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60" w:type="dxa"/>
            <w:vAlign w:val="bottom"/>
            <w:tcBorders>
              <w:bottom w:val="single" w:sz="8" w:color="auto"/>
            </w:tcBorders>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1,187</w:t>
            </w:r>
          </w:p>
        </w:tc>
        <w:tc>
          <w:tcPr>
            <w:tcW w:w="100" w:type="dxa"/>
            <w:vAlign w:val="bottom"/>
            <w:shd w:val="clear" w:color="auto" w:fill="D2EDFE"/>
          </w:tcPr>
          <w:p>
            <w:pPr>
              <w:spacing w:after="0"/>
              <w:rPr>
                <w:sz w:val="19"/>
                <w:szCs w:val="19"/>
                <w:color w:val="auto"/>
              </w:rPr>
            </w:pPr>
          </w:p>
        </w:tc>
        <w:tc>
          <w:tcPr>
            <w:tcW w:w="400" w:type="dxa"/>
            <w:vAlign w:val="bottom"/>
            <w:tcBorders>
              <w:bottom w:val="single" w:sz="8" w:color="auto"/>
            </w:tcBorders>
            <w:shd w:val="clear" w:color="auto" w:fill="D2EDFE"/>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5,140</w:t>
            </w:r>
          </w:p>
        </w:tc>
        <w:tc>
          <w:tcPr>
            <w:tcW w:w="100" w:type="dxa"/>
            <w:vAlign w:val="bottom"/>
            <w:shd w:val="clear" w:color="auto" w:fill="D2EDFE"/>
          </w:tcPr>
          <w:p>
            <w:pPr>
              <w:spacing w:after="0"/>
              <w:rPr>
                <w:sz w:val="19"/>
                <w:szCs w:val="19"/>
                <w:color w:val="auto"/>
              </w:rPr>
            </w:pP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shd w:val="clear" w:color="auto" w:fill="D2EDFE"/>
          </w:tcPr>
          <w:p>
            <w:pPr>
              <w:spacing w:after="0"/>
              <w:rPr>
                <w:sz w:val="19"/>
                <w:szCs w:val="19"/>
                <w:color w:val="auto"/>
              </w:rPr>
            </w:pPr>
          </w:p>
        </w:tc>
        <w:tc>
          <w:tcPr>
            <w:tcW w:w="540" w:type="dxa"/>
            <w:vAlign w:val="bottom"/>
            <w:tcBorders>
              <w:bottom w:val="single" w:sz="8" w:color="auto"/>
            </w:tcBorders>
            <w:shd w:val="clear" w:color="auto" w:fill="D2EDFE"/>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7,020</w:t>
            </w:r>
          </w:p>
        </w:tc>
      </w:tr>
      <w:tr>
        <w:trPr>
          <w:trHeight w:val="250"/>
        </w:trPr>
        <w:tc>
          <w:tcPr>
            <w:tcW w:w="5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income per share of common stock </w:t>
            </w:r>
            <w:r>
              <w:rPr>
                <w:rFonts w:ascii="Times New Roman" w:cs="Times New Roman" w:eastAsia="Times New Roman" w:hAnsi="Times New Roman"/>
                <w:sz w:val="23"/>
                <w:szCs w:val="23"/>
                <w:color w:val="auto"/>
                <w:vertAlign w:val="superscript"/>
              </w:rPr>
              <w:t>(2)</w:t>
            </w:r>
          </w:p>
        </w:tc>
        <w:tc>
          <w:tcPr>
            <w:tcW w:w="360" w:type="dxa"/>
            <w:vAlign w:val="bottom"/>
            <w:shd w:val="clear" w:color="auto" w:fill="D2EDFE"/>
          </w:tcPr>
          <w:p>
            <w:pPr>
              <w:spacing w:after="0"/>
              <w:rPr>
                <w:sz w:val="23"/>
                <w:szCs w:val="23"/>
                <w:color w:val="auto"/>
              </w:rPr>
            </w:pPr>
          </w:p>
        </w:tc>
        <w:tc>
          <w:tcPr>
            <w:tcW w:w="1120" w:type="dxa"/>
            <w:vAlign w:val="bottom"/>
            <w:shd w:val="clear" w:color="auto" w:fill="D2EDFE"/>
          </w:tcPr>
          <w:p>
            <w:pPr>
              <w:spacing w:after="0"/>
              <w:rPr>
                <w:sz w:val="23"/>
                <w:szCs w:val="23"/>
                <w:color w:val="auto"/>
              </w:rPr>
            </w:pPr>
          </w:p>
        </w:tc>
        <w:tc>
          <w:tcPr>
            <w:tcW w:w="100" w:type="dxa"/>
            <w:vAlign w:val="bottom"/>
            <w:shd w:val="clear" w:color="auto" w:fill="D2EDFE"/>
          </w:tcPr>
          <w:p>
            <w:pPr>
              <w:spacing w:after="0"/>
              <w:rPr>
                <w:sz w:val="23"/>
                <w:szCs w:val="23"/>
                <w:color w:val="auto"/>
              </w:rPr>
            </w:pPr>
          </w:p>
        </w:tc>
        <w:tc>
          <w:tcPr>
            <w:tcW w:w="400" w:type="dxa"/>
            <w:vAlign w:val="bottom"/>
            <w:shd w:val="clear" w:color="auto" w:fill="D2EDFE"/>
          </w:tcPr>
          <w:p>
            <w:pPr>
              <w:spacing w:after="0"/>
              <w:rPr>
                <w:sz w:val="23"/>
                <w:szCs w:val="23"/>
                <w:color w:val="auto"/>
              </w:rPr>
            </w:pPr>
          </w:p>
        </w:tc>
        <w:tc>
          <w:tcPr>
            <w:tcW w:w="1080" w:type="dxa"/>
            <w:vAlign w:val="bottom"/>
            <w:shd w:val="clear" w:color="auto" w:fill="D2EDFE"/>
          </w:tcPr>
          <w:p>
            <w:pPr>
              <w:spacing w:after="0"/>
              <w:rPr>
                <w:sz w:val="23"/>
                <w:szCs w:val="23"/>
                <w:color w:val="auto"/>
              </w:rPr>
            </w:pPr>
          </w:p>
        </w:tc>
        <w:tc>
          <w:tcPr>
            <w:tcW w:w="100" w:type="dxa"/>
            <w:vAlign w:val="bottom"/>
            <w:shd w:val="clear" w:color="auto" w:fill="D2EDFE"/>
          </w:tcPr>
          <w:p>
            <w:pPr>
              <w:spacing w:after="0"/>
              <w:rPr>
                <w:sz w:val="23"/>
                <w:szCs w:val="23"/>
                <w:color w:val="auto"/>
              </w:rPr>
            </w:pPr>
          </w:p>
        </w:tc>
        <w:tc>
          <w:tcPr>
            <w:tcW w:w="340" w:type="dxa"/>
            <w:vAlign w:val="bottom"/>
            <w:shd w:val="clear" w:color="auto" w:fill="D2EDFE"/>
          </w:tcPr>
          <w:p>
            <w:pPr>
              <w:spacing w:after="0"/>
              <w:rPr>
                <w:sz w:val="23"/>
                <w:szCs w:val="23"/>
                <w:color w:val="auto"/>
              </w:rPr>
            </w:pPr>
          </w:p>
        </w:tc>
        <w:tc>
          <w:tcPr>
            <w:tcW w:w="1120" w:type="dxa"/>
            <w:vAlign w:val="bottom"/>
            <w:shd w:val="clear" w:color="auto" w:fill="D2EDFE"/>
          </w:tcPr>
          <w:p>
            <w:pPr>
              <w:spacing w:after="0"/>
              <w:rPr>
                <w:sz w:val="23"/>
                <w:szCs w:val="23"/>
                <w:color w:val="auto"/>
              </w:rPr>
            </w:pPr>
          </w:p>
        </w:tc>
        <w:tc>
          <w:tcPr>
            <w:tcW w:w="100" w:type="dxa"/>
            <w:vAlign w:val="bottom"/>
            <w:shd w:val="clear" w:color="auto" w:fill="D2EDFE"/>
          </w:tcPr>
          <w:p>
            <w:pPr>
              <w:spacing w:after="0"/>
              <w:rPr>
                <w:sz w:val="23"/>
                <w:szCs w:val="23"/>
                <w:color w:val="auto"/>
              </w:rPr>
            </w:pPr>
          </w:p>
        </w:tc>
        <w:tc>
          <w:tcPr>
            <w:tcW w:w="540" w:type="dxa"/>
            <w:vAlign w:val="bottom"/>
            <w:shd w:val="clear" w:color="auto" w:fill="D2EDFE"/>
          </w:tcPr>
          <w:p>
            <w:pPr>
              <w:spacing w:after="0"/>
              <w:rPr>
                <w:sz w:val="23"/>
                <w:szCs w:val="23"/>
                <w:color w:val="auto"/>
              </w:rPr>
            </w:pPr>
          </w:p>
        </w:tc>
        <w:tc>
          <w:tcPr>
            <w:tcW w:w="920" w:type="dxa"/>
            <w:vAlign w:val="bottom"/>
            <w:shd w:val="clear" w:color="auto" w:fill="D2EDFE"/>
          </w:tcPr>
          <w:p>
            <w:pPr>
              <w:spacing w:after="0"/>
              <w:rPr>
                <w:sz w:val="23"/>
                <w:szCs w:val="23"/>
                <w:color w:val="auto"/>
              </w:rPr>
            </w:pPr>
          </w:p>
        </w:tc>
      </w:tr>
      <w:tr>
        <w:trPr>
          <w:trHeight w:val="26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7"/>
        </w:trPr>
        <w:tc>
          <w:tcPr>
            <w:tcW w:w="506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D2EDFE"/>
          </w:tcPr>
          <w:p>
            <w:pPr>
              <w:spacing w:after="0"/>
              <w:rPr>
                <w:sz w:val="24"/>
                <w:szCs w:val="24"/>
                <w:color w:val="auto"/>
              </w:rPr>
            </w:pPr>
          </w:p>
        </w:tc>
        <w:tc>
          <w:tcPr>
            <w:tcW w:w="400" w:type="dxa"/>
            <w:vAlign w:val="bottom"/>
            <w:shd w:val="clear" w:color="auto" w:fill="D2EDFE"/>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D2EDFE"/>
          </w:tcPr>
          <w:p>
            <w:pPr>
              <w:spacing w:after="0"/>
              <w:rPr>
                <w:sz w:val="24"/>
                <w:szCs w:val="24"/>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D2EDFE"/>
          </w:tcPr>
          <w:p>
            <w:pPr>
              <w:spacing w:after="0"/>
              <w:rPr>
                <w:sz w:val="24"/>
                <w:szCs w:val="24"/>
                <w:color w:val="auto"/>
              </w:rPr>
            </w:pPr>
          </w:p>
        </w:tc>
        <w:tc>
          <w:tcPr>
            <w:tcW w:w="540" w:type="dxa"/>
            <w:vAlign w:val="bottom"/>
            <w:shd w:val="clear" w:color="auto" w:fill="D2EDFE"/>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6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D2EDFE"/>
          </w:tcPr>
          <w:p>
            <w:pPr>
              <w:spacing w:after="0"/>
              <w:rPr>
                <w:sz w:val="23"/>
                <w:szCs w:val="23"/>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59,590,033</w:t>
            </w:r>
          </w:p>
        </w:tc>
        <w:tc>
          <w:tcPr>
            <w:tcW w:w="100" w:type="dxa"/>
            <w:vAlign w:val="bottom"/>
            <w:shd w:val="clear" w:color="auto" w:fill="D2EDFE"/>
          </w:tcPr>
          <w:p>
            <w:pPr>
              <w:spacing w:after="0"/>
              <w:rPr>
                <w:sz w:val="23"/>
                <w:szCs w:val="23"/>
                <w:color w:val="auto"/>
              </w:rPr>
            </w:pPr>
          </w:p>
        </w:tc>
        <w:tc>
          <w:tcPr>
            <w:tcW w:w="400" w:type="dxa"/>
            <w:vAlign w:val="bottom"/>
            <w:shd w:val="clear" w:color="auto" w:fill="D2EDFE"/>
          </w:tcPr>
          <w:p>
            <w:pPr>
              <w:spacing w:after="0"/>
              <w:rPr>
                <w:sz w:val="23"/>
                <w:szCs w:val="23"/>
                <w:color w:val="auto"/>
              </w:rPr>
            </w:pP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57,557,178</w:t>
            </w:r>
          </w:p>
        </w:tc>
        <w:tc>
          <w:tcPr>
            <w:tcW w:w="100" w:type="dxa"/>
            <w:vAlign w:val="bottom"/>
            <w:shd w:val="clear" w:color="auto" w:fill="D2EDFE"/>
          </w:tcPr>
          <w:p>
            <w:pPr>
              <w:spacing w:after="0"/>
              <w:rPr>
                <w:sz w:val="23"/>
                <w:szCs w:val="23"/>
                <w:color w:val="auto"/>
              </w:rPr>
            </w:pPr>
          </w:p>
        </w:tc>
        <w:tc>
          <w:tcPr>
            <w:tcW w:w="340" w:type="dxa"/>
            <w:vAlign w:val="bottom"/>
            <w:shd w:val="clear" w:color="auto" w:fill="D2EDFE"/>
          </w:tcPr>
          <w:p>
            <w:pPr>
              <w:spacing w:after="0"/>
              <w:rPr>
                <w:sz w:val="23"/>
                <w:szCs w:val="23"/>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59,066,400</w:t>
            </w:r>
          </w:p>
        </w:tc>
        <w:tc>
          <w:tcPr>
            <w:tcW w:w="100" w:type="dxa"/>
            <w:vAlign w:val="bottom"/>
            <w:shd w:val="clear" w:color="auto" w:fill="D2EDFE"/>
          </w:tcPr>
          <w:p>
            <w:pPr>
              <w:spacing w:after="0"/>
              <w:rPr>
                <w:sz w:val="23"/>
                <w:szCs w:val="23"/>
                <w:color w:val="auto"/>
              </w:rPr>
            </w:pPr>
          </w:p>
        </w:tc>
        <w:tc>
          <w:tcPr>
            <w:tcW w:w="540" w:type="dxa"/>
            <w:vAlign w:val="bottom"/>
            <w:shd w:val="clear" w:color="auto" w:fill="D2EDFE"/>
          </w:tcPr>
          <w:p>
            <w:pPr>
              <w:spacing w:after="0"/>
              <w:rPr>
                <w:sz w:val="23"/>
                <w:szCs w:val="23"/>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57,489,466</w:t>
            </w:r>
          </w:p>
        </w:tc>
      </w:tr>
      <w:tr>
        <w:trPr>
          <w:trHeight w:val="257"/>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60,379,884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57,990,621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59,802,603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58,066,133</w:t>
            </w:r>
          </w:p>
        </w:tc>
      </w:tr>
    </w:tbl>
    <w:p>
      <w:pPr>
        <w:spacing w:after="0" w:line="301" w:lineRule="exact"/>
        <w:rPr>
          <w:sz w:val="20"/>
          <w:szCs w:val="20"/>
          <w:color w:val="auto"/>
        </w:rPr>
      </w:pPr>
    </w:p>
    <w:p>
      <w:pPr>
        <w:ind w:left="660" w:hanging="652"/>
        <w:spacing w:after="0" w:line="281" w:lineRule="auto"/>
        <w:tabs>
          <w:tab w:leader="none" w:pos="34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77" w:lineRule="exact"/>
        <w:rPr>
          <w:rFonts w:ascii="Times New Roman" w:cs="Times New Roman" w:eastAsia="Times New Roman" w:hAnsi="Times New Roman"/>
          <w:sz w:val="14"/>
          <w:szCs w:val="14"/>
          <w:color w:val="auto"/>
        </w:rPr>
      </w:pPr>
    </w:p>
    <w:p>
      <w:pPr>
        <w:ind w:left="660" w:hanging="652"/>
        <w:spacing w:after="0" w:line="282" w:lineRule="auto"/>
        <w:tabs>
          <w:tab w:leader="none" w:pos="32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Adjusted Net Income Per Share is computed by dividing adjusted net income by the weighted-average number of shares of common stock outstanding adjusted for the dilutive effect of all potential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is generated from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We recognize revenue based on the expected transaction price which is reduced for financing fees.</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policy is to require full payment for services in advance of performing a procedure. Payments received for which services have yet to been performed for all reported periods are included in deferred revenue and patient deposits on our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(excluding depreciation and amortization)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 is comprised of all service and product costs related to the delivery of procedures, including but not limited to compensation to our physicians and clinical staff, medical supply costs, and facility-related rent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consists of marketing and advertising expenses we incur to market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to potential patients and general and administrative costs, including rent for our corporate offices.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Expenses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Our advertising costs include both national and site-based advertising used to generate greater awareness and engagement 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our selling expense as compared to growth in our sales volume and will invest accordingly to the extent we believe we can position ourselves for future growth without materially negatively impacting our Adjusted EBITDA Margins.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primarily of interest costs on our outstanding borrowings under our debt.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96"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37"/>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300" w:type="dxa"/>
            <w:vAlign w:val="bottom"/>
          </w:tcPr>
          <w:p>
            <w:pPr>
              <w:spacing w:after="0"/>
              <w:rPr>
                <w:sz w:val="11"/>
                <w:szCs w:val="11"/>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jc w:val="right"/>
              <w:ind w:right="575"/>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8"/>
        </w:trPr>
        <w:tc>
          <w:tcPr>
            <w:tcW w:w="488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D2EDF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44,012</w:t>
            </w:r>
          </w:p>
        </w:tc>
        <w:tc>
          <w:tcPr>
            <w:tcW w:w="2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tcBorders>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51,004</w:t>
            </w:r>
          </w:p>
        </w:tc>
        <w:tc>
          <w:tcPr>
            <w:tcW w:w="4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17,201</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22,671</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34,274</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disposal of long-lived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880" w:type="dxa"/>
            <w:vAlign w:val="bottom"/>
            <w:tcBorders>
              <w:top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43,226</w:t>
            </w:r>
          </w:p>
        </w:tc>
        <w:tc>
          <w:tcPr>
            <w:tcW w:w="20" w:type="dxa"/>
            <w:vAlign w:val="bottom"/>
            <w:tcBorders>
              <w:top w:val="single" w:sz="8" w:color="auto"/>
              <w:bottom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98.2 %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55,985</w:t>
            </w:r>
          </w:p>
        </w:tc>
        <w:tc>
          <w:tcPr>
            <w:tcW w:w="40" w:type="dxa"/>
            <w:vAlign w:val="bottom"/>
            <w:tcBorders>
              <w:top w:val="single" w:sz="8" w:color="auto"/>
              <w:bottom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109.8 %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Pre-tax net loss</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decreased $7.0 million, or 13.7%, compared to the same period in 2024. The decrease is primarily attributed to weaker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performance across the broader aesthetics industry.</w:t>
      </w:r>
    </w:p>
    <w:p>
      <w:pPr>
        <w:spacing w:after="0" w:line="15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services decreased $1.6 million, or 8.6%, compared to the same period in 2024. The percentage decrease in cost of service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decrease in cases compared to the same period in 2024. Cost of service was 39.1% and 36.9% as a percentage of revenue for the three months ended June 30, 2025 and 2024, respectively. This is primarily due to not being able to leverage certain fixed costs within cost of service like rent and certain nursing costs.</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decreased $11.6 million, or 33.9%,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compared to the same period in 2024. This decrease relates to a $3.4</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reduction in advertising costs, $3.5 million decrease in stock compensation expense, as well as a $3.7 million reduction in severance costs. Selling, general and administrative expenses as a percent of revenue was at 51.5% and 67.2% for the three months ended June 30, 2025 and 2024,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$9.9 million and $13.1 million for the three months ended June 30, 2025 and 2024, respectively. This decrease is primarily related to a decrease in advertising spend associated with brand awareness initiatives. Our customer acquisition costs were approximately $2,905 and $3,325 per customer in the three months ended June 30, 2025 and 2024, respectively. Selling expenses as a percentage of revenue may fluctuate from quarter to quarter based on the timing and scope of our initiatives and the related impact to our revenue. We have also paused de novo center and new procedure room openings, which is expected to have a favorable impact on selling expenses.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expenses were approximately $12.8 million and $21.2 million for the three months ended June 30, 2025 and 2024, respectively. This decrease relates to a $3.5 million decrease in stock compensation expense. Additionally, the prior year period included $3.7 million in severance costs, with no comparable expense in the current period. We have also implemented a cost reduction program that is estimated to eliminate approximately $3.0 million in annual overhead costs and contracted expenses.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$3.2 million for the three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$2.9 million for the same period in 2024. This increase is the result of having five additional de novo centers during the three months ended June 30, 2025 as compared to the 2024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was $1.6 million and $1.5 million for the three months ended June 30, 2025 and 2024, respectively.</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is 23.8% and 50.6% for the three months ended June 30, 2025 and 2024, respectively. The main driver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effective and statutory rate is non-deductible executive compensation under Section 162(m) of the Internal Revenue Code.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88"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35"/>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center"/>
              <w:ind w:right="173"/>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35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16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6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83,383</w:t>
            </w:r>
          </w:p>
        </w:tc>
        <w:tc>
          <w:tcPr>
            <w:tcW w:w="8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tcBorders>
            <w:shd w:val="clear" w:color="auto" w:fill="D2EDFE"/>
          </w:tcPr>
          <w:p>
            <w:pPr>
              <w:spacing w:after="0"/>
              <w:rPr>
                <w:sz w:val="19"/>
                <w:szCs w:val="19"/>
                <w:color w:val="auto"/>
              </w:rPr>
            </w:pPr>
          </w:p>
        </w:tc>
        <w:tc>
          <w:tcPr>
            <w:tcW w:w="9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98,624</w:t>
            </w:r>
          </w:p>
        </w:tc>
        <w:tc>
          <w:tcPr>
            <w:tcW w:w="4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1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246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33,151</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36,869</w:t>
            </w:r>
          </w:p>
        </w:tc>
        <w:tc>
          <w:tcPr>
            <w:tcW w:w="130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0" w:type="dxa"/>
            <w:vAlign w:val="bottom"/>
          </w:tcPr>
          <w:p>
            <w:pPr>
              <w:spacing w:after="0"/>
              <w:rPr>
                <w:sz w:val="1"/>
                <w:szCs w:val="1"/>
                <w:color w:val="auto"/>
              </w:rPr>
            </w:pPr>
          </w:p>
        </w:tc>
      </w:tr>
      <w:tr>
        <w:trPr>
          <w:trHeight w:val="230"/>
        </w:trPr>
        <w:tc>
          <w:tcPr>
            <w:tcW w:w="4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6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30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2460" w:type="dxa"/>
            <w:vAlign w:val="bottom"/>
            <w:tcBorders>
              <w:bottom w:val="single" w:sz="8" w:color="D2EDF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D2EDF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D2EDF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D2EDFE"/>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60" w:type="dxa"/>
            <w:vAlign w:val="bottom"/>
            <w:shd w:val="clear" w:color="auto" w:fill="D2EDFE"/>
          </w:tcPr>
          <w:p>
            <w:pPr>
              <w:spacing w:after="0"/>
              <w:rPr>
                <w:sz w:val="19"/>
                <w:szCs w:val="19"/>
                <w:color w:val="auto"/>
              </w:rPr>
            </w:pPr>
          </w:p>
        </w:tc>
        <w:tc>
          <w:tcPr>
            <w:tcW w:w="180" w:type="dxa"/>
            <w:vAlign w:val="bottom"/>
            <w:tcBorders>
              <w:bottom w:val="single" w:sz="8" w:color="auto"/>
            </w:tcBorders>
            <w:shd w:val="clear" w:color="auto" w:fill="D2EDFE"/>
          </w:tcPr>
          <w:p>
            <w:pPr>
              <w:spacing w:after="0"/>
              <w:rPr>
                <w:sz w:val="19"/>
                <w:szCs w:val="19"/>
                <w:color w:val="auto"/>
              </w:rPr>
            </w:pPr>
          </w:p>
        </w:tc>
        <w:tc>
          <w:tcPr>
            <w:tcW w:w="8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84,186</w:t>
            </w:r>
          </w:p>
        </w:tc>
        <w:tc>
          <w:tcPr>
            <w:tcW w:w="80" w:type="dxa"/>
            <w:vAlign w:val="bottom"/>
            <w:shd w:val="clear" w:color="auto" w:fill="D2EDFE"/>
          </w:tcPr>
          <w:p>
            <w:pPr>
              <w:spacing w:after="0"/>
              <w:rPr>
                <w:sz w:val="19"/>
                <w:szCs w:val="19"/>
                <w:color w:val="auto"/>
              </w:rPr>
            </w:pPr>
          </w:p>
        </w:tc>
        <w:tc>
          <w:tcPr>
            <w:tcW w:w="240" w:type="dxa"/>
            <w:vAlign w:val="bottom"/>
            <w:tcBorders>
              <w:bottom w:val="single" w:sz="8" w:color="auto"/>
            </w:tcBorders>
            <w:shd w:val="clear" w:color="auto" w:fill="D2EDFE"/>
          </w:tcPr>
          <w:p>
            <w:pPr>
              <w:spacing w:after="0"/>
              <w:rPr>
                <w:sz w:val="19"/>
                <w:szCs w:val="19"/>
                <w:color w:val="auto"/>
              </w:rPr>
            </w:pPr>
          </w:p>
        </w:tc>
        <w:tc>
          <w:tcPr>
            <w:tcW w:w="9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101.0 %</w:t>
            </w:r>
          </w:p>
        </w:tc>
        <w:tc>
          <w:tcPr>
            <w:tcW w:w="100" w:type="dxa"/>
            <w:vAlign w:val="bottom"/>
            <w:shd w:val="clear" w:color="auto" w:fill="D2EDFE"/>
          </w:tcPr>
          <w:p>
            <w:pPr>
              <w:spacing w:after="0"/>
              <w:rPr>
                <w:sz w:val="19"/>
                <w:szCs w:val="19"/>
                <w:color w:val="auto"/>
              </w:rPr>
            </w:pPr>
          </w:p>
        </w:tc>
        <w:tc>
          <w:tcPr>
            <w:tcW w:w="180" w:type="dxa"/>
            <w:vAlign w:val="bottom"/>
            <w:tcBorders>
              <w:bottom w:val="single" w:sz="8" w:color="auto"/>
            </w:tcBorders>
            <w:shd w:val="clear" w:color="auto" w:fill="D2EDFE"/>
          </w:tcPr>
          <w:p>
            <w:pPr>
              <w:spacing w:after="0"/>
              <w:rPr>
                <w:sz w:val="19"/>
                <w:szCs w:val="19"/>
                <w:color w:val="auto"/>
              </w:rPr>
            </w:pPr>
          </w:p>
        </w:tc>
        <w:tc>
          <w:tcPr>
            <w:tcW w:w="7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92,593</w:t>
            </w:r>
          </w:p>
        </w:tc>
        <w:tc>
          <w:tcPr>
            <w:tcW w:w="40" w:type="dxa"/>
            <w:vAlign w:val="bottom"/>
            <w:tcBorders>
              <w:bottom w:val="single" w:sz="8" w:color="auto"/>
            </w:tcBorders>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1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93.9 %</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41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6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30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Pre-tax net (loss)/income</w:t>
            </w:r>
          </w:p>
        </w:tc>
        <w:tc>
          <w:tcPr>
            <w:tcW w:w="2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41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46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30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(loss)/income</w:t>
            </w:r>
          </w:p>
        </w:tc>
        <w:tc>
          <w:tcPr>
            <w:tcW w:w="2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6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6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Six Months Ended June 30, 2024</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decreased $15.2 million, or 15.5%, compared to the same period in 2024. The decrease is primarily attributed to weaker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performance across the broader aesthetics and high-end retail industries.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 decreased $3.7 million, or 10.1%, compared to the six months ended June 30, 2024. The percentage decrease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is driven by the decrease in cases compared to the same period in 2024. Cost of service was 39.8% and 37.4% as a percentage of revenue for the twelve months ended June 30, 2025 and 2024, respectively. The percentage increase is primarily due to the decline in revenue and not being able to leverage certain fixed costs within cost of service such as rent and certain nursing costs.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decreased $5.6 million, or 11.2%,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compared to the same period in 2024. This decrease is related to a $4.9 million decrease in advertising costs, $3.7 million decrease in severance expense, and $0.9 million decrease payroll costs, offset by a $4.5 million increase in our equity-based compensation expense due to the prior year expense reversal related to certain PSUs (see Note 6 to the consolidated financial statements included in this Quarterly Report on Form 10-Q for further discussion) partially offset by additional expenses we incurred for marketing and corporate support as we grow our center count through de novo expansion and providing support for our centers. Selling, general and administrative expenses as a percent of revenue were 53.3% and 50.7% for the six months ended June 30, 2025 and 2024, respectively.</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$19.5 million and $24.3 million for the six months ended June 30, 2025 and 2024, respectively. This decrease is primarily related to a decrease in advertising spend associated with brand awareness initiatives. Our customer acquisition costs were approximately $3,010 and $3,165 per customer in the six months ended June 30, 2025 and 2024, respectively. Additionally, selling expenses as a percentage of revenue may fluctuate from quarter to quarter based on the timing and scope of our initiatives and the related impact to our revenue. We have also paused de novo center and new procedure room openings, which is expected to have a favorable impact on selling expenses.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$25.0 million and $25.7 million for the six months ended June 30, 2025 and 2024, respectively. We have also implemented a cost reduction program that is estimated to eliminate approximately $3.0 million in annual overhead costs and contracted expenses.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$6.5 million for the six months ended June 30,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$5.7 million for the same period in 2024. This increase is the result of having five additional de novo centers during the six months ended June 30, 2025 as compared to the 2024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increased to $3.2 million from $3.0 million for the six months ended June 30, 2025 and 2024, respectively.</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is 13.8% and 5.4% for the six months ended June 30, 2025 and 2024, respectively. The main driver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effective and statutory rate is non-deductible executive compensation under Section 162(m) of the Internal Revenue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principally rely on cash flows from operations as our primary source of liquidity and, if needed, up to $5.0 million in revolving loans under our revolving credit facility. In March 2025, we filed a Registration Statement on Form S-3 (File No. 333-285825) which covers the offering, issuance and sale, for an aggregate initial offering price not to exceed $100.0 million, of shares of common stock and preferred stock; debt securities; warrants to purchase common stock, preferred stock and/or debt securities; and units. We also commenced an at-the-market offering program, with Leerink Partners LLC (“Leerink”) acting as sales agent. This at-the-market offering program provides us with additional access to capital, as needed, subject to market conditions.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cash needs are for payroll, marketing and advertisements, rent, debt service, as well as information technology and infrastructure, including our corporate office. Our cash flows are closely tied to the receipt of patient payments, and we have experienced revenue declines in the most recent year due to a decline in overall cases performed. In response, we have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implemented initiatives to improve revenue growth, engaged in a cost reduction program that is estimated to eliminate approximately $3.0 million in annual overhead costs and contracted expenses, and paused de novo center and new procedure room openings. These initiatives may not realize anticipated benefits or savings from one or more of the various strategies and cost-savings initiatives undertaken as part of these efforts in full or in part or within the time periods expected. We also may not realize the increase in sales related to these initiatives. Our ability to improve operating results depends upon a significant number of factors, some of which are beyond our control. If we are unable to realize the anticipated savings or benefits, or otherwise fail to implement the growth strategies, the business operating results and liquidity may be adversely affected.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cash expected to be generated from operations will be sufficient for our working capital requirements, liquidity obligations, and payments due under our existing credit facilities for at least the next 12 months.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had $8.2 million in cash and cash equivalents and an available amount of $5.0 million under our revolving credit facility. We do not have any letters of credit outstanding as of June 30, 2025.</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we had $9.9 million in cash and cash equivalents and an available amount of $5.0 million under our revolving credit facility. We did not have any letters of credit outstanding as of June 30,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cash provided by (used for) operating activities, investing activities and financing activities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4"/>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81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For):</w:t>
            </w:r>
          </w:p>
        </w:tc>
        <w:tc>
          <w:tcPr>
            <w:tcW w:w="360" w:type="dxa"/>
            <w:vAlign w:val="bottom"/>
            <w:shd w:val="clear" w:color="auto" w:fill="D2EDFE"/>
          </w:tcPr>
          <w:p>
            <w:pPr>
              <w:spacing w:after="0"/>
              <w:rPr>
                <w:sz w:val="18"/>
                <w:szCs w:val="18"/>
                <w:color w:val="auto"/>
              </w:rPr>
            </w:pPr>
          </w:p>
        </w:tc>
        <w:tc>
          <w:tcPr>
            <w:tcW w:w="1120" w:type="dxa"/>
            <w:vAlign w:val="bottom"/>
            <w:shd w:val="clear" w:color="auto" w:fill="D2EDFE"/>
          </w:tcPr>
          <w:p>
            <w:pPr>
              <w:spacing w:after="0"/>
              <w:rPr>
                <w:sz w:val="18"/>
                <w:szCs w:val="18"/>
                <w:color w:val="auto"/>
              </w:rPr>
            </w:pPr>
          </w:p>
        </w:tc>
        <w:tc>
          <w:tcPr>
            <w:tcW w:w="120" w:type="dxa"/>
            <w:vAlign w:val="bottom"/>
            <w:shd w:val="clear" w:color="auto" w:fill="D2EDFE"/>
          </w:tcPr>
          <w:p>
            <w:pPr>
              <w:spacing w:after="0"/>
              <w:rPr>
                <w:sz w:val="18"/>
                <w:szCs w:val="18"/>
                <w:color w:val="auto"/>
              </w:rPr>
            </w:pPr>
          </w:p>
        </w:tc>
        <w:tc>
          <w:tcPr>
            <w:tcW w:w="560" w:type="dxa"/>
            <w:vAlign w:val="bottom"/>
            <w:shd w:val="clear" w:color="auto" w:fill="D2EDFE"/>
          </w:tcPr>
          <w:p>
            <w:pPr>
              <w:spacing w:after="0"/>
              <w:rPr>
                <w:sz w:val="18"/>
                <w:szCs w:val="18"/>
                <w:color w:val="auto"/>
              </w:rPr>
            </w:pPr>
          </w:p>
        </w:tc>
        <w:tc>
          <w:tcPr>
            <w:tcW w:w="920" w:type="dxa"/>
            <w:vAlign w:val="bottom"/>
            <w:shd w:val="clear" w:color="auto" w:fill="D2EDFE"/>
          </w:tcPr>
          <w:p>
            <w:pPr>
              <w:spacing w:after="0"/>
              <w:rPr>
                <w:sz w:val="18"/>
                <w:szCs w:val="18"/>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r>
      <w:tr>
        <w:trPr>
          <w:trHeight w:val="230"/>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(5,580)</w:t>
            </w: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29"/>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source of our operating cash flow is the collection of patient payments received prior to performing surgical procedures. For the six months ended June 30, 2025, our operating cash flow decreased by $1.0 million compared to the same period in 2024. The decrease is primarily attributed to weaker than expected revenue performance during the six months ended June 30, 2025 as compared to the prior year period. At June 30, 2025, we had a working capital deficit of $(9.4) million compared to $(11.5) million at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and 2024 was $2.2 million and $5.6 million, respectively. Investing activities in the six months ended June 30, 2025 relate primarily to final payments on our White Plains, NY location that opened in December 2024 and maintenance capital expenditure. Investing activities during the six months ended June 30, 2024 were attributable to the preparation for the opening of our 2024 de novo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2025 was $3.7 million. During the six months ended June 30, 2025, we received net proceeds of $14.0 million from an underwritten public offering, made principal payments on our debt of $12.0 million, payments for debt modification of $0.2 million and made payments of taxes withheld through vested equity-based compensation of $0.1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2024 was $1.6 million. For the six months ended June 30, 2024, we made principal payments on our debt of $1.1 million and made payments of taxes withheld through vested equity-based compensation of $0.4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Common Offering Program</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March 14, 2025, we entered into a sales agreement (the “ATM Agreement”) with Leerink, as sales agent, in connection with an at-the-market offering program under which we may offer and sell, from time to time in our sole discretion, shares of our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us under our Registration Statement on Form S-3 (File No. 333-285825). We and Leerink each have the right to suspend or terminate the ATM Agreement in each party’s sole discretion at any time.</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and six months ended June 30, 2025, we sold the following quantities of our common stock pursuant to the ATM Agreement for total net proceeds of approximately $251 thousand and $264 thousand: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3/26/2025</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3/27/2025</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48"/>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Q1 Total</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4/1/2025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51,513</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4/2/2025</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67,069</w:t>
            </w:r>
          </w:p>
        </w:tc>
      </w:tr>
      <w:tr>
        <w:trPr>
          <w:trHeight w:val="248"/>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Q2 Total</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118,582</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Underwritten Follow-On Equity Offering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9, 2025, the Company entered into an underwriting agreement (the “Underwriting Agreement”) with Leerink Partners LLC (“Leerink Partners”), to issue and sell 3,160,000 shares (the “Firm Shares”) of the Company’s common stock to Leerink Partners, in an underwritten registered public offering (the “Offering”), at a price of $3.80 per share. Pursuant to the Underwriting Agreement, the Company also granted Leerink Partners a 30-day option to purchase up to an additional 474,000 shares of the Company's common stock (the “Additional Shares,” and together with the Firm Shares, the “Shares”), at the same price per share as the Firm Shares. Leerink Partners exercised in full its option to purchase the Additional Shares on June 10, 2025. Vesey Street Capital Partners, L.L.C., which is affiliated with two directors and is the largest stockholder of the Company, purchased an aggregate of 1,000,000 Shares in the Offering on the same terms and conditions as purchases by the public in the Offering.</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Offering closed on June 11, 2025, and the Company received net proceeds of approximately $13.8 million from the sale of 3,634,000 Shares, which included the 474,000 Additional Shares, after deducting estimated offering expenses. The Company used the net proceeds from the Offering for the prepayment of a portion of the Company’s outstanding indebtedness under its existing credit agreement and the remainder of the net proceeds from the Offering for general corporate purposes, including working capital and other business opportunities.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Offering was pursuant to a prospectus supplement dated June 9, 2025, filed with the SEC in connection with the Company’s shelf registration statement on Form S-3 (File 333-285825), filed with the SEC on March 14, 2025 and declared effective on March 24, 2025 and the related prospectus dated March 14,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our total indebtedness was $57.7 million and $74.7 million, which includes unamortized deferred financing costs and issuance discount of $1.0 million and $1.0 million, and funds drawn on the revolving credit facility of $0.0 million and $5.0 million, as of June 30, 2025 and December 31, 2024,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originally maturing November 7, 2027. Pursuant to the Credit Agreement, there is (i) an $85.0 million original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Credit Agreement, all outstanding loans bear interest based on either a base rate or SOFR plus an applicable per annum margin. The applicable per annum margin is 2.0% or 3.0% for base rate or SOFR, respectively, if the Company's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2024, the Company amended the Credit Agreement to modify certain financial condition covenants and the applicable margins. As such, for the period of September 13, 2024 through June 30, 2025, the applicable per annum margin is 2.5% or 3.5% for base rate or SOFR, respectively, if the Company's total leverage ratio is equal to or greater than 2.0x. If the Company's total leverage ratio is equal to or greater than 1.0x and less than 2.0x, the applicable per annum margin is 2.0% or 3.0% for base rate or SOFR, respectively. If the Company's total leverage ratio is below 1.0x, the applicable per annum margin is 1.5% or 2.5% for base rate or SOFR, respectively. As of June 30, 2025, the interest rate was 7.83%.</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2025, the Company entered the Third Amendment. Under the terms of the Third Amendment, the parties thereto agreed to modify certain financial condition covenants made by the Company under the term loan and revolving credit facility,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months ending May 31, 2025 and thereafter (or the last day of each fiscal quarter thereafter upon the satisfaction of certain financial tests described therein); and (iv) new liquidity and financial reporting requirements have been added.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revising the covenants listed above, the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and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Vesey Street Capital Partners, L.L.C., our private equity sponsor (“Sponsor”). In consideration of the Third Amendment, the Company paid a fee equal to 0.15% of the outstanding loans to consenting Lenders, and a $125,000 arrangement fee to SVB. On March 12, 2025, in connection with the Third Amendment, the Company, SVB and our Sponsor (through certain affiliated entities) entered into that certain Limited Guarantee by and among Vesey Street Capital Partners Healthcare Fund, L.P., Vesey Street Capital Partners Healthcare Fund-A, L.P., SVB, and the Company (the "Limited Guarantee"), pursuant to which our Sponsor agreed to provide a $10.0 million limited guaranty of the Company’s obligations under the Credit Agreement. The Limited Guarantee was callable on June 15, 2025 (or upon the earlier occurrence of certain defaults described therein) if the Company had not prepaid the term loan (excluding regularly scheduled amortization) by $10.0 million as of such date. Under the terms of the Limited Guarantee, if our Sponsor was required to make any payment under the Limited Guarantee (other than as a result of a bankruptcy event), then our Sponsor would be deemed to have purchased shares of common stock of the Company having an aggregate value equal to the amount of such payment. The Company agreed to issue a subordinated note to our Sponsor if a payment occurred under the Limited Guarantee, to the extent such payment did not result from the issuance of shares of common stock by the Company to our Sponsor.</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13, 2025, the Company made a $10.0 million principal payment on the term loan in accordance with the Third Amendment using proceeds from its underwritten public offering completed on June 11,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summary of significant accounting policies is disclosed in our Annual Report on Form 10-K dated March 14, 2025 filed with the SEC pursuant to Section 13 or 15d of the Exchange Act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from our Annual Report on Form 10-K dated March 14,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required under this item.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June 30,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including the Chief Executive Officer and the Chief Financial Officer, recognizes that any set of controls and procedures, no matter how well-designed and operated, can provide only reasonable, not absolute, assurance of</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2024 dated March 14, 2025 and filed with the SEC pursuant to Section 13 or 15(d) of the Exchange Act.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none of our directors or officers have adopted or terminated any "Rule 10b5-1 trading arrangement" or "non-Rule 10b5-1 trading arrangement" (each as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8572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Certification of Principal Executive Officer Pursuant to Rules 13a-14(a) and 15d-14(a) under the Securities Exchange Act of 1934, as Adopted Pursuant to Section 302 of the Sarbanes-Oxley Act of 2002</w:t>
      </w:r>
    </w:p>
    <w:p>
      <w:pPr>
        <w:spacing w:after="0" w:line="1" w:lineRule="exact"/>
        <w:rPr>
          <w:sz w:val="20"/>
          <w:szCs w:val="20"/>
          <w:color w:val="auto"/>
        </w:rPr>
      </w:pPr>
    </w:p>
    <w:p>
      <w:pPr>
        <w:sectPr>
          <w:pgSz w:w="11900" w:h="16838" w:orient="portrait"/>
          <w:cols w:equalWidth="0" w:num="2">
            <w:col w:w="1240" w:space="180"/>
            <w:col w:w="9820"/>
          </w:cols>
          <w:pgMar w:left="320" w:top="513" w:right="33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31.2*</w:t>
            </w:r>
          </w:p>
        </w:tc>
        <w:tc>
          <w:tcPr>
            <w:tcW w:w="200" w:type="dxa"/>
            <w:vAlign w:val="bottom"/>
          </w:tcPr>
          <w:p>
            <w:pPr>
              <w:spacing w:after="0"/>
              <w:rPr>
                <w:sz w:val="17"/>
                <w:szCs w:val="17"/>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32.1†</w:t>
            </w:r>
          </w:p>
        </w:tc>
        <w:tc>
          <w:tcPr>
            <w:tcW w:w="200" w:type="dxa"/>
            <w:vAlign w:val="bottom"/>
          </w:tcPr>
          <w:p>
            <w:pPr>
              <w:spacing w:after="0"/>
              <w:rPr>
                <w:sz w:val="21"/>
                <w:szCs w:val="21"/>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00" w:type="dxa"/>
            <w:vAlign w:val="bottom"/>
            <w:tcBorders>
              <w:top w:val="single" w:sz="8" w:color="auto"/>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32.2†</w:t>
            </w:r>
          </w:p>
        </w:tc>
        <w:tc>
          <w:tcPr>
            <w:tcW w:w="200" w:type="dxa"/>
            <w:vAlign w:val="bottom"/>
          </w:tcPr>
          <w:p>
            <w:pPr>
              <w:spacing w:after="0"/>
              <w:rPr>
                <w:sz w:val="21"/>
                <w:szCs w:val="21"/>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2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59"/>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920" w:type="dxa"/>
            <w:vAlign w:val="bottom"/>
          </w:tcPr>
          <w:p>
            <w:pPr>
              <w:spacing w:after="0"/>
              <w:rPr>
                <w:sz w:val="20"/>
                <w:szCs w:val="20"/>
                <w:color w:val="auto"/>
              </w:rPr>
            </w:pP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101.CAL*</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101.DEF*</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101.LAB*</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6"/>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104*</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ind w:left="660" w:hanging="652"/>
        <w:spacing w:after="0" w:line="253" w:lineRule="auto"/>
        <w:tabs>
          <w:tab w:leader="none" w:pos="3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being furnished herewith and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 except to the extent that the registrant specifically incorporates them by reference.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AIRSCULPT TECHNOLOGIES,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Dean</w:t>
            </w:r>
          </w:p>
        </w:tc>
      </w:tr>
      <w:tr>
        <w:trPr>
          <w:trHeight w:val="218"/>
        </w:trPr>
        <w:tc>
          <w:tcPr>
            <w:tcW w:w="23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Dennis Dean</w:t>
            </w:r>
          </w:p>
        </w:tc>
      </w:tr>
      <w:tr>
        <w:trPr>
          <w:trHeight w:val="229"/>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3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51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5940" w:type="dxa"/>
            <w:vAlign w:val="bottom"/>
          </w:tcPr>
          <w:p>
            <w:pPr>
              <w:spacing w:after="0"/>
              <w:rPr>
                <w:sz w:val="24"/>
                <w:szCs w:val="24"/>
                <w:color w:val="auto"/>
              </w:rPr>
            </w:pPr>
          </w:p>
        </w:tc>
      </w:tr>
      <w:tr>
        <w:trPr>
          <w:trHeight w:val="823"/>
        </w:trPr>
        <w:tc>
          <w:tcPr>
            <w:tcW w:w="2320" w:type="dxa"/>
            <w:vAlign w:val="bottom"/>
          </w:tcPr>
          <w:p>
            <w:pPr>
              <w:spacing w:after="0"/>
              <w:rPr>
                <w:sz w:val="24"/>
                <w:szCs w:val="24"/>
                <w:color w:val="auto"/>
              </w:rPr>
            </w:pPr>
          </w:p>
        </w:tc>
        <w:tc>
          <w:tcPr>
            <w:tcW w:w="594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11240"/>
          </w:cols>
          <w:pgMar w:left="320" w:top="51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Yogi Jashnani,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175" w:lineRule="exact"/>
        <w:rPr>
          <w:sz w:val="20"/>
          <w:szCs w:val="20"/>
          <w:color w:val="auto"/>
        </w:rPr>
      </w:pPr>
    </w:p>
    <w:p>
      <w:pPr>
        <w:ind w:left="360"/>
        <w:spacing w:after="0"/>
        <w:tabs>
          <w:tab w:leader="none" w:pos="6860" w:val="left"/>
          <w:tab w:leader="none" w:pos="7260" w:val="left"/>
        </w:tabs>
        <w:rPr>
          <w:sz w:val="20"/>
          <w:szCs w:val="20"/>
          <w:color w:val="auto"/>
        </w:rPr>
      </w:pPr>
      <w:r>
        <w:rPr>
          <w:rFonts w:ascii="Times New Roman" w:cs="Times New Roman" w:eastAsia="Times New Roman" w:hAnsi="Times New Roman"/>
          <w:sz w:val="18"/>
          <w:szCs w:val="18"/>
          <w:color w:val="auto"/>
        </w:rPr>
        <w:t>Date: August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Yogi Jashnani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17145</wp:posOffset>
            </wp:positionV>
            <wp:extent cx="2263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Yogi Jashnani</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Dennis Dean,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7360" w:val="left"/>
          <w:tab w:leader="none" w:pos="7940" w:val="left"/>
        </w:tabs>
        <w:rPr>
          <w:sz w:val="20"/>
          <w:szCs w:val="20"/>
          <w:color w:val="auto"/>
        </w:rPr>
      </w:pPr>
      <w:r>
        <w:rPr>
          <w:rFonts w:ascii="Times New Roman" w:cs="Times New Roman" w:eastAsia="Times New Roman" w:hAnsi="Times New Roman"/>
          <w:sz w:val="18"/>
          <w:szCs w:val="18"/>
          <w:color w:val="auto"/>
        </w:rPr>
        <w:t>Date: August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17145</wp:posOffset>
            </wp:positionV>
            <wp:extent cx="18345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3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June 30, 2025,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59" w:lineRule="exact"/>
        <w:rPr>
          <w:sz w:val="20"/>
          <w:szCs w:val="20"/>
          <w:color w:val="auto"/>
        </w:rPr>
      </w:pPr>
    </w:p>
    <w:p>
      <w:pPr>
        <w:ind w:left="360"/>
        <w:spacing w:after="0"/>
        <w:tabs>
          <w:tab w:leader="none" w:pos="6940" w:val="left"/>
          <w:tab w:leader="none" w:pos="7480" w:val="left"/>
        </w:tabs>
        <w:rPr>
          <w:sz w:val="20"/>
          <w:szCs w:val="20"/>
          <w:color w:val="auto"/>
        </w:rPr>
      </w:pPr>
      <w:r>
        <w:rPr>
          <w:rFonts w:ascii="Times New Roman" w:cs="Times New Roman" w:eastAsia="Times New Roman" w:hAnsi="Times New Roman"/>
          <w:sz w:val="18"/>
          <w:szCs w:val="18"/>
          <w:color w:val="auto"/>
        </w:rPr>
        <w:t>Date: August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Yogi Jashnani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Yogi Jashnani</w:t>
      </w:r>
    </w:p>
    <w:p>
      <w:pPr>
        <w:spacing w:after="0" w:line="2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June 30, 2025,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7180" w:val="left"/>
        </w:tabs>
        <w:rPr>
          <w:sz w:val="20"/>
          <w:szCs w:val="20"/>
          <w:color w:val="auto"/>
        </w:rPr>
      </w:pPr>
      <w:r>
        <w:rPr>
          <w:rFonts w:ascii="Times New Roman" w:cs="Times New Roman" w:eastAsia="Times New Roman" w:hAnsi="Times New Roman"/>
          <w:sz w:val="18"/>
          <w:szCs w:val="18"/>
          <w:color w:val="auto"/>
        </w:rPr>
        <w:t>Date: August 1, 2025</w:t>
      </w:r>
      <w:r>
        <w:rPr>
          <w:sz w:val="20"/>
          <w:szCs w:val="20"/>
          <w:color w:val="auto"/>
        </w:rPr>
        <w:tab/>
      </w:r>
      <w:r>
        <w:rPr>
          <w:rFonts w:ascii="Times New Roman" w:cs="Times New Roman" w:eastAsia="Times New Roman" w:hAnsi="Times New Roman"/>
          <w:sz w:val="18"/>
          <w:szCs w:val="18"/>
          <w:color w:val="auto"/>
        </w:rPr>
        <w:t>By: /s/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831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Dennis Dean</w:t>
      </w:r>
    </w:p>
    <w:p>
      <w:pPr>
        <w:spacing w:after="0" w:line="23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2025-08-01T14:47:11Z</dcterms:created>
  <dcterms:modified xsi:type="dcterms:W3CDTF">2025-08-01T14:47:11Z</dcterms:modified>
</cp:coreProperties>
</file>