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923290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949325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UNITED STATES</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FORM 10-Q</w:t>
      </w:r>
    </w:p>
    <w:p>
      <w:pPr>
        <w:spacing w:after="0" w:line="121"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23"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 the quarterly period ended September 30, 2023</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OR</w:t>
      </w:r>
    </w:p>
    <w:p>
      <w:pPr>
        <w:spacing w:after="0" w:line="109" w:lineRule="exact"/>
        <w:rPr>
          <w:sz w:val="24"/>
          <w:szCs w:val="24"/>
          <w:color w:val="auto"/>
        </w:rPr>
      </w:pPr>
    </w:p>
    <w:p>
      <w:pPr>
        <w:ind w:left="3620" w:right="2800" w:hanging="3612"/>
        <w:spacing w:after="0" w:line="396" w:lineRule="auto"/>
        <w:tabs>
          <w:tab w:leader="none" w:pos="198"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For the transition period from __________ to __________.</w:t>
      </w:r>
    </w:p>
    <w:p>
      <w:pPr>
        <w:ind w:left="438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Commission file number: 001-40973</w:t>
      </w:r>
    </w:p>
    <w:p>
      <w:pPr>
        <w:spacing w:after="0" w:line="104" w:lineRule="exact"/>
        <w:rPr>
          <w:sz w:val="24"/>
          <w:szCs w:val="24"/>
          <w:color w:val="auto"/>
        </w:rPr>
      </w:pPr>
    </w:p>
    <w:tbl>
      <w:tblPr>
        <w:tblLayout w:type="fixed"/>
        <w:tblInd w:w="1500" w:type="dxa"/>
        <w:tblCellMar>
          <w:top w:w="0" w:type="dxa"/>
          <w:left w:w="0" w:type="dxa"/>
          <w:bottom w:w="0" w:type="dxa"/>
          <w:right w:w="0" w:type="dxa"/>
        </w:tblCellMar>
      </w:tblPr>
      <w:tr>
        <w:trPr>
          <w:trHeight w:val="242"/>
        </w:trPr>
        <w:tc>
          <w:tcPr>
            <w:tcW w:w="6080" w:type="dxa"/>
            <w:vAlign w:val="bottom"/>
          </w:tcPr>
          <w:p>
            <w:pPr>
              <w:jc w:val="center"/>
              <w:ind w:left="2097"/>
              <w:spacing w:after="0"/>
              <w:rPr>
                <w:sz w:val="20"/>
                <w:szCs w:val="20"/>
                <w:color w:val="auto"/>
              </w:rPr>
            </w:pPr>
            <w:r>
              <w:rPr>
                <w:rFonts w:ascii="Arial" w:cs="Arial" w:eastAsia="Arial" w:hAnsi="Arial"/>
                <w:sz w:val="20"/>
                <w:szCs w:val="20"/>
                <w:b w:val="1"/>
                <w:bCs w:val="1"/>
                <w:color w:val="auto"/>
                <w:w w:val="88"/>
              </w:rPr>
              <w:t>AirSculpt Technologies, Inc.</w:t>
            </w:r>
          </w:p>
        </w:tc>
        <w:tc>
          <w:tcPr>
            <w:tcW w:w="1480" w:type="dxa"/>
            <w:vAlign w:val="bottom"/>
          </w:tcPr>
          <w:p>
            <w:pPr>
              <w:spacing w:after="0"/>
              <w:rPr>
                <w:sz w:val="21"/>
                <w:szCs w:val="21"/>
                <w:color w:val="auto"/>
              </w:rPr>
            </w:pPr>
          </w:p>
        </w:tc>
      </w:tr>
      <w:tr>
        <w:trPr>
          <w:trHeight w:val="206"/>
        </w:trPr>
        <w:tc>
          <w:tcPr>
            <w:tcW w:w="6080" w:type="dxa"/>
            <w:vAlign w:val="bottom"/>
          </w:tcPr>
          <w:p>
            <w:pPr>
              <w:jc w:val="center"/>
              <w:ind w:left="2097"/>
              <w:spacing w:after="0"/>
              <w:rPr>
                <w:sz w:val="20"/>
                <w:szCs w:val="20"/>
                <w:color w:val="auto"/>
              </w:rPr>
            </w:pPr>
            <w:r>
              <w:rPr>
                <w:rFonts w:ascii="Arial" w:cs="Arial" w:eastAsia="Arial" w:hAnsi="Arial"/>
                <w:sz w:val="16"/>
                <w:szCs w:val="16"/>
                <w:color w:val="auto"/>
                <w:w w:val="91"/>
              </w:rPr>
              <w:t>(Exact name of registrant as specified in its charter)</w:t>
            </w:r>
          </w:p>
        </w:tc>
        <w:tc>
          <w:tcPr>
            <w:tcW w:w="1480" w:type="dxa"/>
            <w:vAlign w:val="bottom"/>
          </w:tcPr>
          <w:p>
            <w:pPr>
              <w:spacing w:after="0"/>
              <w:rPr>
                <w:sz w:val="17"/>
                <w:szCs w:val="17"/>
                <w:color w:val="auto"/>
              </w:rPr>
            </w:pPr>
          </w:p>
        </w:tc>
      </w:tr>
      <w:tr>
        <w:trPr>
          <w:trHeight w:val="351"/>
        </w:trPr>
        <w:tc>
          <w:tcPr>
            <w:tcW w:w="6080" w:type="dxa"/>
            <w:vAlign w:val="bottom"/>
          </w:tcPr>
          <w:p>
            <w:pPr>
              <w:jc w:val="center"/>
              <w:ind w:right="3417"/>
              <w:spacing w:after="0"/>
              <w:rPr>
                <w:sz w:val="20"/>
                <w:szCs w:val="20"/>
                <w:color w:val="auto"/>
              </w:rPr>
            </w:pPr>
            <w:r>
              <w:rPr>
                <w:rFonts w:ascii="Arial" w:cs="Arial" w:eastAsia="Arial" w:hAnsi="Arial"/>
                <w:sz w:val="16"/>
                <w:szCs w:val="16"/>
                <w:b w:val="1"/>
                <w:bCs w:val="1"/>
                <w:color w:val="auto"/>
                <w:w w:val="93"/>
              </w:rPr>
              <w:t>Delaware</w:t>
            </w:r>
          </w:p>
        </w:tc>
        <w:tc>
          <w:tcPr>
            <w:tcW w:w="1480" w:type="dxa"/>
            <w:vAlign w:val="bottom"/>
          </w:tcPr>
          <w:p>
            <w:pPr>
              <w:jc w:val="right"/>
              <w:ind w:right="139"/>
              <w:spacing w:after="0"/>
              <w:rPr>
                <w:sz w:val="20"/>
                <w:szCs w:val="20"/>
                <w:color w:val="auto"/>
              </w:rPr>
            </w:pPr>
            <w:r>
              <w:rPr>
                <w:rFonts w:ascii="Arial" w:cs="Arial" w:eastAsia="Arial" w:hAnsi="Arial"/>
                <w:sz w:val="16"/>
                <w:szCs w:val="16"/>
                <w:b w:val="1"/>
                <w:bCs w:val="1"/>
                <w:color w:val="auto"/>
              </w:rPr>
              <w:t>87-1471855</w:t>
            </w:r>
          </w:p>
        </w:tc>
      </w:tr>
      <w:tr>
        <w:trPr>
          <w:trHeight w:val="239"/>
        </w:trPr>
        <w:tc>
          <w:tcPr>
            <w:tcW w:w="6080" w:type="dxa"/>
            <w:vAlign w:val="bottom"/>
          </w:tcPr>
          <w:p>
            <w:pPr>
              <w:jc w:val="center"/>
              <w:ind w:right="3437"/>
              <w:spacing w:after="0"/>
              <w:rPr>
                <w:sz w:val="20"/>
                <w:szCs w:val="20"/>
                <w:color w:val="auto"/>
              </w:rPr>
            </w:pPr>
            <w:r>
              <w:rPr>
                <w:rFonts w:ascii="Arial" w:cs="Arial" w:eastAsia="Arial" w:hAnsi="Arial"/>
                <w:sz w:val="16"/>
                <w:szCs w:val="16"/>
                <w:color w:val="auto"/>
                <w:w w:val="93"/>
              </w:rPr>
              <w:t>(State or other jurisdiction of</w:t>
            </w:r>
          </w:p>
        </w:tc>
        <w:tc>
          <w:tcPr>
            <w:tcW w:w="1480" w:type="dxa"/>
            <w:vAlign w:val="bottom"/>
          </w:tcPr>
          <w:p>
            <w:pPr>
              <w:jc w:val="center"/>
              <w:ind w:left="179"/>
              <w:spacing w:after="0"/>
              <w:rPr>
                <w:sz w:val="20"/>
                <w:szCs w:val="20"/>
                <w:color w:val="auto"/>
              </w:rPr>
            </w:pPr>
            <w:r>
              <w:rPr>
                <w:rFonts w:ascii="Arial" w:cs="Arial" w:eastAsia="Arial" w:hAnsi="Arial"/>
                <w:sz w:val="16"/>
                <w:szCs w:val="16"/>
                <w:color w:val="auto"/>
                <w:w w:val="93"/>
              </w:rPr>
              <w:t>(I.R.S. Employer</w:t>
            </w:r>
          </w:p>
        </w:tc>
      </w:tr>
      <w:tr>
        <w:trPr>
          <w:trHeight w:val="206"/>
        </w:trPr>
        <w:tc>
          <w:tcPr>
            <w:tcW w:w="6080" w:type="dxa"/>
            <w:vAlign w:val="bottom"/>
          </w:tcPr>
          <w:p>
            <w:pPr>
              <w:jc w:val="center"/>
              <w:ind w:right="3417"/>
              <w:spacing w:after="0"/>
              <w:rPr>
                <w:sz w:val="20"/>
                <w:szCs w:val="20"/>
                <w:color w:val="auto"/>
              </w:rPr>
            </w:pPr>
            <w:r>
              <w:rPr>
                <w:rFonts w:ascii="Arial" w:cs="Arial" w:eastAsia="Arial" w:hAnsi="Arial"/>
                <w:sz w:val="16"/>
                <w:szCs w:val="16"/>
                <w:color w:val="auto"/>
                <w:w w:val="93"/>
              </w:rPr>
              <w:t>incorporation or organization)</w:t>
            </w:r>
          </w:p>
        </w:tc>
        <w:tc>
          <w:tcPr>
            <w:tcW w:w="1480" w:type="dxa"/>
            <w:vAlign w:val="bottom"/>
          </w:tcPr>
          <w:p>
            <w:pPr>
              <w:jc w:val="center"/>
              <w:ind w:left="179"/>
              <w:spacing w:after="0"/>
              <w:rPr>
                <w:sz w:val="20"/>
                <w:szCs w:val="20"/>
                <w:color w:val="auto"/>
              </w:rPr>
            </w:pPr>
            <w:r>
              <w:rPr>
                <w:rFonts w:ascii="Arial" w:cs="Arial" w:eastAsia="Arial" w:hAnsi="Arial"/>
                <w:sz w:val="16"/>
                <w:szCs w:val="16"/>
                <w:color w:val="auto"/>
                <w:w w:val="97"/>
              </w:rPr>
              <w:t>Identification No.)</w:t>
            </w:r>
          </w:p>
        </w:tc>
      </w:tr>
      <w:tr>
        <w:trPr>
          <w:trHeight w:val="486"/>
        </w:trPr>
        <w:tc>
          <w:tcPr>
            <w:tcW w:w="6080" w:type="dxa"/>
            <w:vAlign w:val="bottom"/>
          </w:tcPr>
          <w:p>
            <w:pPr>
              <w:jc w:val="center"/>
              <w:ind w:right="3417"/>
              <w:spacing w:after="0"/>
              <w:rPr>
                <w:sz w:val="20"/>
                <w:szCs w:val="20"/>
                <w:color w:val="auto"/>
              </w:rPr>
            </w:pPr>
            <w:r>
              <w:rPr>
                <w:rFonts w:ascii="Arial" w:cs="Arial" w:eastAsia="Arial" w:hAnsi="Arial"/>
                <w:sz w:val="16"/>
                <w:szCs w:val="16"/>
                <w:b w:val="1"/>
                <w:bCs w:val="1"/>
                <w:color w:val="auto"/>
                <w:w w:val="89"/>
              </w:rPr>
              <w:t>1111 Lincoln Road, Suite 802</w:t>
            </w:r>
          </w:p>
        </w:tc>
        <w:tc>
          <w:tcPr>
            <w:tcW w:w="1480" w:type="dxa"/>
            <w:vAlign w:val="bottom"/>
          </w:tcPr>
          <w:p>
            <w:pPr>
              <w:spacing w:after="0"/>
              <w:rPr>
                <w:sz w:val="24"/>
                <w:szCs w:val="24"/>
                <w:color w:val="auto"/>
              </w:rPr>
            </w:pPr>
          </w:p>
        </w:tc>
      </w:tr>
      <w:tr>
        <w:trPr>
          <w:trHeight w:val="243"/>
        </w:trPr>
        <w:tc>
          <w:tcPr>
            <w:tcW w:w="6080" w:type="dxa"/>
            <w:vAlign w:val="bottom"/>
          </w:tcPr>
          <w:p>
            <w:pPr>
              <w:jc w:val="center"/>
              <w:ind w:right="3417"/>
              <w:spacing w:after="0"/>
              <w:rPr>
                <w:sz w:val="20"/>
                <w:szCs w:val="20"/>
                <w:color w:val="auto"/>
              </w:rPr>
            </w:pPr>
            <w:r>
              <w:rPr>
                <w:rFonts w:ascii="Arial" w:cs="Arial" w:eastAsia="Arial" w:hAnsi="Arial"/>
                <w:sz w:val="16"/>
                <w:szCs w:val="16"/>
                <w:b w:val="1"/>
                <w:bCs w:val="1"/>
                <w:color w:val="auto"/>
                <w:w w:val="96"/>
              </w:rPr>
              <w:t>Miami Beach, FL</w:t>
            </w:r>
          </w:p>
        </w:tc>
        <w:tc>
          <w:tcPr>
            <w:tcW w:w="1480" w:type="dxa"/>
            <w:vAlign w:val="bottom"/>
          </w:tcPr>
          <w:p>
            <w:pPr>
              <w:jc w:val="right"/>
              <w:ind w:right="319"/>
              <w:spacing w:after="0"/>
              <w:rPr>
                <w:sz w:val="20"/>
                <w:szCs w:val="20"/>
                <w:color w:val="auto"/>
              </w:rPr>
            </w:pPr>
            <w:r>
              <w:rPr>
                <w:rFonts w:ascii="Arial" w:cs="Arial" w:eastAsia="Arial" w:hAnsi="Arial"/>
                <w:sz w:val="16"/>
                <w:szCs w:val="16"/>
                <w:b w:val="1"/>
                <w:bCs w:val="1"/>
                <w:color w:val="auto"/>
              </w:rPr>
              <w:t>33139</w:t>
            </w:r>
          </w:p>
        </w:tc>
      </w:tr>
      <w:tr>
        <w:trPr>
          <w:trHeight w:val="243"/>
        </w:trPr>
        <w:tc>
          <w:tcPr>
            <w:tcW w:w="6080" w:type="dxa"/>
            <w:vAlign w:val="bottom"/>
          </w:tcPr>
          <w:p>
            <w:pPr>
              <w:jc w:val="center"/>
              <w:ind w:right="3417"/>
              <w:spacing w:after="0"/>
              <w:rPr>
                <w:sz w:val="20"/>
                <w:szCs w:val="20"/>
                <w:color w:val="auto"/>
              </w:rPr>
            </w:pPr>
            <w:r>
              <w:rPr>
                <w:rFonts w:ascii="Arial" w:cs="Arial" w:eastAsia="Arial" w:hAnsi="Arial"/>
                <w:sz w:val="16"/>
                <w:szCs w:val="16"/>
                <w:color w:val="auto"/>
                <w:w w:val="94"/>
              </w:rPr>
              <w:t>(Address of principal executive offices)</w:t>
            </w:r>
          </w:p>
        </w:tc>
        <w:tc>
          <w:tcPr>
            <w:tcW w:w="1480" w:type="dxa"/>
            <w:vAlign w:val="bottom"/>
          </w:tcPr>
          <w:p>
            <w:pPr>
              <w:jc w:val="center"/>
              <w:ind w:left="179"/>
              <w:spacing w:after="0"/>
              <w:rPr>
                <w:sz w:val="20"/>
                <w:szCs w:val="20"/>
                <w:color w:val="auto"/>
              </w:rPr>
            </w:pPr>
            <w:r>
              <w:rPr>
                <w:rFonts w:ascii="Arial" w:cs="Arial" w:eastAsia="Arial" w:hAnsi="Arial"/>
                <w:sz w:val="16"/>
                <w:szCs w:val="16"/>
                <w:color w:val="auto"/>
                <w:w w:val="92"/>
              </w:rPr>
              <w:t>(Zip Code)</w:t>
            </w:r>
          </w:p>
        </w:tc>
      </w:tr>
    </w:tbl>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(786) 709-9690</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496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303"/>
        </w:trPr>
        <w:tc>
          <w:tcPr>
            <w:tcW w:w="1560" w:type="dxa"/>
            <w:vAlign w:val="bottom"/>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2180" w:type="dxa"/>
            <w:vAlign w:val="bottom"/>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Trading Symbol(s)</w:t>
            </w:r>
          </w:p>
        </w:tc>
        <w:tc>
          <w:tcPr>
            <w:tcW w:w="1300" w:type="dxa"/>
            <w:vAlign w:val="bottom"/>
          </w:tcPr>
          <w:p>
            <w:pPr>
              <w:spacing w:after="0"/>
              <w:rPr>
                <w:sz w:val="24"/>
                <w:szCs w:val="24"/>
                <w:color w:val="auto"/>
              </w:rPr>
            </w:pPr>
          </w:p>
        </w:tc>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58"/>
        </w:trPr>
        <w:tc>
          <w:tcPr>
            <w:tcW w:w="4960" w:type="dxa"/>
            <w:vAlign w:val="bottom"/>
            <w:gridSpan w:val="3"/>
          </w:tcPr>
          <w:p>
            <w:pPr>
              <w:jc w:val="center"/>
              <w:ind w:right="620"/>
              <w:spacing w:after="0"/>
              <w:rPr>
                <w:sz w:val="20"/>
                <w:szCs w:val="20"/>
                <w:color w:val="auto"/>
              </w:rPr>
            </w:pPr>
            <w:r>
              <w:rPr>
                <w:rFonts w:ascii="Arial" w:cs="Arial" w:eastAsia="Arial" w:hAnsi="Arial"/>
                <w:sz w:val="16"/>
                <w:szCs w:val="16"/>
                <w:color w:val="auto"/>
                <w:w w:val="91"/>
              </w:rPr>
              <w:t>Common Stock, par value $0.001 per share</w:t>
            </w:r>
          </w:p>
        </w:tc>
        <w:tc>
          <w:tcPr>
            <w:tcW w:w="1280" w:type="dxa"/>
            <w:vAlign w:val="bottom"/>
          </w:tcPr>
          <w:p>
            <w:pPr>
              <w:jc w:val="center"/>
              <w:spacing w:after="0"/>
              <w:rPr>
                <w:sz w:val="20"/>
                <w:szCs w:val="20"/>
                <w:color w:val="auto"/>
              </w:rPr>
            </w:pPr>
            <w:r>
              <w:rPr>
                <w:rFonts w:ascii="Arial" w:cs="Arial" w:eastAsia="Arial" w:hAnsi="Arial"/>
                <w:sz w:val="16"/>
                <w:szCs w:val="16"/>
                <w:color w:val="auto"/>
                <w:w w:val="96"/>
              </w:rPr>
              <w:t>AIRS</w:t>
            </w:r>
          </w:p>
        </w:tc>
        <w:tc>
          <w:tcPr>
            <w:tcW w:w="1300" w:type="dxa"/>
            <w:vAlign w:val="bottom"/>
          </w:tcPr>
          <w:p>
            <w:pPr>
              <w:spacing w:after="0"/>
              <w:rPr>
                <w:sz w:val="22"/>
                <w:szCs w:val="22"/>
                <w:color w:val="auto"/>
              </w:rPr>
            </w:pPr>
          </w:p>
        </w:tc>
        <w:tc>
          <w:tcPr>
            <w:tcW w:w="3000" w:type="dxa"/>
            <w:vAlign w:val="bottom"/>
          </w:tcPr>
          <w:p>
            <w:pPr>
              <w:jc w:val="center"/>
              <w:spacing w:after="0"/>
              <w:rPr>
                <w:sz w:val="20"/>
                <w:szCs w:val="20"/>
                <w:color w:val="auto"/>
              </w:rPr>
            </w:pPr>
            <w:r>
              <w:rPr>
                <w:rFonts w:ascii="Arial" w:cs="Arial" w:eastAsia="Arial" w:hAnsi="Arial"/>
                <w:sz w:val="16"/>
                <w:szCs w:val="16"/>
                <w:color w:val="auto"/>
                <w:w w:val="92"/>
              </w:rPr>
              <w:t>The Nasdaq Global Market</w:t>
            </w:r>
          </w:p>
        </w:tc>
      </w:tr>
    </w:tbl>
    <w:p>
      <w:pPr>
        <w:spacing w:after="0" w:line="226"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88" w:lineRule="exact"/>
        <w:rPr>
          <w:sz w:val="24"/>
          <w:szCs w:val="24"/>
          <w:color w:val="auto"/>
        </w:rPr>
      </w:pPr>
    </w:p>
    <w:p>
      <w:pPr>
        <w:jc w:val="both"/>
        <w:spacing w:after="0" w:line="309"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1"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4" w:lineRule="exact"/>
        <w:rPr>
          <w:sz w:val="24"/>
          <w:szCs w:val="24"/>
          <w:color w:val="auto"/>
        </w:rPr>
      </w:pPr>
    </w:p>
    <w:tbl>
      <w:tblPr>
        <w:tblLayout w:type="fixed"/>
        <w:tblInd w:w="2140" w:type="dxa"/>
        <w:tblCellMar>
          <w:top w:w="0" w:type="dxa"/>
          <w:left w:w="0" w:type="dxa"/>
          <w:bottom w:w="0" w:type="dxa"/>
          <w:right w:w="0" w:type="dxa"/>
        </w:tblCellMar>
      </w:tblPr>
      <w:tr>
        <w:trPr>
          <w:trHeight w:val="207"/>
        </w:trPr>
        <w:tc>
          <w:tcPr>
            <w:tcW w:w="1640" w:type="dxa"/>
            <w:vAlign w:val="bottom"/>
          </w:tcPr>
          <w:p>
            <w:pPr>
              <w:jc w:val="center"/>
              <w:ind w:right="99"/>
              <w:spacing w:after="0"/>
              <w:rPr>
                <w:sz w:val="20"/>
                <w:szCs w:val="20"/>
                <w:color w:val="auto"/>
              </w:rPr>
            </w:pPr>
            <w:r>
              <w:rPr>
                <w:rFonts w:ascii="Arial" w:cs="Arial" w:eastAsia="Arial" w:hAnsi="Arial"/>
                <w:sz w:val="16"/>
                <w:szCs w:val="16"/>
                <w:color w:val="auto"/>
                <w:w w:val="92"/>
              </w:rPr>
              <w:t>Large accelerated filer</w:t>
            </w:r>
          </w:p>
        </w:tc>
        <w:tc>
          <w:tcPr>
            <w:tcW w:w="1700" w:type="dxa"/>
            <w:vAlign w:val="bottom"/>
          </w:tcPr>
          <w:p>
            <w:pPr>
              <w:ind w:left="180"/>
              <w:spacing w:after="0"/>
              <w:rPr>
                <w:sz w:val="20"/>
                <w:szCs w:val="20"/>
                <w:color w:val="auto"/>
              </w:rPr>
            </w:pPr>
            <w:r>
              <w:rPr>
                <w:rFonts w:ascii="Arial" w:cs="Arial" w:eastAsia="Arial" w:hAnsi="Arial"/>
                <w:sz w:val="16"/>
                <w:szCs w:val="16"/>
                <w:color w:val="auto"/>
              </w:rPr>
              <w:t>o</w:t>
            </w:r>
          </w:p>
        </w:tc>
        <w:tc>
          <w:tcPr>
            <w:tcW w:w="3400" w:type="dxa"/>
            <w:vAlign w:val="bottom"/>
          </w:tcPr>
          <w:p>
            <w:pPr>
              <w:jc w:val="center"/>
              <w:ind w:left="1099"/>
              <w:spacing w:after="0"/>
              <w:rPr>
                <w:sz w:val="20"/>
                <w:szCs w:val="20"/>
                <w:color w:val="auto"/>
              </w:rPr>
            </w:pPr>
            <w:r>
              <w:rPr>
                <w:rFonts w:ascii="Arial" w:cs="Arial" w:eastAsia="Arial" w:hAnsi="Arial"/>
                <w:sz w:val="16"/>
                <w:szCs w:val="16"/>
                <w:color w:val="auto"/>
                <w:w w:val="95"/>
              </w:rPr>
              <w:t>Accelerated filer</w:t>
            </w:r>
          </w:p>
        </w:tc>
        <w:tc>
          <w:tcPr>
            <w:tcW w:w="300" w:type="dxa"/>
            <w:vAlign w:val="bottom"/>
          </w:tcPr>
          <w:p>
            <w:pPr>
              <w:ind w:left="200"/>
              <w:spacing w:after="0"/>
              <w:rPr>
                <w:sz w:val="20"/>
                <w:szCs w:val="20"/>
                <w:color w:val="auto"/>
              </w:rPr>
            </w:pPr>
            <w:r>
              <w:rPr>
                <w:rFonts w:ascii="Arial" w:cs="Arial" w:eastAsia="Arial" w:hAnsi="Arial"/>
                <w:sz w:val="16"/>
                <w:szCs w:val="16"/>
                <w:color w:val="auto"/>
                <w:w w:val="89"/>
              </w:rPr>
              <w:t>o</w:t>
            </w:r>
          </w:p>
        </w:tc>
      </w:tr>
      <w:tr>
        <w:trPr>
          <w:trHeight w:val="243"/>
        </w:trPr>
        <w:tc>
          <w:tcPr>
            <w:tcW w:w="1640" w:type="dxa"/>
            <w:vAlign w:val="bottom"/>
          </w:tcPr>
          <w:p>
            <w:pPr>
              <w:jc w:val="center"/>
              <w:ind w:right="79"/>
              <w:spacing w:after="0"/>
              <w:rPr>
                <w:sz w:val="20"/>
                <w:szCs w:val="20"/>
                <w:color w:val="auto"/>
              </w:rPr>
            </w:pPr>
            <w:r>
              <w:rPr>
                <w:rFonts w:ascii="Arial" w:cs="Arial" w:eastAsia="Arial" w:hAnsi="Arial"/>
                <w:sz w:val="16"/>
                <w:szCs w:val="16"/>
                <w:color w:val="auto"/>
                <w:w w:val="92"/>
              </w:rPr>
              <w:t>Non-accelerated filer</w:t>
            </w:r>
          </w:p>
        </w:tc>
        <w:tc>
          <w:tcPr>
            <w:tcW w:w="1700" w:type="dxa"/>
            <w:vAlign w:val="bottom"/>
          </w:tcPr>
          <w:p>
            <w:pPr>
              <w:ind w:left="180"/>
              <w:spacing w:after="0"/>
              <w:rPr>
                <w:sz w:val="20"/>
                <w:szCs w:val="20"/>
                <w:color w:val="auto"/>
              </w:rPr>
            </w:pPr>
            <w:r>
              <w:rPr>
                <w:rFonts w:ascii="Arial" w:cs="Arial" w:eastAsia="Arial" w:hAnsi="Arial"/>
                <w:sz w:val="16"/>
                <w:szCs w:val="16"/>
                <w:color w:val="auto"/>
              </w:rPr>
              <w:t>x</w:t>
            </w:r>
          </w:p>
        </w:tc>
        <w:tc>
          <w:tcPr>
            <w:tcW w:w="3400" w:type="dxa"/>
            <w:vAlign w:val="bottom"/>
          </w:tcPr>
          <w:p>
            <w:pPr>
              <w:jc w:val="center"/>
              <w:ind w:left="1099"/>
              <w:spacing w:after="0"/>
              <w:rPr>
                <w:sz w:val="20"/>
                <w:szCs w:val="20"/>
                <w:color w:val="auto"/>
              </w:rPr>
            </w:pPr>
            <w:r>
              <w:rPr>
                <w:rFonts w:ascii="Arial" w:cs="Arial" w:eastAsia="Arial" w:hAnsi="Arial"/>
                <w:sz w:val="16"/>
                <w:szCs w:val="16"/>
                <w:color w:val="auto"/>
                <w:w w:val="93"/>
              </w:rPr>
              <w:t>Smaller reporting company</w:t>
            </w:r>
          </w:p>
        </w:tc>
        <w:tc>
          <w:tcPr>
            <w:tcW w:w="300" w:type="dxa"/>
            <w:vAlign w:val="bottom"/>
          </w:tcPr>
          <w:p>
            <w:pPr>
              <w:ind w:left="200"/>
              <w:spacing w:after="0"/>
              <w:rPr>
                <w:sz w:val="20"/>
                <w:szCs w:val="20"/>
                <w:color w:val="auto"/>
              </w:rPr>
            </w:pPr>
            <w:r>
              <w:rPr>
                <w:rFonts w:ascii="Arial" w:cs="Arial" w:eastAsia="Arial" w:hAnsi="Arial"/>
                <w:sz w:val="16"/>
                <w:szCs w:val="16"/>
                <w:color w:val="auto"/>
                <w:w w:val="99"/>
              </w:rPr>
              <w:t>x</w:t>
            </w:r>
          </w:p>
        </w:tc>
      </w:tr>
      <w:tr>
        <w:trPr>
          <w:trHeight w:val="243"/>
        </w:trPr>
        <w:tc>
          <w:tcPr>
            <w:tcW w:w="16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3400" w:type="dxa"/>
            <w:vAlign w:val="bottom"/>
          </w:tcPr>
          <w:p>
            <w:pPr>
              <w:jc w:val="center"/>
              <w:ind w:left="1099"/>
              <w:spacing w:after="0"/>
              <w:rPr>
                <w:sz w:val="20"/>
                <w:szCs w:val="20"/>
                <w:color w:val="auto"/>
              </w:rPr>
            </w:pPr>
            <w:r>
              <w:rPr>
                <w:rFonts w:ascii="Arial" w:cs="Arial" w:eastAsia="Arial" w:hAnsi="Arial"/>
                <w:sz w:val="16"/>
                <w:szCs w:val="16"/>
                <w:color w:val="auto"/>
                <w:w w:val="93"/>
              </w:rPr>
              <w:t>Emerging growth company</w:t>
            </w:r>
          </w:p>
        </w:tc>
        <w:tc>
          <w:tcPr>
            <w:tcW w:w="300" w:type="dxa"/>
            <w:vAlign w:val="bottom"/>
          </w:tcPr>
          <w:p>
            <w:pPr>
              <w:ind w:left="200"/>
              <w:spacing w:after="0"/>
              <w:rPr>
                <w:sz w:val="20"/>
                <w:szCs w:val="20"/>
                <w:color w:val="auto"/>
              </w:rPr>
            </w:pPr>
            <w:r>
              <w:rPr>
                <w:rFonts w:ascii="Arial" w:cs="Arial" w:eastAsia="Arial" w:hAnsi="Arial"/>
                <w:sz w:val="16"/>
                <w:szCs w:val="16"/>
                <w:color w:val="auto"/>
                <w:w w:val="99"/>
              </w:rPr>
              <w:t>x</w:t>
            </w:r>
          </w:p>
        </w:tc>
      </w:tr>
    </w:tbl>
    <w:p>
      <w:pPr>
        <w:spacing w:after="0" w:line="158" w:lineRule="exact"/>
        <w:rPr>
          <w:sz w:val="24"/>
          <w:szCs w:val="24"/>
          <w:color w:val="auto"/>
        </w:rPr>
      </w:pPr>
    </w:p>
    <w:p>
      <w:pPr>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15" w:lineRule="exact"/>
        <w:rPr>
          <w:sz w:val="24"/>
          <w:szCs w:val="24"/>
          <w:color w:val="auto"/>
        </w:rPr>
      </w:pPr>
    </w:p>
    <w:p>
      <w:pPr>
        <w:ind w:right="2980"/>
        <w:spacing w:after="0" w:line="279"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registrant had 57,355,676 shares of common stock outstanding as of November 10,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565785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40" w:type="dxa"/>
            <w:vAlign w:val="bottom"/>
            <w:gridSpan w:val="9"/>
          </w:tcPr>
          <w:p>
            <w:pPr>
              <w:ind w:left="1300"/>
              <w:spacing w:after="0"/>
              <w:rPr>
                <w:sz w:val="20"/>
                <w:szCs w:val="20"/>
                <w:color w:val="auto"/>
              </w:rPr>
            </w:pPr>
            <w:r>
              <w:rPr>
                <w:rFonts w:ascii="Arial" w:cs="Arial" w:eastAsia="Arial" w:hAnsi="Arial"/>
                <w:sz w:val="18"/>
                <w:szCs w:val="18"/>
                <w:b w:val="1"/>
                <w:bCs w:val="1"/>
                <w:color w:val="auto"/>
              </w:rPr>
              <w:t>TABLE OF CONTENTS</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25"/>
          </w:tcPr>
          <w:p>
            <w:pPr>
              <w:spacing w:after="0"/>
              <w:rPr>
                <w:sz w:val="20"/>
                <w:szCs w:val="20"/>
                <w:color w:val="auto"/>
              </w:rPr>
            </w:pPr>
            <w:r>
              <w:rPr>
                <w:rFonts w:ascii="Arial" w:cs="Arial" w:eastAsia="Arial" w:hAnsi="Arial"/>
                <w:sz w:val="18"/>
                <w:szCs w:val="18"/>
                <w:b w:val="1"/>
                <w:bCs w:val="1"/>
                <w:color w:val="0000FF"/>
              </w:rPr>
              <w:t>PART I FINANCIAL INFORMATION</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0"/>
                <w:szCs w:val="20"/>
                <w:color w:val="auto"/>
              </w:rPr>
            </w:pPr>
            <w:r>
              <w:rPr>
                <w:rFonts w:ascii="Arial" w:cs="Arial" w:eastAsia="Arial" w:hAnsi="Arial"/>
                <w:sz w:val="18"/>
                <w:szCs w:val="18"/>
                <w:color w:val="0000FF"/>
                <w:w w:val="90"/>
              </w:rPr>
              <w:t>Item 1.</w:t>
            </w:r>
          </w:p>
        </w:tc>
        <w:tc>
          <w:tcPr>
            <w:tcW w:w="500" w:type="dxa"/>
            <w:vAlign w:val="bottom"/>
            <w:tcBorders>
              <w:top w:val="single" w:sz="8" w:color="0000FF"/>
            </w:tcBorders>
            <w:gridSpan w:val="4"/>
          </w:tcPr>
          <w:p>
            <w:pPr>
              <w:spacing w:after="0"/>
              <w:rPr>
                <w:sz w:val="24"/>
                <w:szCs w:val="24"/>
                <w:color w:val="auto"/>
              </w:rPr>
            </w:pPr>
          </w:p>
        </w:tc>
        <w:tc>
          <w:tcPr>
            <w:tcW w:w="2000" w:type="dxa"/>
            <w:vAlign w:val="bottom"/>
            <w:tcBorders>
              <w:top w:val="single" w:sz="8" w:color="0000FF"/>
            </w:tcBorders>
            <w:gridSpan w:val="9"/>
          </w:tcPr>
          <w:p>
            <w:pPr>
              <w:spacing w:after="0"/>
              <w:rPr>
                <w:sz w:val="20"/>
                <w:szCs w:val="20"/>
                <w:color w:val="auto"/>
              </w:rPr>
            </w:pPr>
            <w:r>
              <w:rPr>
                <w:rFonts w:ascii="Arial" w:cs="Arial" w:eastAsia="Arial" w:hAnsi="Arial"/>
                <w:sz w:val="18"/>
                <w:szCs w:val="18"/>
                <w:color w:val="0000FF"/>
              </w:rPr>
              <w:t>Financial Statements</w:t>
            </w:r>
          </w:p>
        </w:tc>
        <w:tc>
          <w:tcPr>
            <w:tcW w:w="7360" w:type="dxa"/>
            <w:vAlign w:val="bottom"/>
            <w:gridSpan w:val="11"/>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360" w:type="dxa"/>
            <w:vAlign w:val="bottom"/>
            <w:gridSpan w:val="20"/>
          </w:tcPr>
          <w:p>
            <w:pPr>
              <w:spacing w:after="0"/>
              <w:rPr>
                <w:sz w:val="20"/>
                <w:szCs w:val="20"/>
                <w:color w:val="auto"/>
              </w:rPr>
            </w:pPr>
            <w:r>
              <w:rPr>
                <w:rFonts w:ascii="Arial" w:cs="Arial" w:eastAsia="Arial" w:hAnsi="Arial"/>
                <w:sz w:val="18"/>
                <w:szCs w:val="18"/>
                <w:color w:val="0000FF"/>
              </w:rPr>
              <w:t>Condensed Consolidated Balance Sheets as of September 30, 2023 (Unaudited) and December 31, 2022</w:t>
            </w: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360" w:type="dxa"/>
            <w:vAlign w:val="bottom"/>
            <w:gridSpan w:val="20"/>
          </w:tcPr>
          <w:p>
            <w:pPr>
              <w:spacing w:after="0"/>
              <w:rPr>
                <w:sz w:val="20"/>
                <w:szCs w:val="20"/>
                <w:color w:val="auto"/>
              </w:rPr>
            </w:pPr>
            <w:r>
              <w:rPr>
                <w:rFonts w:ascii="Arial" w:cs="Arial" w:eastAsia="Arial" w:hAnsi="Arial"/>
                <w:sz w:val="18"/>
                <w:szCs w:val="18"/>
                <w:color w:val="0000FF"/>
                <w:w w:val="96"/>
              </w:rPr>
              <w:t>Condensed Consolidated Statements of Operations for the Three and Nine Months Ended September 30, 2023 and 2022</w:t>
            </w:r>
          </w:p>
        </w:tc>
        <w:tc>
          <w:tcPr>
            <w:tcW w:w="840" w:type="dxa"/>
            <w:vAlign w:val="bottom"/>
            <w:vMerge w:val="restart"/>
          </w:tcPr>
          <w:p>
            <w:pPr>
              <w:jc w:val="center"/>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40" w:type="dxa"/>
            <w:vAlign w:val="bottom"/>
            <w:tcBorders>
              <w:top w:val="single" w:sz="8" w:color="0000FF"/>
            </w:tcBorders>
            <w:gridSpan w:val="16"/>
          </w:tcPr>
          <w:p>
            <w:pPr>
              <w:spacing w:after="0" w:line="182" w:lineRule="exact"/>
              <w:rPr>
                <w:sz w:val="20"/>
                <w:szCs w:val="20"/>
                <w:color w:val="auto"/>
              </w:rPr>
            </w:pPr>
            <w:r>
              <w:rPr>
                <w:rFonts w:ascii="Arial" w:cs="Arial" w:eastAsia="Arial" w:hAnsi="Arial"/>
                <w:sz w:val="18"/>
                <w:szCs w:val="18"/>
                <w:color w:val="0000FF"/>
              </w:rPr>
              <w:t>(Unaudited)</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360" w:type="dxa"/>
            <w:vAlign w:val="bottom"/>
            <w:gridSpan w:val="20"/>
          </w:tcPr>
          <w:p>
            <w:pPr>
              <w:spacing w:after="0"/>
              <w:rPr>
                <w:sz w:val="20"/>
                <w:szCs w:val="20"/>
                <w:color w:val="auto"/>
              </w:rPr>
            </w:pPr>
            <w:r>
              <w:rPr>
                <w:rFonts w:ascii="Arial" w:cs="Arial" w:eastAsia="Arial" w:hAnsi="Arial"/>
                <w:sz w:val="18"/>
                <w:szCs w:val="18"/>
                <w:color w:val="0000FF"/>
                <w:w w:val="91"/>
              </w:rPr>
              <w:t>Condensed Consolidated Statements of Other Comprehensive Income/(Loss) for the Three and Nine Months Ended September</w:t>
            </w:r>
          </w:p>
        </w:tc>
        <w:tc>
          <w:tcPr>
            <w:tcW w:w="840" w:type="dxa"/>
            <w:vAlign w:val="bottom"/>
            <w:vMerge w:val="restart"/>
          </w:tcPr>
          <w:p>
            <w:pPr>
              <w:jc w:val="center"/>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60" w:type="dxa"/>
            <w:vAlign w:val="bottom"/>
            <w:tcBorders>
              <w:top w:val="single" w:sz="8" w:color="0000FF"/>
              <w:bottom w:val="single" w:sz="8" w:color="0000FF"/>
            </w:tcBorders>
            <w:gridSpan w:val="10"/>
          </w:tcPr>
          <w:p>
            <w:pPr>
              <w:spacing w:after="0" w:line="182" w:lineRule="exact"/>
              <w:rPr>
                <w:sz w:val="20"/>
                <w:szCs w:val="20"/>
                <w:color w:val="auto"/>
              </w:rPr>
            </w:pPr>
            <w:r>
              <w:rPr>
                <w:rFonts w:ascii="Arial" w:cs="Arial" w:eastAsia="Arial" w:hAnsi="Arial"/>
                <w:sz w:val="18"/>
                <w:szCs w:val="18"/>
                <w:color w:val="0000FF"/>
                <w:w w:val="89"/>
              </w:rPr>
              <w:t>30, 2023 and 2022 (Unaudited)</w:t>
            </w:r>
          </w:p>
        </w:tc>
        <w:tc>
          <w:tcPr>
            <w:tcW w:w="6880" w:type="dxa"/>
            <w:vAlign w:val="bottom"/>
            <w:tcBorders>
              <w:top w:val="single" w:sz="8" w:color="0000FF"/>
            </w:tcBorders>
            <w:gridSpan w:val="9"/>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360" w:type="dxa"/>
            <w:vAlign w:val="bottom"/>
            <w:gridSpan w:val="20"/>
          </w:tcPr>
          <w:p>
            <w:pPr>
              <w:spacing w:after="0"/>
              <w:rPr>
                <w:sz w:val="20"/>
                <w:szCs w:val="20"/>
                <w:color w:val="auto"/>
              </w:rPr>
            </w:pPr>
            <w:r>
              <w:rPr>
                <w:rFonts w:ascii="Arial" w:cs="Arial" w:eastAsia="Arial" w:hAnsi="Arial"/>
                <w:sz w:val="18"/>
                <w:szCs w:val="18"/>
                <w:color w:val="0000FF"/>
                <w:w w:val="92"/>
              </w:rPr>
              <w:t>Condensed Consolidated Statements of Changes in Stockholders' Equity for the Three and Nine Months Ended September 30,</w:t>
            </w:r>
          </w:p>
        </w:tc>
        <w:tc>
          <w:tcPr>
            <w:tcW w:w="840" w:type="dxa"/>
            <w:vAlign w:val="bottom"/>
            <w:vMerge w:val="restart"/>
          </w:tcPr>
          <w:p>
            <w:pPr>
              <w:jc w:val="center"/>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80" w:type="dxa"/>
            <w:vAlign w:val="bottom"/>
            <w:tcBorders>
              <w:top w:val="single" w:sz="8" w:color="0000FF"/>
            </w:tcBorders>
            <w:gridSpan w:val="18"/>
          </w:tcPr>
          <w:p>
            <w:pPr>
              <w:spacing w:after="0" w:line="182" w:lineRule="exact"/>
              <w:rPr>
                <w:sz w:val="20"/>
                <w:szCs w:val="20"/>
                <w:color w:val="auto"/>
              </w:rPr>
            </w:pPr>
            <w:r>
              <w:rPr>
                <w:rFonts w:ascii="Arial" w:cs="Arial" w:eastAsia="Arial" w:hAnsi="Arial"/>
                <w:sz w:val="18"/>
                <w:szCs w:val="18"/>
                <w:color w:val="0000FF"/>
              </w:rPr>
              <w:t>2023 and 2022 (Unaudited)</w:t>
            </w:r>
          </w:p>
        </w:tc>
        <w:tc>
          <w:tcPr>
            <w:tcW w:w="280" w:type="dxa"/>
            <w:vAlign w:val="bottom"/>
            <w:gridSpan w:val="2"/>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4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89"/>
              </w:rPr>
              <w:t>Condensed Consolidated Statements of Cash Flows for the Nine Months Ended September 30, 2023 and 2022 (Unaudited)</w:t>
            </w:r>
          </w:p>
        </w:tc>
        <w:tc>
          <w:tcPr>
            <w:tcW w:w="520" w:type="dxa"/>
            <w:vAlign w:val="bottom"/>
            <w:gridSpan w:val="3"/>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360" w:type="dxa"/>
            <w:vAlign w:val="bottom"/>
            <w:gridSpan w:val="20"/>
          </w:tcPr>
          <w:p>
            <w:pPr>
              <w:spacing w:after="0"/>
              <w:rPr>
                <w:sz w:val="20"/>
                <w:szCs w:val="20"/>
                <w:color w:val="auto"/>
              </w:rPr>
            </w:pPr>
            <w:r>
              <w:rPr>
                <w:rFonts w:ascii="Arial" w:cs="Arial" w:eastAsia="Arial" w:hAnsi="Arial"/>
                <w:sz w:val="18"/>
                <w:szCs w:val="18"/>
                <w:color w:val="0000FF"/>
              </w:rPr>
              <w:t>Notes to Condensed Consolidated Financial Statements (Unaudited</w:t>
            </w:r>
            <w:r>
              <w:rPr>
                <w:rFonts w:ascii="Arial" w:cs="Arial" w:eastAsia="Arial" w:hAnsi="Arial"/>
                <w:sz w:val="18"/>
                <w:szCs w:val="18"/>
                <w:color w:val="000000"/>
              </w:rPr>
              <w:t>)</w:t>
            </w: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90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40" w:type="dxa"/>
            <w:vAlign w:val="bottom"/>
            <w:gridSpan w:val="3"/>
          </w:tcPr>
          <w:p>
            <w:pPr>
              <w:spacing w:after="0"/>
              <w:rPr>
                <w:sz w:val="20"/>
                <w:szCs w:val="20"/>
                <w:color w:val="auto"/>
              </w:rPr>
            </w:pPr>
            <w:r>
              <w:rPr>
                <w:rFonts w:ascii="Arial" w:cs="Arial" w:eastAsia="Arial" w:hAnsi="Arial"/>
                <w:sz w:val="18"/>
                <w:szCs w:val="18"/>
                <w:color w:val="0000FF"/>
              </w:rPr>
              <w:t>Item 2.</w:t>
            </w:r>
          </w:p>
        </w:tc>
        <w:tc>
          <w:tcPr>
            <w:tcW w:w="380" w:type="dxa"/>
            <w:vAlign w:val="bottom"/>
            <w:gridSpan w:val="2"/>
          </w:tcPr>
          <w:p>
            <w:pPr>
              <w:spacing w:after="0"/>
              <w:rPr>
                <w:sz w:val="20"/>
                <w:szCs w:val="20"/>
                <w:color w:val="auto"/>
              </w:rPr>
            </w:pPr>
          </w:p>
        </w:tc>
        <w:tc>
          <w:tcPr>
            <w:tcW w:w="9360" w:type="dxa"/>
            <w:vAlign w:val="bottom"/>
            <w:gridSpan w:val="20"/>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290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40" w:type="dxa"/>
            <w:vAlign w:val="bottom"/>
            <w:gridSpan w:val="2"/>
          </w:tcPr>
          <w:p>
            <w:pPr>
              <w:spacing w:after="0"/>
              <w:rPr>
                <w:sz w:val="20"/>
                <w:szCs w:val="20"/>
                <w:color w:val="auto"/>
              </w:rPr>
            </w:pPr>
            <w:r>
              <w:rPr>
                <w:rFonts w:ascii="Arial" w:cs="Arial" w:eastAsia="Arial" w:hAnsi="Arial"/>
                <w:sz w:val="18"/>
                <w:szCs w:val="18"/>
                <w:color w:val="0000FF"/>
                <w:w w:val="94"/>
              </w:rPr>
              <w:t>Item 3.</w:t>
            </w:r>
          </w:p>
        </w:tc>
        <w:tc>
          <w:tcPr>
            <w:tcW w:w="100" w:type="dxa"/>
            <w:vAlign w:val="bottom"/>
          </w:tcPr>
          <w:p>
            <w:pPr>
              <w:spacing w:after="0"/>
              <w:rPr>
                <w:sz w:val="20"/>
                <w:szCs w:val="20"/>
                <w:color w:val="auto"/>
              </w:rPr>
            </w:pPr>
          </w:p>
        </w:tc>
        <w:tc>
          <w:tcPr>
            <w:tcW w:w="380" w:type="dxa"/>
            <w:vAlign w:val="bottom"/>
            <w:gridSpan w:val="2"/>
          </w:tcPr>
          <w:p>
            <w:pPr>
              <w:spacing w:after="0"/>
              <w:rPr>
                <w:sz w:val="20"/>
                <w:szCs w:val="20"/>
                <w:color w:val="auto"/>
              </w:rPr>
            </w:pPr>
          </w:p>
        </w:tc>
        <w:tc>
          <w:tcPr>
            <w:tcW w:w="9360" w:type="dxa"/>
            <w:vAlign w:val="bottom"/>
            <w:gridSpan w:val="20"/>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020" w:type="dxa"/>
            <w:vAlign w:val="bottom"/>
            <w:tcBorders>
              <w:left w:val="single" w:sz="8" w:color="0000FF"/>
            </w:tcBorders>
            <w:gridSpan w:val="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Arial" w:cs="Arial" w:eastAsia="Arial" w:hAnsi="Arial"/>
                <w:sz w:val="18"/>
                <w:szCs w:val="18"/>
                <w:color w:val="0000FF"/>
                <w:w w:val="90"/>
              </w:rPr>
              <w:t>Item 4.</w:t>
            </w:r>
          </w:p>
        </w:tc>
        <w:tc>
          <w:tcPr>
            <w:tcW w:w="20" w:type="dxa"/>
            <w:vAlign w:val="bottom"/>
          </w:tcPr>
          <w:p>
            <w:pPr>
              <w:spacing w:after="0"/>
              <w:rPr>
                <w:sz w:val="20"/>
                <w:szCs w:val="20"/>
                <w:color w:val="auto"/>
              </w:rPr>
            </w:pPr>
          </w:p>
        </w:tc>
        <w:tc>
          <w:tcPr>
            <w:tcW w:w="480" w:type="dxa"/>
            <w:vAlign w:val="bottom"/>
            <w:gridSpan w:val="3"/>
          </w:tcPr>
          <w:p>
            <w:pPr>
              <w:spacing w:after="0"/>
              <w:rPr>
                <w:sz w:val="20"/>
                <w:szCs w:val="20"/>
                <w:color w:val="auto"/>
              </w:rPr>
            </w:pPr>
          </w:p>
        </w:tc>
        <w:tc>
          <w:tcPr>
            <w:tcW w:w="9360" w:type="dxa"/>
            <w:vAlign w:val="bottom"/>
            <w:gridSpan w:val="20"/>
          </w:tcPr>
          <w:p>
            <w:pPr>
              <w:spacing w:after="0"/>
              <w:rPr>
                <w:sz w:val="20"/>
                <w:szCs w:val="20"/>
                <w:color w:val="auto"/>
              </w:rPr>
            </w:pPr>
            <w:r>
              <w:rPr>
                <w:rFonts w:ascii="Arial" w:cs="Arial" w:eastAsia="Arial" w:hAnsi="Arial"/>
                <w:sz w:val="18"/>
                <w:szCs w:val="18"/>
                <w:color w:val="0000FF"/>
              </w:rPr>
              <w:t>Controls and Procedures</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020" w:type="dxa"/>
            <w:vAlign w:val="bottom"/>
            <w:gridSpan w:val="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10380" w:type="dxa"/>
            <w:vAlign w:val="bottom"/>
            <w:gridSpan w:val="25"/>
          </w:tcPr>
          <w:p>
            <w:pPr>
              <w:spacing w:after="0"/>
              <w:rPr>
                <w:sz w:val="20"/>
                <w:szCs w:val="20"/>
                <w:color w:val="auto"/>
              </w:rPr>
            </w:pPr>
            <w:r>
              <w:rPr>
                <w:rFonts w:ascii="Arial" w:cs="Arial" w:eastAsia="Arial" w:hAnsi="Arial"/>
                <w:sz w:val="18"/>
                <w:szCs w:val="18"/>
                <w:b w:val="1"/>
                <w:bCs w:val="1"/>
                <w:color w:val="0000FF"/>
              </w:rPr>
              <w:t>PART II OTHER INFORMATION</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4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0000FF"/>
              </w:rPr>
              <w:t>Item 1.</w:t>
            </w:r>
          </w:p>
        </w:tc>
        <w:tc>
          <w:tcPr>
            <w:tcW w:w="380" w:type="dxa"/>
            <w:vAlign w:val="bottom"/>
            <w:tcBorders>
              <w:top w:val="single" w:sz="8" w:color="0000FF"/>
            </w:tcBorders>
            <w:gridSpan w:val="2"/>
          </w:tcPr>
          <w:p>
            <w:pPr>
              <w:spacing w:after="0"/>
              <w:rPr>
                <w:sz w:val="20"/>
                <w:szCs w:val="20"/>
                <w:color w:val="auto"/>
              </w:rPr>
            </w:pPr>
          </w:p>
        </w:tc>
        <w:tc>
          <w:tcPr>
            <w:tcW w:w="176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0000FF"/>
              </w:rPr>
              <w:t>Legal Proceedings</w:t>
            </w:r>
          </w:p>
        </w:tc>
        <w:tc>
          <w:tcPr>
            <w:tcW w:w="7600" w:type="dxa"/>
            <w:vAlign w:val="bottom"/>
            <w:gridSpan w:val="13"/>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6"/>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020" w:type="dxa"/>
            <w:vAlign w:val="bottom"/>
            <w:gridSpan w:val="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020" w:type="dxa"/>
            <w:vAlign w:val="bottom"/>
            <w:gridSpan w:val="5"/>
          </w:tcPr>
          <w:p>
            <w:pPr>
              <w:spacing w:after="0"/>
              <w:rPr>
                <w:sz w:val="20"/>
                <w:szCs w:val="20"/>
                <w:color w:val="auto"/>
              </w:rPr>
            </w:pPr>
            <w:r>
              <w:rPr>
                <w:rFonts w:ascii="Arial" w:cs="Arial" w:eastAsia="Arial" w:hAnsi="Arial"/>
                <w:sz w:val="18"/>
                <w:szCs w:val="18"/>
                <w:color w:val="0000FF"/>
              </w:rPr>
              <w:t>Item 1A.</w:t>
            </w:r>
          </w:p>
        </w:tc>
        <w:tc>
          <w:tcPr>
            <w:tcW w:w="9360" w:type="dxa"/>
            <w:vAlign w:val="bottom"/>
            <w:gridSpan w:val="20"/>
          </w:tcPr>
          <w:p>
            <w:pPr>
              <w:spacing w:after="0"/>
              <w:rPr>
                <w:sz w:val="20"/>
                <w:szCs w:val="20"/>
                <w:color w:val="auto"/>
              </w:rPr>
            </w:pPr>
            <w:r>
              <w:rPr>
                <w:rFonts w:ascii="Arial" w:cs="Arial" w:eastAsia="Arial" w:hAnsi="Arial"/>
                <w:sz w:val="18"/>
                <w:szCs w:val="18"/>
                <w:color w:val="0000FF"/>
              </w:rPr>
              <w:t>Risk Factors</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020" w:type="dxa"/>
            <w:vAlign w:val="bottom"/>
            <w:gridSpan w:val="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40" w:type="dxa"/>
            <w:vAlign w:val="bottom"/>
            <w:gridSpan w:val="2"/>
          </w:tcPr>
          <w:p>
            <w:pPr>
              <w:spacing w:after="0"/>
              <w:rPr>
                <w:sz w:val="20"/>
                <w:szCs w:val="20"/>
                <w:color w:val="auto"/>
              </w:rPr>
            </w:pPr>
            <w:r>
              <w:rPr>
                <w:rFonts w:ascii="Arial" w:cs="Arial" w:eastAsia="Arial" w:hAnsi="Arial"/>
                <w:sz w:val="18"/>
                <w:szCs w:val="18"/>
                <w:color w:val="0000FF"/>
                <w:w w:val="94"/>
              </w:rPr>
              <w:t>Item 2.</w:t>
            </w:r>
          </w:p>
        </w:tc>
        <w:tc>
          <w:tcPr>
            <w:tcW w:w="100" w:type="dxa"/>
            <w:vAlign w:val="bottom"/>
          </w:tcPr>
          <w:p>
            <w:pPr>
              <w:spacing w:after="0"/>
              <w:rPr>
                <w:sz w:val="20"/>
                <w:szCs w:val="20"/>
                <w:color w:val="auto"/>
              </w:rPr>
            </w:pPr>
          </w:p>
        </w:tc>
        <w:tc>
          <w:tcPr>
            <w:tcW w:w="380" w:type="dxa"/>
            <w:vAlign w:val="bottom"/>
            <w:gridSpan w:val="2"/>
          </w:tcPr>
          <w:p>
            <w:pPr>
              <w:spacing w:after="0"/>
              <w:rPr>
                <w:sz w:val="20"/>
                <w:szCs w:val="20"/>
                <w:color w:val="auto"/>
              </w:rPr>
            </w:pPr>
          </w:p>
        </w:tc>
        <w:tc>
          <w:tcPr>
            <w:tcW w:w="9360" w:type="dxa"/>
            <w:vAlign w:val="bottom"/>
            <w:gridSpan w:val="20"/>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6"/>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020" w:type="dxa"/>
            <w:vAlign w:val="bottom"/>
            <w:gridSpan w:val="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40" w:type="dxa"/>
            <w:vAlign w:val="bottom"/>
            <w:gridSpan w:val="2"/>
          </w:tcPr>
          <w:p>
            <w:pPr>
              <w:spacing w:after="0"/>
              <w:rPr>
                <w:sz w:val="20"/>
                <w:szCs w:val="20"/>
                <w:color w:val="auto"/>
              </w:rPr>
            </w:pPr>
            <w:r>
              <w:rPr>
                <w:rFonts w:ascii="Arial" w:cs="Arial" w:eastAsia="Arial" w:hAnsi="Arial"/>
                <w:sz w:val="18"/>
                <w:szCs w:val="18"/>
                <w:color w:val="0000FF"/>
                <w:w w:val="94"/>
              </w:rPr>
              <w:t>Item 3.</w:t>
            </w:r>
          </w:p>
        </w:tc>
        <w:tc>
          <w:tcPr>
            <w:tcW w:w="480" w:type="dxa"/>
            <w:vAlign w:val="bottom"/>
            <w:gridSpan w:val="3"/>
          </w:tcPr>
          <w:p>
            <w:pPr>
              <w:spacing w:after="0"/>
              <w:rPr>
                <w:sz w:val="20"/>
                <w:szCs w:val="20"/>
                <w:color w:val="auto"/>
              </w:rPr>
            </w:pPr>
          </w:p>
        </w:tc>
        <w:tc>
          <w:tcPr>
            <w:tcW w:w="9360" w:type="dxa"/>
            <w:vAlign w:val="bottom"/>
            <w:gridSpan w:val="20"/>
          </w:tcPr>
          <w:p>
            <w:pPr>
              <w:spacing w:after="0"/>
              <w:rPr>
                <w:sz w:val="20"/>
                <w:szCs w:val="20"/>
                <w:color w:val="auto"/>
              </w:rPr>
            </w:pPr>
            <w:r>
              <w:rPr>
                <w:rFonts w:ascii="Arial" w:cs="Arial" w:eastAsia="Arial" w:hAnsi="Arial"/>
                <w:sz w:val="18"/>
                <w:szCs w:val="18"/>
                <w:color w:val="0000FF"/>
              </w:rPr>
              <w:t>Defaults Upon Senior Securities</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6"/>
            <w:shd w:val="clear" w:color="auto" w:fill="0000FF"/>
          </w:tcPr>
          <w:p>
            <w:pPr>
              <w:spacing w:after="0" w:line="20" w:lineRule="exact"/>
              <w:rPr>
                <w:sz w:val="1"/>
                <w:szCs w:val="1"/>
                <w:color w:val="auto"/>
              </w:rPr>
            </w:pPr>
          </w:p>
        </w:tc>
        <w:tc>
          <w:tcPr>
            <w:tcW w:w="7040" w:type="dxa"/>
            <w:vAlign w:val="bottom"/>
            <w:gridSpan w:val="9"/>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40" w:type="dxa"/>
            <w:vAlign w:val="bottom"/>
            <w:gridSpan w:val="2"/>
          </w:tcPr>
          <w:p>
            <w:pPr>
              <w:spacing w:after="0"/>
              <w:rPr>
                <w:sz w:val="20"/>
                <w:szCs w:val="20"/>
                <w:color w:val="auto"/>
              </w:rPr>
            </w:pPr>
            <w:r>
              <w:rPr>
                <w:rFonts w:ascii="Arial" w:cs="Arial" w:eastAsia="Arial" w:hAnsi="Arial"/>
                <w:sz w:val="18"/>
                <w:szCs w:val="18"/>
                <w:color w:val="0000FF"/>
                <w:w w:val="94"/>
              </w:rPr>
              <w:t>Item 4.</w:t>
            </w:r>
          </w:p>
        </w:tc>
        <w:tc>
          <w:tcPr>
            <w:tcW w:w="480" w:type="dxa"/>
            <w:vAlign w:val="bottom"/>
            <w:gridSpan w:val="3"/>
          </w:tcPr>
          <w:p>
            <w:pPr>
              <w:spacing w:after="0"/>
              <w:rPr>
                <w:sz w:val="20"/>
                <w:szCs w:val="20"/>
                <w:color w:val="auto"/>
              </w:rPr>
            </w:pPr>
          </w:p>
        </w:tc>
        <w:tc>
          <w:tcPr>
            <w:tcW w:w="9360" w:type="dxa"/>
            <w:vAlign w:val="bottom"/>
            <w:gridSpan w:val="20"/>
          </w:tcPr>
          <w:p>
            <w:pPr>
              <w:spacing w:after="0"/>
              <w:rPr>
                <w:sz w:val="20"/>
                <w:szCs w:val="20"/>
                <w:color w:val="auto"/>
              </w:rPr>
            </w:pPr>
            <w:r>
              <w:rPr>
                <w:rFonts w:ascii="Arial" w:cs="Arial" w:eastAsia="Arial" w:hAnsi="Arial"/>
                <w:sz w:val="18"/>
                <w:szCs w:val="18"/>
                <w:color w:val="0000FF"/>
              </w:rPr>
              <w:t>Mine Safety Disclosures</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7600" w:type="dxa"/>
            <w:vAlign w:val="bottom"/>
            <w:gridSpan w:val="1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40" w:type="dxa"/>
            <w:vAlign w:val="bottom"/>
            <w:gridSpan w:val="2"/>
          </w:tcPr>
          <w:p>
            <w:pPr>
              <w:spacing w:after="0"/>
              <w:rPr>
                <w:sz w:val="20"/>
                <w:szCs w:val="20"/>
                <w:color w:val="auto"/>
              </w:rPr>
            </w:pPr>
            <w:r>
              <w:rPr>
                <w:rFonts w:ascii="Arial" w:cs="Arial" w:eastAsia="Arial" w:hAnsi="Arial"/>
                <w:sz w:val="18"/>
                <w:szCs w:val="18"/>
                <w:color w:val="0000FF"/>
                <w:w w:val="94"/>
              </w:rPr>
              <w:t>Item 5.</w:t>
            </w:r>
          </w:p>
        </w:tc>
        <w:tc>
          <w:tcPr>
            <w:tcW w:w="480" w:type="dxa"/>
            <w:vAlign w:val="bottom"/>
            <w:gridSpan w:val="3"/>
          </w:tcPr>
          <w:p>
            <w:pPr>
              <w:spacing w:after="0"/>
              <w:rPr>
                <w:sz w:val="20"/>
                <w:szCs w:val="20"/>
                <w:color w:val="auto"/>
              </w:rPr>
            </w:pPr>
          </w:p>
        </w:tc>
        <w:tc>
          <w:tcPr>
            <w:tcW w:w="9360" w:type="dxa"/>
            <w:vAlign w:val="bottom"/>
            <w:gridSpan w:val="20"/>
          </w:tcPr>
          <w:p>
            <w:pPr>
              <w:spacing w:after="0"/>
              <w:rPr>
                <w:sz w:val="20"/>
                <w:szCs w:val="20"/>
                <w:color w:val="auto"/>
              </w:rPr>
            </w:pPr>
            <w:r>
              <w:rPr>
                <w:rFonts w:ascii="Arial" w:cs="Arial" w:eastAsia="Arial" w:hAnsi="Arial"/>
                <w:sz w:val="18"/>
                <w:szCs w:val="18"/>
                <w:color w:val="0000FF"/>
              </w:rPr>
              <w:t>Other Information</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8040" w:type="dxa"/>
            <w:vAlign w:val="bottom"/>
            <w:gridSpan w:val="1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40" w:type="dxa"/>
            <w:vAlign w:val="bottom"/>
            <w:gridSpan w:val="2"/>
          </w:tcPr>
          <w:p>
            <w:pPr>
              <w:spacing w:after="0"/>
              <w:rPr>
                <w:sz w:val="20"/>
                <w:szCs w:val="20"/>
                <w:color w:val="auto"/>
              </w:rPr>
            </w:pPr>
            <w:r>
              <w:rPr>
                <w:rFonts w:ascii="Arial" w:cs="Arial" w:eastAsia="Arial" w:hAnsi="Arial"/>
                <w:sz w:val="18"/>
                <w:szCs w:val="18"/>
                <w:color w:val="0000FF"/>
                <w:w w:val="94"/>
              </w:rPr>
              <w:t>Item 6.</w:t>
            </w:r>
          </w:p>
        </w:tc>
        <w:tc>
          <w:tcPr>
            <w:tcW w:w="480" w:type="dxa"/>
            <w:vAlign w:val="bottom"/>
            <w:gridSpan w:val="3"/>
          </w:tcPr>
          <w:p>
            <w:pPr>
              <w:spacing w:after="0"/>
              <w:rPr>
                <w:sz w:val="20"/>
                <w:szCs w:val="20"/>
                <w:color w:val="auto"/>
              </w:rPr>
            </w:pPr>
          </w:p>
        </w:tc>
        <w:tc>
          <w:tcPr>
            <w:tcW w:w="9360" w:type="dxa"/>
            <w:vAlign w:val="bottom"/>
            <w:gridSpan w:val="20"/>
          </w:tcPr>
          <w:p>
            <w:pPr>
              <w:spacing w:after="0"/>
              <w:rPr>
                <w:sz w:val="20"/>
                <w:szCs w:val="20"/>
                <w:color w:val="auto"/>
              </w:rPr>
            </w:pPr>
            <w:r>
              <w:rPr>
                <w:rFonts w:ascii="Arial" w:cs="Arial" w:eastAsia="Arial" w:hAnsi="Arial"/>
                <w:sz w:val="18"/>
                <w:szCs w:val="18"/>
                <w:color w:val="0000FF"/>
              </w:rPr>
              <w:t>Exhibits</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1020" w:type="dxa"/>
            <w:vAlign w:val="bottom"/>
            <w:gridSpan w:val="5"/>
          </w:tcPr>
          <w:p>
            <w:pPr>
              <w:spacing w:after="0"/>
              <w:rPr>
                <w:sz w:val="20"/>
                <w:szCs w:val="20"/>
                <w:color w:val="auto"/>
              </w:rPr>
            </w:pPr>
            <w:r>
              <w:rPr>
                <w:rFonts w:ascii="Arial" w:cs="Arial" w:eastAsia="Arial" w:hAnsi="Arial"/>
                <w:sz w:val="18"/>
                <w:szCs w:val="18"/>
                <w:color w:val="0000FF"/>
              </w:rPr>
              <w:t>Signatures</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1040"/>
        </w:trPr>
        <w:tc>
          <w:tcPr>
            <w:tcW w:w="20" w:type="dxa"/>
            <w:vAlign w:val="bottom"/>
            <w:tcBorders>
              <w:bottom w:val="single" w:sz="8" w:color="9A9A9A"/>
            </w:tcBorders>
          </w:tcPr>
          <w:p>
            <w:pPr>
              <w:spacing w:after="0"/>
              <w:rPr>
                <w:sz w:val="24"/>
                <w:szCs w:val="24"/>
                <w:color w:val="auto"/>
              </w:rPr>
            </w:pPr>
          </w:p>
        </w:tc>
        <w:tc>
          <w:tcPr>
            <w:tcW w:w="5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made statements in the sections titled “Management’s Discussion and Analysis of Financial Condition and Results of Operations,” “Quantitative and Qualitative Disclosures About Market Risk” and in other sections of this Quarterly Report on Form 10-Q that are forward-looking statements. In some cases, you can identify these statements by forward-looking words such as “may,” “might,” “will,” “should,” “expects,” “plans,” “anticipates,” “believes,” “estimates,” “predicts,” “potential” or “continue,” the negative of these terms and other comparable terminology. These forward-looking statements, which are subject to risks, uncertainties and assumptions about us, may include projections of our future financial performance, our anticipated growth strategies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including those factors discussed in the section titled “Risk Factors” in our Annual Report on Form 10-K.</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future results could be affected by a variety of other factors, including, but not limited to, failure to open and operate new centers in a timely and cost-effective manner; inability to open new centers due to rising interest rates and increased operating expenses due to rising inflation; shortages or quality control issues with third-party manufacturers or suppliers; competition for surgeons; litigation or medical malpractice claims; inability to protect the confidentiality of our proprietary information; changes in the laws governing the corporate practice of medicine or fee-splitting; changes in the regulatory, macroeconomic conditions, including inflation and the threat of recession, economic and other conditions of the states and jurisdictions where our facilities are located; and business disruption or other losses from war, pandemic, terrorist acts or political unrest.</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risk factors discussed in the section titled “Risk Factors” in our Annual Report on Form 10-K could cause our results to differ materially from those expressed in the forward-looking statements made in this Quarterly Report on Form 10-Q. There also may be other risks that are currently unknown to us or that we are unable to predict at this time.</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and completeness of any of these forward-looking statements. Forward-looking statements speak only as of the date they were made, and we are under no duty to update any of these forward-looking statements after the date of this Quarterly Report on Form 10-Q to conform our prior statements to actual results or revised expectations, except as required by law.</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AirSculpt Technologies, Inc. and Subsidiaries</w:t>
      </w:r>
    </w:p>
    <w:p>
      <w:pPr>
        <w:spacing w:after="0" w:line="27"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($000s, except for shares)</w:t>
            </w:r>
          </w:p>
        </w:tc>
        <w:tc>
          <w:tcPr>
            <w:tcW w:w="20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260" w:type="dxa"/>
            <w:vAlign w:val="bottom"/>
          </w:tcPr>
          <w:p>
            <w:pPr>
              <w:jc w:val="right"/>
              <w:ind w:right="23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81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12"/>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6"/>
        </w:trPr>
        <w:tc>
          <w:tcPr>
            <w:tcW w:w="8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(Unaudited)</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9,616</w:t>
            </w: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Arial" w:cs="Arial" w:eastAsia="Arial" w:hAnsi="Arial"/>
                <w:sz w:val="18"/>
                <w:szCs w:val="18"/>
                <w:color w:val="auto"/>
              </w:rPr>
              <w:t>Taxes receivable</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2,831</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3,382</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4,229</w:t>
            </w:r>
          </w:p>
        </w:tc>
        <w:tc>
          <w:tcPr>
            <w:tcW w:w="0" w:type="dxa"/>
            <w:vAlign w:val="bottom"/>
          </w:tcPr>
          <w:p>
            <w:pPr>
              <w:spacing w:after="0"/>
              <w:rPr>
                <w:sz w:val="1"/>
                <w:szCs w:val="1"/>
                <w:color w:val="auto"/>
              </w:rPr>
            </w:pPr>
          </w:p>
        </w:tc>
      </w:tr>
      <w:tr>
        <w:trPr>
          <w:trHeight w:val="250"/>
        </w:trPr>
        <w:tc>
          <w:tcPr>
            <w:tcW w:w="818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16,410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16,676</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24,206</w:t>
            </w:r>
          </w:p>
        </w:tc>
        <w:tc>
          <w:tcPr>
            <w:tcW w:w="0" w:type="dxa"/>
            <w:vAlign w:val="bottom"/>
          </w:tcPr>
          <w:p>
            <w:pPr>
              <w:spacing w:after="0"/>
              <w:rPr>
                <w:sz w:val="1"/>
                <w:szCs w:val="1"/>
                <w:color w:val="auto"/>
              </w:rPr>
            </w:pPr>
          </w:p>
        </w:tc>
      </w:tr>
      <w:tr>
        <w:trPr>
          <w:trHeight w:val="263"/>
        </w:trPr>
        <w:tc>
          <w:tcPr>
            <w:tcW w:w="8180" w:type="dxa"/>
            <w:vAlign w:val="bottom"/>
          </w:tcPr>
          <w:p>
            <w:pPr>
              <w:ind w:left="20"/>
              <w:spacing w:after="0"/>
              <w:rPr>
                <w:sz w:val="20"/>
                <w:szCs w:val="20"/>
                <w:color w:val="auto"/>
              </w:rPr>
            </w:pPr>
            <w:r>
              <w:rPr>
                <w:rFonts w:ascii="Arial" w:cs="Arial" w:eastAsia="Arial" w:hAnsi="Arial"/>
                <w:sz w:val="18"/>
                <w:szCs w:val="18"/>
                <w:color w:val="auto"/>
              </w:rPr>
              <w:t>Other long-term assets</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3,353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3,280</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 of use operating lease assets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26,183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23,764</w:t>
            </w:r>
          </w:p>
        </w:tc>
        <w:tc>
          <w:tcPr>
            <w:tcW w:w="0" w:type="dxa"/>
            <w:vAlign w:val="bottom"/>
          </w:tcPr>
          <w:p>
            <w:pPr>
              <w:spacing w:after="0"/>
              <w:rPr>
                <w:sz w:val="1"/>
                <w:szCs w:val="1"/>
                <w:color w:val="auto"/>
              </w:rPr>
            </w:pPr>
          </w:p>
        </w:tc>
      </w:tr>
      <w:tr>
        <w:trPr>
          <w:trHeight w:val="263"/>
        </w:trPr>
        <w:tc>
          <w:tcPr>
            <w:tcW w:w="818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47,534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51,099</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81,734</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81,734</w:t>
            </w:r>
          </w:p>
        </w:tc>
        <w:tc>
          <w:tcPr>
            <w:tcW w:w="0" w:type="dxa"/>
            <w:vAlign w:val="bottom"/>
          </w:tcPr>
          <w:p>
            <w:pPr>
              <w:spacing w:after="0"/>
              <w:rPr>
                <w:sz w:val="1"/>
                <w:szCs w:val="1"/>
                <w:color w:val="auto"/>
              </w:rPr>
            </w:pPr>
          </w:p>
        </w:tc>
      </w:tr>
      <w:tr>
        <w:trPr>
          <w:trHeight w:val="257"/>
        </w:trPr>
        <w:tc>
          <w:tcPr>
            <w:tcW w:w="818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204,123</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200,759</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3,844</w:t>
            </w: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Arial" w:cs="Arial" w:eastAsia="Arial" w:hAnsi="Arial"/>
                <w:sz w:val="18"/>
                <w:szCs w:val="18"/>
                <w:color w:val="auto"/>
              </w:rPr>
              <w:t>Accrued payroll and benefits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2,991</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w:t>
            </w: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Arial" w:cs="Arial" w:eastAsia="Arial" w:hAnsi="Arial"/>
                <w:sz w:val="18"/>
                <w:szCs w:val="18"/>
                <w:color w:val="auto"/>
              </w:rPr>
              <w:t>Deferred revenue and patient deposits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2,358</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and other current liabilities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6,644</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Current operating lease liabilities</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5,140</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4,356</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22,318</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Long-term debt, net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70,603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81,420</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liability, net</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5,485</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Long-term operating lease liabilities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23,026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19,745</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50"/>
        </w:trPr>
        <w:tc>
          <w:tcPr>
            <w:tcW w:w="8180" w:type="dxa"/>
            <w:vAlign w:val="bottom"/>
          </w:tcPr>
          <w:p>
            <w:pPr>
              <w:ind w:left="360"/>
              <w:spacing w:after="0"/>
              <w:rPr>
                <w:sz w:val="20"/>
                <w:szCs w:val="20"/>
                <w:color w:val="auto"/>
              </w:rPr>
            </w:pPr>
            <w:r>
              <w:rPr>
                <w:rFonts w:ascii="Arial" w:cs="Arial" w:eastAsia="Arial" w:hAnsi="Arial"/>
                <w:sz w:val="18"/>
                <w:szCs w:val="18"/>
                <w:color w:val="auto"/>
              </w:rPr>
              <w:t>Total liabilities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119,932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129,993</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contingent liabilities (Note 9)</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1"/>
              </w:rPr>
              <w:t>Common stock, $0.001 par value; shares authorized - 450,000,000; shares issued and outstanding - 56,785,087</w:t>
            </w:r>
          </w:p>
        </w:tc>
        <w:tc>
          <w:tcPr>
            <w:tcW w:w="20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and 56,181,689, respectively</w:t>
            </w:r>
          </w:p>
        </w:tc>
        <w:tc>
          <w:tcPr>
            <w:tcW w:w="200" w:type="dxa"/>
            <w:vAlign w:val="bottom"/>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18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99,328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85,858</w:t>
            </w:r>
          </w:p>
        </w:tc>
        <w:tc>
          <w:tcPr>
            <w:tcW w:w="0" w:type="dxa"/>
            <w:vAlign w:val="bottom"/>
          </w:tcPr>
          <w:p>
            <w:pPr>
              <w:spacing w:after="0"/>
              <w:rPr>
                <w:sz w:val="1"/>
                <w:szCs w:val="1"/>
                <w:color w:val="auto"/>
              </w:rPr>
            </w:pPr>
          </w:p>
        </w:tc>
      </w:tr>
      <w:tr>
        <w:trPr>
          <w:trHeight w:val="25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56"/>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deficit</w:t>
            </w: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(14,977)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(15,072)</w:t>
            </w:r>
          </w:p>
        </w:tc>
        <w:tc>
          <w:tcPr>
            <w:tcW w:w="0" w:type="dxa"/>
            <w:vAlign w:val="bottom"/>
          </w:tcPr>
          <w:p>
            <w:pPr>
              <w:spacing w:after="0"/>
              <w:rPr>
                <w:sz w:val="1"/>
                <w:szCs w:val="1"/>
                <w:color w:val="auto"/>
              </w:rPr>
            </w:pPr>
          </w:p>
        </w:tc>
      </w:tr>
      <w:tr>
        <w:trPr>
          <w:trHeight w:val="250"/>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84,191</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70,766</w:t>
            </w:r>
          </w:p>
        </w:tc>
        <w:tc>
          <w:tcPr>
            <w:tcW w:w="0" w:type="dxa"/>
            <w:vAlign w:val="bottom"/>
          </w:tcPr>
          <w:p>
            <w:pPr>
              <w:spacing w:after="0"/>
              <w:rPr>
                <w:sz w:val="1"/>
                <w:szCs w:val="1"/>
                <w:color w:val="auto"/>
              </w:rPr>
            </w:pPr>
          </w:p>
        </w:tc>
      </w:tr>
      <w:tr>
        <w:trPr>
          <w:trHeight w:val="250"/>
        </w:trPr>
        <w:tc>
          <w:tcPr>
            <w:tcW w:w="8180" w:type="dxa"/>
            <w:vAlign w:val="bottom"/>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204,123</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200,759</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AirSculpt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0" w:type="dxa"/>
            <w:vAlign w:val="bottom"/>
            <w:gridSpan w:val="5"/>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$000s, except for shares and per share figures)</w:t>
            </w: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02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11"/>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6"/>
        </w:trPr>
        <w:tc>
          <w:tcPr>
            <w:tcW w:w="5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46,793</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38,892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148,309</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128,090</w:t>
            </w: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service (exclusive of depreciation and amortization)</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18,175</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56,144</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47,042</w:t>
            </w:r>
          </w:p>
        </w:tc>
        <w:tc>
          <w:tcPr>
            <w:tcW w:w="0" w:type="dxa"/>
            <w:vAlign w:val="bottom"/>
          </w:tcPr>
          <w:p>
            <w:pPr>
              <w:spacing w:after="0"/>
              <w:rPr>
                <w:sz w:val="1"/>
                <w:szCs w:val="1"/>
                <w:color w:val="auto"/>
              </w:rPr>
            </w:pPr>
          </w:p>
        </w:tc>
      </w:tr>
      <w:tr>
        <w:trPr>
          <w:trHeight w:val="263"/>
        </w:trPr>
        <w:tc>
          <w:tcPr>
            <w:tcW w:w="502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25,030</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23,397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76,805</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73,574</w:t>
            </w:r>
          </w:p>
        </w:tc>
        <w:tc>
          <w:tcPr>
            <w:tcW w:w="0" w:type="dxa"/>
            <w:vAlign w:val="bottom"/>
          </w:tcPr>
          <w:p>
            <w:pPr>
              <w:spacing w:after="0"/>
              <w:rPr>
                <w:sz w:val="1"/>
                <w:szCs w:val="1"/>
                <w:color w:val="auto"/>
              </w:rPr>
            </w:pPr>
          </w:p>
        </w:tc>
      </w:tr>
      <w:tr>
        <w:trPr>
          <w:trHeight w:val="277"/>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2,629</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7,479</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5,842</w:t>
            </w:r>
          </w:p>
        </w:tc>
        <w:tc>
          <w:tcPr>
            <w:tcW w:w="0" w:type="dxa"/>
            <w:vAlign w:val="bottom"/>
          </w:tcPr>
          <w:p>
            <w:pPr>
              <w:spacing w:after="0"/>
              <w:rPr>
                <w:sz w:val="1"/>
                <w:szCs w:val="1"/>
                <w:color w:val="auto"/>
              </w:rPr>
            </w:pPr>
          </w:p>
        </w:tc>
      </w:tr>
      <w:tr>
        <w:trPr>
          <w:trHeight w:val="264"/>
        </w:trPr>
        <w:tc>
          <w:tcPr>
            <w:tcW w:w="5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Loss/(gain) on disposal of long-lived assets</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56"/>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45,838</w:t>
            </w:r>
          </w:p>
        </w:tc>
        <w:tc>
          <w:tcPr>
            <w:tcW w:w="10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40,267</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140,230</w:t>
            </w: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126,673</w:t>
            </w:r>
          </w:p>
        </w:tc>
        <w:tc>
          <w:tcPr>
            <w:tcW w:w="0" w:type="dxa"/>
            <w:vAlign w:val="bottom"/>
          </w:tcPr>
          <w:p>
            <w:pPr>
              <w:spacing w:after="0"/>
              <w:rPr>
                <w:sz w:val="1"/>
                <w:szCs w:val="1"/>
                <w:color w:val="auto"/>
              </w:rPr>
            </w:pPr>
          </w:p>
        </w:tc>
      </w:tr>
      <w:tr>
        <w:trPr>
          <w:trHeight w:val="243"/>
        </w:trPr>
        <w:tc>
          <w:tcPr>
            <w:tcW w:w="5020" w:type="dxa"/>
            <w:vAlign w:val="bottom"/>
          </w:tcPr>
          <w:p>
            <w:pPr>
              <w:ind w:left="360"/>
              <w:spacing w:after="0"/>
              <w:rPr>
                <w:sz w:val="20"/>
                <w:szCs w:val="20"/>
                <w:color w:val="auto"/>
              </w:rPr>
            </w:pPr>
            <w:r>
              <w:rPr>
                <w:rFonts w:ascii="Arial" w:cs="Arial" w:eastAsia="Arial" w:hAnsi="Arial"/>
                <w:sz w:val="18"/>
                <w:szCs w:val="18"/>
                <w:color w:val="auto"/>
              </w:rPr>
              <w:t>Income/(loss) from operations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8,079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1,417</w:t>
            </w:r>
          </w:p>
        </w:tc>
        <w:tc>
          <w:tcPr>
            <w:tcW w:w="0" w:type="dxa"/>
            <w:vAlign w:val="bottom"/>
          </w:tcPr>
          <w:p>
            <w:pPr>
              <w:spacing w:after="0"/>
              <w:rPr>
                <w:sz w:val="1"/>
                <w:szCs w:val="1"/>
                <w:color w:val="auto"/>
              </w:rPr>
            </w:pPr>
          </w:p>
        </w:tc>
      </w:tr>
      <w:tr>
        <w:trPr>
          <w:trHeight w:val="277"/>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3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w:t>
            </w:r>
          </w:p>
        </w:tc>
        <w:tc>
          <w:tcPr>
            <w:tcW w:w="100" w:type="dxa"/>
            <w:vAlign w:val="bottom"/>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5,462</w:t>
            </w:r>
          </w:p>
        </w:tc>
        <w:tc>
          <w:tcPr>
            <w:tcW w:w="100" w:type="dxa"/>
            <w:vAlign w:val="bottom"/>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4,821</w:t>
            </w:r>
          </w:p>
        </w:tc>
        <w:tc>
          <w:tcPr>
            <w:tcW w:w="0" w:type="dxa"/>
            <w:vAlign w:val="bottom"/>
          </w:tcPr>
          <w:p>
            <w:pPr>
              <w:spacing w:after="0"/>
              <w:rPr>
                <w:sz w:val="1"/>
                <w:szCs w:val="1"/>
                <w:color w:val="auto"/>
              </w:rPr>
            </w:pPr>
          </w:p>
        </w:tc>
      </w:tr>
      <w:tr>
        <w:trPr>
          <w:trHeight w:val="243"/>
        </w:trPr>
        <w:tc>
          <w:tcPr>
            <w:tcW w:w="50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Pre-tax net (loss)/income</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2,617</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(3,404)</w:t>
            </w:r>
          </w:p>
        </w:tc>
        <w:tc>
          <w:tcPr>
            <w:tcW w:w="0" w:type="dxa"/>
            <w:vAlign w:val="bottom"/>
          </w:tcPr>
          <w:p>
            <w:pPr>
              <w:spacing w:after="0"/>
              <w:rPr>
                <w:sz w:val="1"/>
                <w:szCs w:val="1"/>
                <w:color w:val="auto"/>
              </w:rPr>
            </w:pPr>
          </w:p>
        </w:tc>
      </w:tr>
      <w:tr>
        <w:trPr>
          <w:trHeight w:val="25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4,232</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2,522</w:t>
            </w:r>
          </w:p>
        </w:tc>
        <w:tc>
          <w:tcPr>
            <w:tcW w:w="10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4,083</w:t>
            </w:r>
          </w:p>
        </w:tc>
        <w:tc>
          <w:tcPr>
            <w:tcW w:w="0" w:type="dxa"/>
            <w:vAlign w:val="bottom"/>
          </w:tcPr>
          <w:p>
            <w:pPr>
              <w:spacing w:after="0"/>
              <w:rPr>
                <w:sz w:val="1"/>
                <w:szCs w:val="1"/>
                <w:color w:val="auto"/>
              </w:rPr>
            </w:pPr>
          </w:p>
        </w:tc>
      </w:tr>
      <w:tr>
        <w:trPr>
          <w:trHeight w:val="257"/>
        </w:trPr>
        <w:tc>
          <w:tcPr>
            <w:tcW w:w="5020" w:type="dxa"/>
            <w:vAlign w:val="bottom"/>
          </w:tcPr>
          <w:p>
            <w:pPr>
              <w:ind w:left="360"/>
              <w:spacing w:after="0"/>
              <w:rPr>
                <w:sz w:val="20"/>
                <w:szCs w:val="20"/>
                <w:color w:val="auto"/>
              </w:rPr>
            </w:pPr>
            <w:r>
              <w:rPr>
                <w:rFonts w:ascii="Arial" w:cs="Arial" w:eastAsia="Arial" w:hAnsi="Arial"/>
                <w:sz w:val="18"/>
                <w:szCs w:val="18"/>
                <w:color w:val="auto"/>
              </w:rPr>
              <w:t>Net (loss)/income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(1,667)</w:t>
            </w:r>
          </w:p>
        </w:tc>
        <w:tc>
          <w:tcPr>
            <w:tcW w:w="100" w:type="dxa"/>
            <w:vAlign w:val="bottom"/>
          </w:tcPr>
          <w:p>
            <w:pPr>
              <w:spacing w:after="0"/>
              <w:rPr>
                <w:sz w:val="22"/>
                <w:szCs w:val="22"/>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(7,377)</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2"/>
                <w:szCs w:val="22"/>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(7,487)</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Loss per share of common stock</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63"/>
        </w:trPr>
        <w:tc>
          <w:tcPr>
            <w:tcW w:w="5020" w:type="dxa"/>
            <w:vAlign w:val="bottom"/>
          </w:tcPr>
          <w:p>
            <w:pPr>
              <w:ind w:left="240"/>
              <w:spacing w:after="0"/>
              <w:rPr>
                <w:sz w:val="20"/>
                <w:szCs w:val="20"/>
                <w:color w:val="auto"/>
              </w:rPr>
            </w:pPr>
            <w:r>
              <w:rPr>
                <w:rFonts w:ascii="Arial" w:cs="Arial" w:eastAsia="Arial" w:hAnsi="Arial"/>
                <w:sz w:val="18"/>
                <w:szCs w:val="18"/>
                <w:color w:val="auto"/>
              </w:rPr>
              <w:t>Diluted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2"/>
                <w:szCs w:val="22"/>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2"/>
                <w:szCs w:val="22"/>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57"/>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020" w:type="dxa"/>
            <w:vAlign w:val="bottom"/>
          </w:tcPr>
          <w:p>
            <w:pPr>
              <w:ind w:left="240"/>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56,785,087</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7"/>
              </w:rPr>
              <w:t>55,640,154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56,661,903</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8"/>
              </w:rPr>
              <w:t>55,640,154</w:t>
            </w:r>
          </w:p>
        </w:tc>
        <w:tc>
          <w:tcPr>
            <w:tcW w:w="0" w:type="dxa"/>
            <w:vAlign w:val="bottom"/>
          </w:tcPr>
          <w:p>
            <w:pPr>
              <w:spacing w:after="0"/>
              <w:rPr>
                <w:sz w:val="1"/>
                <w:szCs w:val="1"/>
                <w:color w:val="auto"/>
              </w:rPr>
            </w:pPr>
          </w:p>
        </w:tc>
      </w:tr>
      <w:tr>
        <w:trPr>
          <w:trHeight w:val="277"/>
        </w:trPr>
        <w:tc>
          <w:tcPr>
            <w:tcW w:w="5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56,785,087</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55,640,154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58,329,685</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55,640,154</w:t>
            </w: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AirSculpt Technologies, Inc.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Other Comprehensive Income/(Loss) (Unaudited)</w:t>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80" w:type="dxa"/>
            <w:vAlign w:val="bottom"/>
            <w:gridSpan w:val="5"/>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($000s)</w:t>
            </w: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0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14"/>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6"/>
        </w:trPr>
        <w:tc>
          <w:tcPr>
            <w:tcW w:w="5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(loss)/income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(7,377)</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(7,487)</w:t>
            </w:r>
          </w:p>
        </w:tc>
        <w:tc>
          <w:tcPr>
            <w:tcW w:w="0" w:type="dxa"/>
            <w:vAlign w:val="bottom"/>
          </w:tcPr>
          <w:p>
            <w:pPr>
              <w:spacing w:after="0"/>
              <w:rPr>
                <w:sz w:val="1"/>
                <w:szCs w:val="1"/>
                <w:color w:val="auto"/>
              </w:rPr>
            </w:pP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rPr>
              <w:t>Other comprehensive (loss)/income:</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foreign currency translation adjustment</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3"/>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comprehensive (loss)/income</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82"/>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(7,313)</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(7,423)</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AirSculpt Technologies, Inc. and Subsidiaries</w:t>
      </w:r>
    </w:p>
    <w:p>
      <w:pPr>
        <w:spacing w:after="0" w:line="1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Changes in Stockholders' Equity (Unaudited)</w:t>
      </w:r>
    </w:p>
    <w:p>
      <w:pPr>
        <w:spacing w:after="0" w:line="336" w:lineRule="exact"/>
        <w:rPr>
          <w:sz w:val="20"/>
          <w:szCs w:val="20"/>
          <w:color w:val="auto"/>
        </w:rPr>
      </w:pPr>
    </w:p>
    <w:tbl>
      <w:tblPr>
        <w:tblLayout w:type="fixed"/>
        <w:tblInd w:w="220" w:type="dxa"/>
        <w:tblCellMar>
          <w:top w:w="0" w:type="dxa"/>
          <w:left w:w="0" w:type="dxa"/>
          <w:bottom w:w="0" w:type="dxa"/>
          <w:right w:w="0" w:type="dxa"/>
        </w:tblCellMar>
      </w:tblPr>
      <w:tr>
        <w:trPr>
          <w:trHeight w:val="186"/>
        </w:trPr>
        <w:tc>
          <w:tcPr>
            <w:tcW w:w="3440" w:type="dxa"/>
            <w:vAlign w:val="bottom"/>
          </w:tcPr>
          <w:p>
            <w:pPr>
              <w:spacing w:after="0"/>
              <w:rPr>
                <w:sz w:val="16"/>
                <w:szCs w:val="16"/>
                <w:color w:val="auto"/>
              </w:rPr>
            </w:pPr>
          </w:p>
        </w:tc>
        <w:tc>
          <w:tcPr>
            <w:tcW w:w="2200" w:type="dxa"/>
            <w:vAlign w:val="bottom"/>
            <w:gridSpan w:val="5"/>
          </w:tcPr>
          <w:p>
            <w:pPr>
              <w:ind w:left="56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4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2"/>
                <w:szCs w:val="2"/>
                <w:color w:val="auto"/>
              </w:rPr>
            </w:pPr>
          </w:p>
        </w:tc>
        <w:tc>
          <w:tcPr>
            <w:tcW w:w="16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Accumulated Other</w:t>
            </w:r>
          </w:p>
        </w:tc>
        <w:tc>
          <w:tcPr>
            <w:tcW w:w="140" w:type="dxa"/>
            <w:vAlign w:val="bottom"/>
          </w:tcPr>
          <w:p>
            <w:pPr>
              <w:spacing w:after="0"/>
              <w:rPr>
                <w:sz w:val="2"/>
                <w:szCs w:val="2"/>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3440" w:type="dxa"/>
            <w:vAlign w:val="bottom"/>
            <w:vMerge w:val="restart"/>
          </w:tcPr>
          <w:p>
            <w:pPr>
              <w:spacing w:after="0"/>
              <w:rPr>
                <w:sz w:val="20"/>
                <w:szCs w:val="20"/>
                <w:color w:val="auto"/>
              </w:rPr>
            </w:pPr>
            <w:r>
              <w:rPr>
                <w:rFonts w:ascii="Arial" w:cs="Arial" w:eastAsia="Arial" w:hAnsi="Arial"/>
                <w:sz w:val="14"/>
                <w:szCs w:val="14"/>
                <w:b w:val="1"/>
                <w:bCs w:val="1"/>
                <w:color w:val="auto"/>
              </w:rPr>
              <w:t>($000s, except shares and per share figures)</w:t>
            </w:r>
          </w:p>
        </w:tc>
        <w:tc>
          <w:tcPr>
            <w:tcW w:w="120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3"/>
                <w:szCs w:val="13"/>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440" w:type="dxa"/>
            <w:vAlign w:val="bottom"/>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Paid-in Capital</w:t>
            </w:r>
          </w:p>
        </w:tc>
        <w:tc>
          <w:tcPr>
            <w:tcW w:w="100" w:type="dxa"/>
            <w:vAlign w:val="bottom"/>
          </w:tcPr>
          <w:p>
            <w:pPr>
              <w:spacing w:after="0"/>
              <w:rPr>
                <w:sz w:val="16"/>
                <w:szCs w:val="16"/>
                <w:color w:val="auto"/>
              </w:rPr>
            </w:pPr>
          </w:p>
        </w:tc>
        <w:tc>
          <w:tcPr>
            <w:tcW w:w="1680" w:type="dxa"/>
            <w:vAlign w:val="bottom"/>
            <w:gridSpan w:val="2"/>
          </w:tcPr>
          <w:p>
            <w:pPr>
              <w:ind w:left="20"/>
              <w:spacing w:after="0"/>
              <w:rPr>
                <w:sz w:val="20"/>
                <w:szCs w:val="20"/>
                <w:color w:val="auto"/>
              </w:rPr>
            </w:pPr>
            <w:r>
              <w:rPr>
                <w:rFonts w:ascii="Arial" w:cs="Arial" w:eastAsia="Arial" w:hAnsi="Arial"/>
                <w:sz w:val="14"/>
                <w:szCs w:val="14"/>
                <w:b w:val="1"/>
                <w:bCs w:val="1"/>
                <w:color w:val="auto"/>
              </w:rPr>
              <w:t>Comprehensive Income</w:t>
            </w:r>
          </w:p>
        </w:tc>
        <w:tc>
          <w:tcPr>
            <w:tcW w:w="1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Deficit</w:t>
            </w:r>
          </w:p>
        </w:tc>
        <w:tc>
          <w:tcPr>
            <w:tcW w:w="2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55,640,154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83,865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83,528</w:t>
            </w:r>
          </w:p>
        </w:tc>
        <w:tc>
          <w:tcPr>
            <w:tcW w:w="0" w:type="dxa"/>
            <w:vAlign w:val="bottom"/>
          </w:tcPr>
          <w:p>
            <w:pPr>
              <w:spacing w:after="0"/>
              <w:rPr>
                <w:sz w:val="1"/>
                <w:szCs w:val="1"/>
                <w:color w:val="auto"/>
              </w:rPr>
            </w:pPr>
          </w:p>
        </w:tc>
      </w:tr>
      <w:tr>
        <w:trPr>
          <w:trHeight w:val="230"/>
        </w:trPr>
        <w:tc>
          <w:tcPr>
            <w:tcW w:w="3440" w:type="dxa"/>
            <w:vAlign w:val="bottom"/>
          </w:tcPr>
          <w:p>
            <w:pPr>
              <w:ind w:left="160"/>
              <w:spacing w:after="0"/>
              <w:rPr>
                <w:sz w:val="20"/>
                <w:szCs w:val="20"/>
                <w:color w:val="auto"/>
              </w:rPr>
            </w:pPr>
            <w:r>
              <w:rPr>
                <w:rFonts w:ascii="Arial" w:cs="Arial" w:eastAsia="Arial" w:hAnsi="Arial"/>
                <w:sz w:val="18"/>
                <w:szCs w:val="18"/>
                <w:color w:val="auto"/>
              </w:rPr>
              <w:t>Distributions</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29"/>
        </w:trPr>
        <w:tc>
          <w:tcPr>
            <w:tcW w:w="3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Equity-based compensation</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7,316</w:t>
            </w:r>
          </w:p>
        </w:tc>
        <w:tc>
          <w:tcPr>
            <w:tcW w:w="0" w:type="dxa"/>
            <w:vAlign w:val="bottom"/>
          </w:tcPr>
          <w:p>
            <w:pPr>
              <w:spacing w:after="0"/>
              <w:rPr>
                <w:sz w:val="1"/>
                <w:szCs w:val="1"/>
                <w:color w:val="auto"/>
              </w:rPr>
            </w:pPr>
          </w:p>
        </w:tc>
      </w:tr>
      <w:tr>
        <w:trPr>
          <w:trHeight w:val="229"/>
        </w:trPr>
        <w:tc>
          <w:tcPr>
            <w:tcW w:w="344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8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23"/>
        </w:trPr>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March 31, 2022</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55,640,154</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90,899</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89,869</w:t>
            </w:r>
          </w:p>
        </w:tc>
        <w:tc>
          <w:tcPr>
            <w:tcW w:w="0" w:type="dxa"/>
            <w:vAlign w:val="bottom"/>
          </w:tcPr>
          <w:p>
            <w:pPr>
              <w:spacing w:after="0"/>
              <w:rPr>
                <w:sz w:val="1"/>
                <w:szCs w:val="1"/>
                <w:color w:val="auto"/>
              </w:rPr>
            </w:pPr>
          </w:p>
        </w:tc>
      </w:tr>
      <w:tr>
        <w:trPr>
          <w:trHeight w:val="229"/>
        </w:trPr>
        <w:tc>
          <w:tcPr>
            <w:tcW w:w="3440" w:type="dxa"/>
            <w:vAlign w:val="bottom"/>
          </w:tcPr>
          <w:p>
            <w:pPr>
              <w:ind w:left="160"/>
              <w:spacing w:after="0"/>
              <w:rPr>
                <w:sz w:val="20"/>
                <w:szCs w:val="20"/>
                <w:color w:val="auto"/>
              </w:rPr>
            </w:pPr>
            <w:r>
              <w:rPr>
                <w:rFonts w:ascii="Arial" w:cs="Arial" w:eastAsia="Arial" w:hAnsi="Arial"/>
                <w:sz w:val="18"/>
                <w:szCs w:val="18"/>
                <w:color w:val="auto"/>
              </w:rPr>
              <w:t>Distributions</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Equity-based compensation</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7,275</w:t>
            </w:r>
          </w:p>
        </w:tc>
        <w:tc>
          <w:tcPr>
            <w:tcW w:w="0" w:type="dxa"/>
            <w:vAlign w:val="bottom"/>
          </w:tcPr>
          <w:p>
            <w:pPr>
              <w:spacing w:after="0"/>
              <w:rPr>
                <w:sz w:val="1"/>
                <w:szCs w:val="1"/>
                <w:color w:val="auto"/>
              </w:rPr>
            </w:pPr>
          </w:p>
        </w:tc>
      </w:tr>
      <w:tr>
        <w:trPr>
          <w:trHeight w:val="229"/>
        </w:trPr>
        <w:tc>
          <w:tcPr>
            <w:tcW w:w="344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8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23"/>
        </w:trPr>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June 30, 2022</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55,640,154</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97,880</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97,433</w:t>
            </w:r>
          </w:p>
        </w:tc>
        <w:tc>
          <w:tcPr>
            <w:tcW w:w="0" w:type="dxa"/>
            <w:vAlign w:val="bottom"/>
          </w:tcPr>
          <w:p>
            <w:pPr>
              <w:spacing w:after="0"/>
              <w:rPr>
                <w:sz w:val="1"/>
                <w:szCs w:val="1"/>
                <w:color w:val="auto"/>
              </w:rPr>
            </w:pPr>
          </w:p>
        </w:tc>
      </w:tr>
      <w:tr>
        <w:trPr>
          <w:trHeight w:val="229"/>
        </w:trPr>
        <w:tc>
          <w:tcPr>
            <w:tcW w:w="3440" w:type="dxa"/>
            <w:vAlign w:val="bottom"/>
          </w:tcPr>
          <w:p>
            <w:pPr>
              <w:ind w:left="220"/>
              <w:spacing w:after="0"/>
              <w:rPr>
                <w:sz w:val="20"/>
                <w:szCs w:val="20"/>
                <w:color w:val="auto"/>
              </w:rPr>
            </w:pPr>
            <w:r>
              <w:rPr>
                <w:rFonts w:ascii="Arial" w:cs="Arial" w:eastAsia="Arial" w:hAnsi="Arial"/>
                <w:sz w:val="18"/>
                <w:szCs w:val="18"/>
                <w:color w:val="auto"/>
              </w:rPr>
              <w:t>Distributions</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29"/>
        </w:trPr>
        <w:tc>
          <w:tcPr>
            <w:tcW w:w="3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Dividends</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(24,863)</w:t>
            </w:r>
          </w:p>
        </w:tc>
        <w:tc>
          <w:tcPr>
            <w:tcW w:w="0" w:type="dxa"/>
            <w:vAlign w:val="bottom"/>
          </w:tcPr>
          <w:p>
            <w:pPr>
              <w:spacing w:after="0"/>
              <w:rPr>
                <w:sz w:val="1"/>
                <w:szCs w:val="1"/>
                <w:color w:val="auto"/>
              </w:rPr>
            </w:pPr>
          </w:p>
        </w:tc>
      </w:tr>
      <w:tr>
        <w:trPr>
          <w:trHeight w:val="230"/>
        </w:trPr>
        <w:tc>
          <w:tcPr>
            <w:tcW w:w="3440" w:type="dxa"/>
            <w:vAlign w:val="bottom"/>
          </w:tcPr>
          <w:p>
            <w:pPr>
              <w:ind w:left="220"/>
              <w:spacing w:after="0"/>
              <w:rPr>
                <w:sz w:val="20"/>
                <w:szCs w:val="20"/>
                <w:color w:val="auto"/>
              </w:rPr>
            </w:pPr>
            <w:r>
              <w:rPr>
                <w:rFonts w:ascii="Arial" w:cs="Arial" w:eastAsia="Arial" w:hAnsi="Arial"/>
                <w:sz w:val="18"/>
                <w:szCs w:val="18"/>
                <w:color w:val="auto"/>
              </w:rPr>
              <w:t>Equity-based compensation</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7,370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7,370</w:t>
            </w:r>
          </w:p>
        </w:tc>
        <w:tc>
          <w:tcPr>
            <w:tcW w:w="0" w:type="dxa"/>
            <w:vAlign w:val="bottom"/>
          </w:tcPr>
          <w:p>
            <w:pPr>
              <w:spacing w:after="0"/>
              <w:rPr>
                <w:sz w:val="1"/>
                <w:szCs w:val="1"/>
                <w:color w:val="auto"/>
              </w:rPr>
            </w:pPr>
          </w:p>
        </w:tc>
      </w:tr>
      <w:tr>
        <w:trPr>
          <w:trHeight w:val="229"/>
        </w:trPr>
        <w:tc>
          <w:tcPr>
            <w:tcW w:w="3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loss</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(7,377)</w:t>
            </w:r>
          </w:p>
        </w:tc>
        <w:tc>
          <w:tcPr>
            <w:tcW w:w="0" w:type="dxa"/>
            <w:vAlign w:val="bottom"/>
          </w:tcPr>
          <w:p>
            <w:pPr>
              <w:spacing w:after="0"/>
              <w:rPr>
                <w:sz w:val="1"/>
                <w:szCs w:val="1"/>
                <w:color w:val="auto"/>
              </w:rPr>
            </w:pPr>
          </w:p>
        </w:tc>
      </w:tr>
      <w:tr>
        <w:trPr>
          <w:trHeight w:val="230"/>
        </w:trPr>
        <w:tc>
          <w:tcPr>
            <w:tcW w:w="34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comprehensive loss</w:t>
            </w:r>
          </w:p>
        </w:tc>
        <w:tc>
          <w:tcPr>
            <w:tcW w:w="12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ind w:left="1320"/>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8"/>
        </w:trPr>
        <w:tc>
          <w:tcPr>
            <w:tcW w:w="3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2022</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55,640,154</w:t>
            </w:r>
          </w:p>
        </w:tc>
        <w:tc>
          <w:tcPr>
            <w:tcW w:w="8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80,231</w:t>
            </w: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ind w:left="1320"/>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(7,880)</w:t>
            </w:r>
          </w:p>
        </w:tc>
        <w:tc>
          <w:tcPr>
            <w:tcW w:w="10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72,471</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56,181,689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85,858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70,766</w:t>
            </w:r>
          </w:p>
        </w:tc>
        <w:tc>
          <w:tcPr>
            <w:tcW w:w="0" w:type="dxa"/>
            <w:vAlign w:val="bottom"/>
          </w:tcPr>
          <w:p>
            <w:pPr>
              <w:spacing w:after="0"/>
              <w:rPr>
                <w:sz w:val="1"/>
                <w:szCs w:val="1"/>
                <w:color w:val="auto"/>
              </w:rPr>
            </w:pPr>
          </w:p>
        </w:tc>
      </w:tr>
      <w:tr>
        <w:trPr>
          <w:trHeight w:val="175"/>
        </w:trPr>
        <w:tc>
          <w:tcPr>
            <w:tcW w:w="3440" w:type="dxa"/>
            <w:vAlign w:val="bottom"/>
          </w:tcPr>
          <w:p>
            <w:pPr>
              <w:ind w:left="160"/>
              <w:spacing w:after="0" w:line="176" w:lineRule="exact"/>
              <w:rPr>
                <w:sz w:val="20"/>
                <w:szCs w:val="20"/>
                <w:color w:val="auto"/>
              </w:rPr>
            </w:pPr>
            <w:r>
              <w:rPr>
                <w:rFonts w:ascii="Arial" w:cs="Arial" w:eastAsia="Arial" w:hAnsi="Arial"/>
                <w:sz w:val="18"/>
                <w:szCs w:val="18"/>
                <w:color w:val="auto"/>
              </w:rPr>
              <w:t>Issuance of common stock through unit</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160"/>
              <w:spacing w:after="0"/>
              <w:rPr>
                <w:sz w:val="20"/>
                <w:szCs w:val="20"/>
                <w:color w:val="auto"/>
              </w:rPr>
            </w:pPr>
            <w:r>
              <w:rPr>
                <w:rFonts w:ascii="Arial" w:cs="Arial" w:eastAsia="Arial" w:hAnsi="Arial"/>
                <w:sz w:val="18"/>
                <w:szCs w:val="18"/>
                <w:color w:val="auto"/>
              </w:rPr>
              <w:t>vesting</w:t>
            </w:r>
          </w:p>
        </w:tc>
        <w:tc>
          <w:tcPr>
            <w:tcW w:w="1120" w:type="dxa"/>
            <w:vAlign w:val="bottom"/>
          </w:tcPr>
          <w:p>
            <w:pPr>
              <w:jc w:val="right"/>
              <w:spacing w:after="0"/>
              <w:rPr>
                <w:sz w:val="20"/>
                <w:szCs w:val="20"/>
                <w:color w:val="auto"/>
              </w:rPr>
            </w:pPr>
            <w:r>
              <w:rPr>
                <w:rFonts w:ascii="Arial" w:cs="Arial" w:eastAsia="Arial" w:hAnsi="Arial"/>
                <w:sz w:val="18"/>
                <w:szCs w:val="18"/>
                <w:color w:val="auto"/>
              </w:rPr>
              <w:t>529,571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8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3440" w:type="dxa"/>
            <w:vAlign w:val="bottom"/>
          </w:tcPr>
          <w:p>
            <w:pPr>
              <w:ind w:left="160"/>
              <w:spacing w:after="0"/>
              <w:rPr>
                <w:sz w:val="20"/>
                <w:szCs w:val="20"/>
                <w:color w:val="auto"/>
              </w:rPr>
            </w:pPr>
            <w:r>
              <w:rPr>
                <w:rFonts w:ascii="Arial" w:cs="Arial" w:eastAsia="Arial" w:hAnsi="Arial"/>
                <w:sz w:val="18"/>
                <w:szCs w:val="18"/>
                <w:color w:val="auto"/>
              </w:rPr>
              <w:t>Equity-based compensation</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4,388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4,388</w:t>
            </w:r>
          </w:p>
        </w:tc>
        <w:tc>
          <w:tcPr>
            <w:tcW w:w="0" w:type="dxa"/>
            <w:vAlign w:val="bottom"/>
          </w:tcPr>
          <w:p>
            <w:pPr>
              <w:spacing w:after="0"/>
              <w:rPr>
                <w:sz w:val="1"/>
                <w:szCs w:val="1"/>
                <w:color w:val="auto"/>
              </w:rPr>
            </w:pPr>
          </w:p>
        </w:tc>
      </w:tr>
      <w:tr>
        <w:trPr>
          <w:trHeight w:val="229"/>
        </w:trPr>
        <w:tc>
          <w:tcPr>
            <w:tcW w:w="3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3440" w:type="dxa"/>
            <w:vAlign w:val="bottom"/>
          </w:tcPr>
          <w:p>
            <w:pPr>
              <w:ind w:left="160"/>
              <w:spacing w:after="0"/>
              <w:rPr>
                <w:sz w:val="20"/>
                <w:szCs w:val="20"/>
                <w:color w:val="auto"/>
              </w:rPr>
            </w:pPr>
            <w:r>
              <w:rPr>
                <w:rFonts w:ascii="Arial" w:cs="Arial" w:eastAsia="Arial" w:hAnsi="Arial"/>
                <w:sz w:val="18"/>
                <w:szCs w:val="18"/>
                <w:color w:val="auto"/>
              </w:rPr>
              <w:t>Other comprehensive income</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80" w:type="dxa"/>
            <w:vAlign w:val="bottom"/>
          </w:tcPr>
          <w:p>
            <w:pPr>
              <w:ind w:left="132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March 31, 2023</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56,711,260</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90,312</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(15,086)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75,228</w:t>
            </w:r>
          </w:p>
        </w:tc>
        <w:tc>
          <w:tcPr>
            <w:tcW w:w="0" w:type="dxa"/>
            <w:vAlign w:val="bottom"/>
          </w:tcPr>
          <w:p>
            <w:pPr>
              <w:spacing w:after="0"/>
              <w:rPr>
                <w:sz w:val="1"/>
                <w:szCs w:val="1"/>
                <w:color w:val="auto"/>
              </w:rPr>
            </w:pPr>
          </w:p>
        </w:tc>
      </w:tr>
      <w:tr>
        <w:trPr>
          <w:trHeight w:val="175"/>
        </w:trPr>
        <w:tc>
          <w:tcPr>
            <w:tcW w:w="3440" w:type="dxa"/>
            <w:vAlign w:val="bottom"/>
          </w:tcPr>
          <w:p>
            <w:pPr>
              <w:ind w:left="160"/>
              <w:spacing w:after="0" w:line="176" w:lineRule="exact"/>
              <w:rPr>
                <w:sz w:val="20"/>
                <w:szCs w:val="20"/>
                <w:color w:val="auto"/>
              </w:rPr>
            </w:pPr>
            <w:r>
              <w:rPr>
                <w:rFonts w:ascii="Arial" w:cs="Arial" w:eastAsia="Arial" w:hAnsi="Arial"/>
                <w:sz w:val="18"/>
                <w:szCs w:val="18"/>
                <w:color w:val="auto"/>
              </w:rPr>
              <w:t>Issuance of common stock through unit</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160"/>
              <w:spacing w:after="0"/>
              <w:rPr>
                <w:sz w:val="20"/>
                <w:szCs w:val="20"/>
                <w:color w:val="auto"/>
              </w:rPr>
            </w:pPr>
            <w:r>
              <w:rPr>
                <w:rFonts w:ascii="Arial" w:cs="Arial" w:eastAsia="Arial" w:hAnsi="Arial"/>
                <w:sz w:val="18"/>
                <w:szCs w:val="18"/>
                <w:color w:val="auto"/>
              </w:rPr>
              <w:t>vesting</w:t>
            </w:r>
          </w:p>
        </w:tc>
        <w:tc>
          <w:tcPr>
            <w:tcW w:w="1120" w:type="dxa"/>
            <w:vAlign w:val="bottom"/>
          </w:tcPr>
          <w:p>
            <w:pPr>
              <w:jc w:val="right"/>
              <w:spacing w:after="0"/>
              <w:rPr>
                <w:sz w:val="20"/>
                <w:szCs w:val="20"/>
                <w:color w:val="auto"/>
              </w:rPr>
            </w:pPr>
            <w:r>
              <w:rPr>
                <w:rFonts w:ascii="Arial" w:cs="Arial" w:eastAsia="Arial" w:hAnsi="Arial"/>
                <w:sz w:val="18"/>
                <w:szCs w:val="18"/>
                <w:color w:val="auto"/>
              </w:rPr>
              <w:t>73,708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8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3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0"/>
        </w:trPr>
        <w:tc>
          <w:tcPr>
            <w:tcW w:w="3440" w:type="dxa"/>
            <w:vAlign w:val="bottom"/>
          </w:tcPr>
          <w:p>
            <w:pPr>
              <w:ind w:left="160"/>
              <w:spacing w:after="0"/>
              <w:rPr>
                <w:sz w:val="20"/>
                <w:szCs w:val="20"/>
                <w:color w:val="auto"/>
              </w:rPr>
            </w:pPr>
            <w:r>
              <w:rPr>
                <w:rFonts w:ascii="Arial" w:cs="Arial" w:eastAsia="Arial" w:hAnsi="Arial"/>
                <w:sz w:val="18"/>
                <w:szCs w:val="18"/>
                <w:color w:val="auto"/>
              </w:rPr>
              <w:t>Equity-based compensation</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4,603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4,603</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w:t>
            </w:r>
          </w:p>
        </w:tc>
        <w:tc>
          <w:tcPr>
            <w:tcW w:w="0" w:type="dxa"/>
            <w:vAlign w:val="bottom"/>
          </w:tcPr>
          <w:p>
            <w:pPr>
              <w:spacing w:after="0"/>
              <w:rPr>
                <w:sz w:val="1"/>
                <w:szCs w:val="1"/>
                <w:color w:val="auto"/>
              </w:rPr>
            </w:pPr>
          </w:p>
        </w:tc>
      </w:tr>
      <w:tr>
        <w:trPr>
          <w:trHeight w:val="230"/>
        </w:trPr>
        <w:tc>
          <w:tcPr>
            <w:tcW w:w="3440" w:type="dxa"/>
            <w:vAlign w:val="bottom"/>
          </w:tcPr>
          <w:p>
            <w:pPr>
              <w:ind w:left="160"/>
              <w:spacing w:after="0"/>
              <w:rPr>
                <w:sz w:val="20"/>
                <w:szCs w:val="20"/>
                <w:color w:val="auto"/>
              </w:rPr>
            </w:pPr>
            <w:r>
              <w:rPr>
                <w:rFonts w:ascii="Arial" w:cs="Arial" w:eastAsia="Arial" w:hAnsi="Arial"/>
                <w:sz w:val="18"/>
                <w:szCs w:val="18"/>
                <w:color w:val="auto"/>
              </w:rPr>
              <w:t>Other comprehensive loss</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3"/>
        </w:trPr>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June 30, 2023</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56,784,968</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94,836</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81,472</w:t>
            </w:r>
          </w:p>
        </w:tc>
        <w:tc>
          <w:tcPr>
            <w:tcW w:w="0" w:type="dxa"/>
            <w:vAlign w:val="bottom"/>
          </w:tcPr>
          <w:p>
            <w:pPr>
              <w:spacing w:after="0"/>
              <w:rPr>
                <w:sz w:val="1"/>
                <w:szCs w:val="1"/>
                <w:color w:val="auto"/>
              </w:rPr>
            </w:pPr>
          </w:p>
        </w:tc>
      </w:tr>
      <w:tr>
        <w:trPr>
          <w:trHeight w:val="175"/>
        </w:trPr>
        <w:tc>
          <w:tcPr>
            <w:tcW w:w="3440" w:type="dxa"/>
            <w:vAlign w:val="bottom"/>
          </w:tcPr>
          <w:p>
            <w:pPr>
              <w:ind w:left="160"/>
              <w:spacing w:after="0" w:line="176" w:lineRule="exact"/>
              <w:rPr>
                <w:sz w:val="20"/>
                <w:szCs w:val="20"/>
                <w:color w:val="auto"/>
              </w:rPr>
            </w:pPr>
            <w:r>
              <w:rPr>
                <w:rFonts w:ascii="Arial" w:cs="Arial" w:eastAsia="Arial" w:hAnsi="Arial"/>
                <w:sz w:val="18"/>
                <w:szCs w:val="18"/>
                <w:color w:val="auto"/>
              </w:rPr>
              <w:t>Issuance of common stock through unit</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160"/>
              <w:spacing w:after="0"/>
              <w:rPr>
                <w:sz w:val="20"/>
                <w:szCs w:val="20"/>
                <w:color w:val="auto"/>
              </w:rPr>
            </w:pPr>
            <w:r>
              <w:rPr>
                <w:rFonts w:ascii="Arial" w:cs="Arial" w:eastAsia="Arial" w:hAnsi="Arial"/>
                <w:sz w:val="18"/>
                <w:szCs w:val="18"/>
                <w:color w:val="auto"/>
              </w:rPr>
              <w:t>vesting</w:t>
            </w:r>
          </w:p>
        </w:tc>
        <w:tc>
          <w:tcPr>
            <w:tcW w:w="1120" w:type="dxa"/>
            <w:vAlign w:val="bottom"/>
          </w:tcPr>
          <w:p>
            <w:pPr>
              <w:jc w:val="right"/>
              <w:spacing w:after="0"/>
              <w:rPr>
                <w:sz w:val="20"/>
                <w:szCs w:val="20"/>
                <w:color w:val="auto"/>
              </w:rPr>
            </w:pPr>
            <w:r>
              <w:rPr>
                <w:rFonts w:ascii="Arial" w:cs="Arial" w:eastAsia="Arial" w:hAnsi="Arial"/>
                <w:sz w:val="18"/>
                <w:szCs w:val="18"/>
                <w:color w:val="auto"/>
              </w:rPr>
              <w:t>119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8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Equity-based compensation</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4,492</w:t>
            </w:r>
          </w:p>
        </w:tc>
        <w:tc>
          <w:tcPr>
            <w:tcW w:w="0" w:type="dxa"/>
            <w:vAlign w:val="bottom"/>
          </w:tcPr>
          <w:p>
            <w:pPr>
              <w:spacing w:after="0"/>
              <w:rPr>
                <w:sz w:val="1"/>
                <w:szCs w:val="1"/>
                <w:color w:val="auto"/>
              </w:rPr>
            </w:pPr>
          </w:p>
        </w:tc>
      </w:tr>
      <w:tr>
        <w:trPr>
          <w:trHeight w:val="230"/>
        </w:trPr>
        <w:tc>
          <w:tcPr>
            <w:tcW w:w="344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8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(1,667)</w:t>
            </w:r>
          </w:p>
        </w:tc>
        <w:tc>
          <w:tcPr>
            <w:tcW w:w="0" w:type="dxa"/>
            <w:vAlign w:val="bottom"/>
          </w:tcPr>
          <w:p>
            <w:pPr>
              <w:spacing w:after="0"/>
              <w:rPr>
                <w:sz w:val="1"/>
                <w:szCs w:val="1"/>
                <w:color w:val="auto"/>
              </w:rPr>
            </w:pPr>
          </w:p>
        </w:tc>
      </w:tr>
      <w:tr>
        <w:trPr>
          <w:trHeight w:val="229"/>
        </w:trPr>
        <w:tc>
          <w:tcPr>
            <w:tcW w:w="3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comprehensive loss</w:t>
            </w:r>
          </w:p>
        </w:tc>
        <w:tc>
          <w:tcPr>
            <w:tcW w:w="120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3"/>
        </w:trPr>
        <w:tc>
          <w:tcPr>
            <w:tcW w:w="3440" w:type="dxa"/>
            <w:vAlign w:val="bottom"/>
          </w:tcPr>
          <w:p>
            <w:pPr>
              <w:spacing w:after="0"/>
              <w:rPr>
                <w:sz w:val="20"/>
                <w:szCs w:val="20"/>
                <w:color w:val="auto"/>
              </w:rPr>
            </w:pPr>
            <w:r>
              <w:rPr>
                <w:rFonts w:ascii="Arial" w:cs="Arial" w:eastAsia="Arial" w:hAnsi="Arial"/>
                <w:sz w:val="18"/>
                <w:szCs w:val="18"/>
                <w:b w:val="1"/>
                <w:bCs w:val="1"/>
                <w:color w:val="auto"/>
              </w:rPr>
              <w:t>Balance at September 30, 2023</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56,785,087</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99,328</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(14,977)</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84,191</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517" w:right="51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AirSculpt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4"/>
                <w:szCs w:val="14"/>
                <w:color w:val="auto"/>
              </w:rPr>
            </w:pPr>
          </w:p>
        </w:tc>
      </w:t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spacing w:after="0"/>
              <w:rPr>
                <w:sz w:val="16"/>
                <w:szCs w:val="16"/>
                <w:color w:val="auto"/>
              </w:rPr>
            </w:pPr>
          </w:p>
        </w:tc>
      </w:tr>
      <w:tr>
        <w:trPr>
          <w:trHeight w:val="26"/>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4"/>
        </w:trPr>
        <w:tc>
          <w:tcPr>
            <w:tcW w:w="8180" w:type="dxa"/>
            <w:vAlign w:val="bottom"/>
          </w:tcPr>
          <w:p>
            <w:pPr>
              <w:ind w:left="20"/>
              <w:spacing w:after="0"/>
              <w:rPr>
                <w:sz w:val="20"/>
                <w:szCs w:val="20"/>
                <w:color w:val="auto"/>
              </w:rPr>
            </w:pPr>
            <w:r>
              <w:rPr>
                <w:rFonts w:ascii="Arial" w:cs="Arial" w:eastAsia="Arial" w:hAnsi="Arial"/>
                <w:sz w:val="14"/>
                <w:szCs w:val="14"/>
                <w:color w:val="auto"/>
              </w:rPr>
              <w:t>($000s)</w:t>
            </w: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11"/>
              <w:spacing w:after="0"/>
              <w:rPr>
                <w:sz w:val="20"/>
                <w:szCs w:val="20"/>
                <w:color w:val="auto"/>
              </w:rPr>
            </w:pPr>
            <w:r>
              <w:rPr>
                <w:rFonts w:ascii="Arial" w:cs="Arial" w:eastAsia="Arial" w:hAnsi="Arial"/>
                <w:sz w:val="14"/>
                <w:szCs w:val="14"/>
                <w:b w:val="1"/>
                <w:bCs w:val="1"/>
                <w:color w:val="auto"/>
                <w:w w:val="89"/>
              </w:rPr>
              <w:t>2022</w:t>
            </w:r>
          </w:p>
        </w:tc>
      </w:tr>
      <w:tr>
        <w:trPr>
          <w:trHeight w:val="26"/>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Net income/(loss)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(7,487)</w:t>
            </w:r>
          </w:p>
        </w:tc>
      </w:tr>
      <w:tr>
        <w:trPr>
          <w:trHeight w:val="26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income/(loss) to net cash provided by operating activities: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250"/>
        </w:trPr>
        <w:tc>
          <w:tcPr>
            <w:tcW w:w="81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7,479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5,842</w:t>
            </w:r>
          </w:p>
        </w:tc>
      </w:tr>
      <w:tr>
        <w:trPr>
          <w:trHeight w:val="263"/>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Equity-based compensation</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13,483</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21,961</w:t>
            </w:r>
          </w:p>
        </w:tc>
      </w:tr>
      <w:tr>
        <w:trPr>
          <w:trHeight w:val="250"/>
        </w:trPr>
        <w:tc>
          <w:tcPr>
            <w:tcW w:w="8180" w:type="dxa"/>
            <w:vAlign w:val="bottom"/>
          </w:tcPr>
          <w:p>
            <w:pPr>
              <w:ind w:left="180"/>
              <w:spacing w:after="0"/>
              <w:rPr>
                <w:sz w:val="20"/>
                <w:szCs w:val="20"/>
                <w:color w:val="auto"/>
              </w:rPr>
            </w:pPr>
            <w:r>
              <w:rPr>
                <w:rFonts w:ascii="Arial" w:cs="Arial" w:eastAsia="Arial" w:hAnsi="Arial"/>
                <w:sz w:val="18"/>
                <w:szCs w:val="18"/>
                <w:color w:val="auto"/>
              </w:rPr>
              <w:t>Non-cash interest expense; amortization of debt costs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706</w:t>
            </w:r>
          </w:p>
        </w:tc>
      </w:tr>
      <w:tr>
        <w:trPr>
          <w:trHeight w:val="263"/>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(Gain)/loss on disposal of long-lived assets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r>
      <w:tr>
        <w:trPr>
          <w:trHeight w:val="250"/>
        </w:trPr>
        <w:tc>
          <w:tcPr>
            <w:tcW w:w="8180" w:type="dxa"/>
            <w:vAlign w:val="bottom"/>
          </w:tcPr>
          <w:p>
            <w:pPr>
              <w:ind w:left="180"/>
              <w:spacing w:after="0"/>
              <w:rPr>
                <w:sz w:val="20"/>
                <w:szCs w:val="20"/>
                <w:color w:val="auto"/>
              </w:rPr>
            </w:pPr>
            <w:r>
              <w:rPr>
                <w:rFonts w:ascii="Arial" w:cs="Arial" w:eastAsia="Arial" w:hAnsi="Arial"/>
                <w:sz w:val="18"/>
                <w:szCs w:val="18"/>
                <w:color w:val="auto"/>
              </w:rPr>
              <w:t>Changes in assets and liabilities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63"/>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Taxes receivable</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8180" w:type="dxa"/>
            <w:vAlign w:val="bottom"/>
          </w:tcPr>
          <w:p>
            <w:pPr>
              <w:ind w:left="360"/>
              <w:spacing w:after="0"/>
              <w:rPr>
                <w:sz w:val="20"/>
                <w:szCs w:val="20"/>
                <w:color w:val="auto"/>
              </w:rPr>
            </w:pPr>
            <w:r>
              <w:rPr>
                <w:rFonts w:ascii="Arial" w:cs="Arial" w:eastAsia="Arial" w:hAnsi="Arial"/>
                <w:sz w:val="18"/>
                <w:szCs w:val="18"/>
                <w:color w:val="auto"/>
              </w:rPr>
              <w:t>Prepaid expense and other current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2,079</w:t>
            </w:r>
          </w:p>
        </w:tc>
      </w:tr>
      <w:tr>
        <w:trPr>
          <w:trHeight w:val="263"/>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assets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(8,165)</w:t>
            </w:r>
          </w:p>
        </w:tc>
      </w:tr>
      <w:tr>
        <w:trPr>
          <w:trHeight w:val="250"/>
        </w:trPr>
        <w:tc>
          <w:tcPr>
            <w:tcW w:w="818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(287)</w:t>
            </w:r>
          </w:p>
        </w:tc>
      </w:tr>
      <w:tr>
        <w:trPr>
          <w:trHeight w:val="263"/>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 and patient deposits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r>
      <w:tr>
        <w:trPr>
          <w:trHeight w:val="250"/>
        </w:trPr>
        <w:tc>
          <w:tcPr>
            <w:tcW w:w="81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Accrued and other liabilities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2,041</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3,532</w:t>
            </w:r>
          </w:p>
        </w:tc>
      </w:tr>
      <w:tr>
        <w:trPr>
          <w:trHeight w:val="257"/>
        </w:trPr>
        <w:tc>
          <w:tcPr>
            <w:tcW w:w="81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19,090</w:t>
            </w: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17,807</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property and equipment, net</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(8,092)</w:t>
            </w: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(10,726)</w:t>
            </w:r>
          </w:p>
        </w:tc>
      </w:tr>
      <w:tr>
        <w:trPr>
          <w:trHeight w:val="250"/>
        </w:trPr>
        <w:tc>
          <w:tcPr>
            <w:tcW w:w="818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(8,092)</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(10,726)</w:t>
            </w:r>
          </w:p>
        </w:tc>
      </w:tr>
      <w:tr>
        <w:trPr>
          <w:trHeight w:val="24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Payment on term loan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(11,594)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(637)</w:t>
            </w:r>
          </w:p>
        </w:tc>
      </w:tr>
      <w:tr>
        <w:trPr>
          <w:trHeight w:val="26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 to member</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Dividends paid to shareholders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(22,812)</w:t>
            </w:r>
          </w:p>
        </w:tc>
      </w:tr>
      <w:tr>
        <w:trPr>
          <w:trHeight w:val="257"/>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financing activity</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50"/>
        </w:trPr>
        <w:tc>
          <w:tcPr>
            <w:tcW w:w="818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(11,954)</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(24,828)</w:t>
            </w:r>
          </w:p>
        </w:tc>
      </w:tr>
      <w:tr>
        <w:trPr>
          <w:trHeight w:val="256"/>
        </w:trPr>
        <w:tc>
          <w:tcPr>
            <w:tcW w:w="81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Net decrease in cash and cash equivalents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(17,747)</w:t>
            </w: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period</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9,616</w:t>
            </w: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25,347</w:t>
            </w:r>
          </w:p>
        </w:tc>
      </w:tr>
      <w:tr>
        <w:trPr>
          <w:trHeight w:val="257"/>
        </w:trPr>
        <w:tc>
          <w:tcPr>
            <w:tcW w:w="8180" w:type="dxa"/>
            <w:vAlign w:val="bottom"/>
          </w:tcPr>
          <w:p>
            <w:pPr>
              <w:ind w:left="20"/>
              <w:spacing w:after="0"/>
              <w:rPr>
                <w:sz w:val="20"/>
                <w:szCs w:val="20"/>
                <w:color w:val="auto"/>
              </w:rPr>
            </w:pPr>
            <w:r>
              <w:rPr>
                <w:rFonts w:ascii="Arial" w:cs="Arial" w:eastAsia="Arial" w:hAnsi="Arial"/>
                <w:sz w:val="18"/>
                <w:szCs w:val="18"/>
                <w:color w:val="auto"/>
              </w:rPr>
              <w:t>End of period</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8,660</w:t>
            </w:r>
          </w:p>
        </w:tc>
        <w:tc>
          <w:tcPr>
            <w:tcW w:w="100" w:type="dxa"/>
            <w:vAlign w:val="bottom"/>
          </w:tcPr>
          <w:p>
            <w:pPr>
              <w:spacing w:after="0"/>
              <w:rPr>
                <w:sz w:val="22"/>
                <w:szCs w:val="22"/>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7,600</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75"/>
        </w:trPr>
        <w:tc>
          <w:tcPr>
            <w:tcW w:w="81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interest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4,791</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4,116</w:t>
            </w: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Cash paid for taxes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4,325</w:t>
            </w:r>
          </w:p>
        </w:tc>
        <w:tc>
          <w:tcPr>
            <w:tcW w:w="100" w:type="dxa"/>
            <w:vAlign w:val="bottom"/>
          </w:tcPr>
          <w:p>
            <w:pPr>
              <w:spacing w:after="0"/>
              <w:rPr>
                <w:sz w:val="21"/>
                <w:szCs w:val="21"/>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4,368</w:t>
            </w:r>
          </w:p>
        </w:tc>
      </w:tr>
      <w:tr>
        <w:trPr>
          <w:trHeight w:val="115"/>
        </w:trPr>
        <w:tc>
          <w:tcPr>
            <w:tcW w:w="81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 of non-cash investing information:</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5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included in accounts payable and accrued expenses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AirSculpt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SUMMARY OF KEY ACCOUNTING POLICIES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AirSculpt Technologies, Inc. (“AirSculpt” or the "Company"), was formed as a Delaware corporation on June 30, 2021. On October 28, 2021, AirSculpt completed an initial public offering (“IPO”) of 8,050,000 shares of common stock at an initial public offering price of $11.00 per share. Immediately following the IPO, AirSculpt’s total outstanding shares were 55,640,154. Pursuant to a reorganization (the “Reorganization”) among entities under common control immediately prior to the IPO, AirSculpt became a holding company with its principal asset being 100% of the ownership interests in EBS Intermediate Parent LLC. The Company's revenues are concentrated in the specialty, minimally invasive liposuction market. The operations of the Company prior to the IPO represent the predecessor to AirSculpt. The Company and its consolidated subsidiaries are referred to collectively in these consolidated financial statements as “we,” “our,” and “us.” Solely for convenience, some of the copyrights, trade names and trademarks referred to in these consolidated financial statements are listed without their </w:t>
      </w:r>
      <w:r>
        <w:rPr>
          <w:rFonts w:ascii="Arial" w:cs="Arial" w:eastAsia="Arial" w:hAnsi="Arial"/>
          <w:sz w:val="12"/>
          <w:szCs w:val="12"/>
          <w:color w:val="auto"/>
        </w:rPr>
        <w:t>©</w:t>
      </w:r>
      <w:r>
        <w:rPr>
          <w:rFonts w:ascii="Arial" w:cs="Arial" w:eastAsia="Arial" w:hAnsi="Arial"/>
          <w:sz w:val="17"/>
          <w:szCs w:val="17"/>
          <w:color w:val="auto"/>
        </w:rPr>
        <w:t xml:space="preserve">, </w:t>
      </w:r>
      <w:r>
        <w:rPr>
          <w:rFonts w:ascii="Arial" w:cs="Arial" w:eastAsia="Arial" w:hAnsi="Arial"/>
          <w:sz w:val="12"/>
          <w:szCs w:val="12"/>
          <w:color w:val="auto"/>
        </w:rPr>
        <w:t>®</w:t>
      </w:r>
      <w:r>
        <w:rPr>
          <w:rFonts w:ascii="Arial" w:cs="Arial" w:eastAsia="Arial" w:hAnsi="Arial"/>
          <w:sz w:val="17"/>
          <w:szCs w:val="17"/>
          <w:color w:val="auto"/>
        </w:rPr>
        <w:t xml:space="preserve"> and ™ symbols, but we will assert, to the fullest extent under applicable law, our rights to our copyrights, trade names and trademarks.</w:t>
      </w:r>
    </w:p>
    <w:p>
      <w:pPr>
        <w:spacing w:after="0" w:line="18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through its wholly-owned subsidiaries, is a provider of practice management services to professional associations (“PAs”) located throughout the United States, Canada, and the United Kingdom. The Company owns and operates non-clinical assets and provides its management services to the PAs through management services agreements (“MSAs”). Management services provide for the administration of the non-clinical aspects of the medical operations and include, but are not limited to, financial, administrative, technical, marketing, and personnel services. Pursuant to the MSA, the PA is responsible for all clinical aspects of the medical operations of the practice.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consolidated financial statements present the financial position and results of operations of the Company, its wholly-owned domestic and international subsidiaries, and the Domestic PAs, which are under the control of the Company and are considered variable interest entities in which the Company is the primary beneficiary.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All intercompany accounts and transactions have been eliminated in consolidation.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Variable Interest Entities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has a variable interest in the managed PAs in the United States ("Domestic PAs") where it has a long-term and unilateral controlling financial interest over such Domestic PAs’ assets and operations. The Company has the ability to direct the activities that most significantly affect the Domestic PAs’ economic performance via the MSAs and related agreements. The Company is a practice management service organization and does not engage in the practice of medicine. These services are provided by licensed professionals at each of the Domestic PAs. Certain key features of the MSAs and related agreements enable the Company to assign the member interests of certain of the Domestic PAs to another member designated by the Company (i.e., “nominee shareholder”) for a nominal value in certain circumstances at the Company’s sole discretion. The MSA does not allow the Company to be involved in, or provide guidance on, the clinical operations of the Domestic PAs. The Company consolidates the Domestic PAs into the financial statements. All of the Company’s revenue is earned from services provided by the Domestic PAs and its wholly-owned foreign subsidiaries in the United Kingdom and Canada. The only assets and liabilities held by the domestic PAs included in the accompanying consolidated balance sheets are clinical related. The clinical assets and liabilities are not material to the Company as a whole.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Estimates</w:t>
      </w:r>
    </w:p>
    <w:p>
      <w:pPr>
        <w:spacing w:after="0" w:line="14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liabilities, disclosure of contingent assets and liabilities as of the date of the consolidated financial statements and the reported amounts of revenues and expenses during the reporting period. Actual results could differ from those estimates.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Concentration of Credit Risk</w:t>
      </w:r>
    </w:p>
    <w:p>
      <w:pPr>
        <w:spacing w:after="0" w:line="14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considers all highly liquid investments with original maturities of three months or less when purchased to be cash equivalents. The Company’s revenues are concentrated in the specialty, minimally invasive liposuction market.</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maintains cash balances at financial institutions which may at times exceed the amount covered by the Federal Deposit Insurance Corporation. The Company has not experienced any losses in such accounts.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consists primarily of revenue earned for the provision of the Company’s patented AirSculpt® procedures. A performance obligation is a promise in a contract to transfer a distinct good or service to the customer and is the unit of account for revenue recognition. A contract’s transaction price is allocated to each distinct performance obligation and recognized as revenue when, or as, the performance obligation is satisfied. The Company’s performance obligations are delivery of specialty, minimally invasive liposuction services.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assists patients, as needed, by providing third-party financing options to pay for procedures. The Company has arrangements with various financing companies to facilitate this option. There is a financing transaction fee based on a set percentage of the amount financed and are not contingent upon any criteria. The Company recognizes revenue based on the expected transaction price which is reduced for financing fees.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for services is recognized when the service is performed. Payment is typically rendered in advance of the service. Customer contracts generally do not include more than one performance obligation.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policy is to require payment for services in advance. Payments received for services that have yet to be performed as of September 30, 2023 and December 31, 2022 are included in deferred revenue and patient deposits.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 of Service</w:t>
      </w:r>
    </w:p>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Cost of service is comprised of all service and product costs related to the delivery of procedures, including but not limited to compensation to doctors, nurses and clinical staff, supply costs, and facility rent expense.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Financing Costs, Net</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Loan costs and discounts are capitalized in the period in which they are incurred and amortized on the straight-line basis over the term of the respective financing agreement which approximates the effective interest method. These costs are included as a reduction of long-term debt on the condensed consolidated balance sheets. Total amortization of deferred financing costs was approximately $0.3 million and $0.2 million for the three months ended September 30, 2023 and 2022, respectively. Total amortization of deferred financing costs was approximately $0.8 million and $0.7 million for the nine months ended September 30, 2023 and 2022, respectively. Amortization of loan costs and discounts is included as a component of interest expense.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Long-Lived Assets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The Company accounts for impairment of long-lived assets in accordance with the provisions of the Financial Accounting Standards Board (“FASB”) Accounting Standards Codification (“ASC”) Topic 350, </w:t>
      </w:r>
      <w:r>
        <w:rPr>
          <w:rFonts w:ascii="Arial" w:cs="Arial" w:eastAsia="Arial" w:hAnsi="Arial"/>
          <w:sz w:val="17"/>
          <w:szCs w:val="17"/>
          <w:i w:val="1"/>
          <w:iCs w:val="1"/>
          <w:color w:val="auto"/>
        </w:rPr>
        <w:t>Intangibles – Goodwill and Other</w:t>
      </w:r>
      <w:r>
        <w:rPr>
          <w:rFonts w:ascii="Arial" w:cs="Arial" w:eastAsia="Arial" w:hAnsi="Arial"/>
          <w:sz w:val="17"/>
          <w:szCs w:val="17"/>
          <w:color w:val="auto"/>
        </w:rPr>
        <w:t xml:space="preserve"> and Topic 360, </w:t>
      </w:r>
      <w:r>
        <w:rPr>
          <w:rFonts w:ascii="Arial" w:cs="Arial" w:eastAsia="Arial" w:hAnsi="Arial"/>
          <w:sz w:val="17"/>
          <w:szCs w:val="17"/>
          <w:i w:val="1"/>
          <w:iCs w:val="1"/>
          <w:color w:val="auto"/>
        </w:rPr>
        <w:t>Impairment or Disposal of Long-Lived Assets</w:t>
      </w:r>
      <w:r>
        <w:rPr>
          <w:rFonts w:ascii="Arial" w:cs="Arial" w:eastAsia="Arial" w:hAnsi="Arial"/>
          <w:sz w:val="17"/>
          <w:szCs w:val="17"/>
          <w:color w:val="auto"/>
        </w:rPr>
        <w:t>. These standards require that long-lived assets and certain identifiable intangibles be reviewed for impairment whenever events or changes in circumstances indicate that the carrying amount of an asset may not be recoverable. Recoverability of long-lived assets to be held and used is measured by a comparison of the carrying amount of an asset to future estimated cash flows expected to arise as a direct result of the use and eventual disposition of the asset.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costs to sell. No impairment charges were recognized for the three and nine months ended September 30, 2023 and 2022.</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 xml:space="preserve">ASC Topic 820, </w:t>
      </w:r>
      <w:r>
        <w:rPr>
          <w:rFonts w:ascii="Arial" w:cs="Arial" w:eastAsia="Arial" w:hAnsi="Arial"/>
          <w:sz w:val="17"/>
          <w:szCs w:val="17"/>
          <w:i w:val="1"/>
          <w:iCs w:val="1"/>
          <w:color w:val="auto"/>
        </w:rPr>
        <w:t>Fair Value Measurements and Disclosure</w:t>
      </w:r>
      <w:r>
        <w:rPr>
          <w:rFonts w:ascii="Arial" w:cs="Arial" w:eastAsia="Arial" w:hAnsi="Arial"/>
          <w:sz w:val="17"/>
          <w:szCs w:val="17"/>
          <w:color w:val="auto"/>
        </w:rPr>
        <w:t>s, defines fair value, establishes a framework for measuring fair value in accordance with accounting principles generally accepted in the United States, and expands disclosure requirements about fair value measurements.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ASC Topic 820 defines three categories for the classification and measurement of assets and liabilities carried at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Level 2: Observable market-based inputs or observable inputs that are corroborated by market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Level 3: Unobservable inputs reflecting the reporting entity’s own assumptions.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fair value of financial instruments is generally estimated through the use of public market prices, quotes from financial institutions and other available information. Judgment is required in interpreting data to develop estimates of market value and, accordingly, amounts are not necessarily indicative of the amounts that could be realized in a current market exchange.</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Short-term financial instruments, including cash, prepaid expenses and other current assets, accounts payable, and other liabilities, consist primarily of instruments without extended maturities, for which the fair value, based on management’s estimates, approximates their carrying values. Borrowings bear interest at what is estimated to be current market rates of interest, accordingly, carrying value approximates fair value.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Per Share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earnings per share of common stock is computed by dividing net income/(loss) for the three and nine months ended September 30, 2023 and 2022 by the weighted-average number of shares of common stock outstanding during the same period. Diluted earnings per share of common stock is computed by dividing net income/(loss) for the three and nine months ended September 30, 2023 and 2022 by the weighted-average number of shares of common stock adjusted to give effect to potentially dilutive securities.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Advertising Costs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Advertising costs are expensed in the period when the costs are incurred and are included as a component of selling, general and administrative costs. Advertising expenses were approximately $6.5 million and $5.4 million for the three months ended September 30, 2023 and 2022, respectively, and approximately $19.5 million and $15.4 million for the nine months ended September 30, 2023 and 2022,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Company applies the provisions of ASC 740-10, </w:t>
      </w:r>
      <w:r>
        <w:rPr>
          <w:rFonts w:ascii="Arial" w:cs="Arial" w:eastAsia="Arial" w:hAnsi="Arial"/>
          <w:sz w:val="18"/>
          <w:szCs w:val="18"/>
          <w:i w:val="1"/>
          <w:iCs w:val="1"/>
          <w:color w:val="auto"/>
        </w:rPr>
        <w:t>Accounting for Uncertain Tax Positions</w:t>
      </w:r>
      <w:r>
        <w:rPr>
          <w:rFonts w:ascii="Arial" w:cs="Arial" w:eastAsia="Arial" w:hAnsi="Arial"/>
          <w:sz w:val="18"/>
          <w:szCs w:val="18"/>
          <w:color w:val="auto"/>
        </w:rPr>
        <w:t xml:space="preserve"> (“ASC 740-10”). Under these provisions, companies must determine and assess all material positions existing as of the reporting date, including all significant uncertain positions, for all tax years that are open to assessment or challenge under tax statutes. Additionally, those positions that have only timing consequences are analyzed and separated based on ASC 740-10’s recognition and measurement model.</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ASC 740-10 provides guidance related to uncertain tax positions for pass-through entities and tax-exempt not-for profit entities. ASC 740-10 also modifies disclosure requirements related to uncertain tax positions for nonpublic entities and provides that all entities are subject to ASC 740-10 even if the only tax position in question is the entity’s status as a pass-through.</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required by the uncertain tax position guidance, the Company recognizes the financial statement benefit of a tax position only after determining that the relevant tax authority would more likely than not sustain the position following an audit. For tax positions meeting the more-likely-than-not threshold, the amount recognized in the condensed consolidated financial statements is the largest benefit that has a greater than 50 percent likelihood of being realized upon ultimate settlement with the relevant tax authority. The Company applied the uncertain tax position guidance to all tax positions for which the statute of limitations remained open and determined that there are no uncertain tax positions as of September 30, 2023 or December 31, 2022. The Company is not subject to U.S. federal tax examination prior to 2021, when it was formed.</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an effective tax rate of approximately (89.2)% and (134.6)% for the three months ended September 30, 2023 and 2022, respectively, and approximately 96.4% and (119.9)% for the nine months ended September 30, 2023 and 2022, respectively, inclusive of all applicable U.S. federal and state income taxes.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GOODWILL AND INTANGIBLES, NET</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annual review of goodwill impairment will be performed in October 2023. There were no triggering events during the three and nine months ended September 30, 2023 and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goodwill of $81.7 million at September 30, 2023 and December 31,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 at September 30, 2023 and December 31, 2022 (in 000’s):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35"/>
              <w:spacing w:after="0"/>
              <w:rPr>
                <w:sz w:val="20"/>
                <w:szCs w:val="20"/>
                <w:color w:val="auto"/>
              </w:rPr>
            </w:pPr>
            <w:r>
              <w:rPr>
                <w:rFonts w:ascii="Arial" w:cs="Arial" w:eastAsia="Arial" w:hAnsi="Arial"/>
                <w:sz w:val="14"/>
                <w:szCs w:val="14"/>
                <w:b w:val="1"/>
                <w:bCs w:val="1"/>
                <w:color w:val="auto"/>
              </w:rPr>
              <w:t>December 31,</w:t>
            </w:r>
          </w:p>
        </w:tc>
        <w:tc>
          <w:tcPr>
            <w:tcW w:w="1580" w:type="dxa"/>
            <w:vAlign w:val="bottom"/>
          </w:tcPr>
          <w:p>
            <w:pPr>
              <w:spacing w:after="0"/>
              <w:rPr>
                <w:sz w:val="14"/>
                <w:szCs w:val="14"/>
                <w:color w:val="auto"/>
              </w:rPr>
            </w:pPr>
          </w:p>
        </w:tc>
      </w:tr>
      <w:tr>
        <w:trPr>
          <w:trHeight w:val="186"/>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1580" w:type="dxa"/>
            <w:vAlign w:val="bottom"/>
          </w:tcPr>
          <w:p>
            <w:pPr>
              <w:jc w:val="center"/>
              <w:ind w:left="16"/>
              <w:spacing w:after="0"/>
              <w:rPr>
                <w:sz w:val="20"/>
                <w:szCs w:val="20"/>
                <w:color w:val="auto"/>
              </w:rPr>
            </w:pPr>
            <w:r>
              <w:rPr>
                <w:rFonts w:ascii="Arial" w:cs="Arial" w:eastAsia="Arial" w:hAnsi="Arial"/>
                <w:sz w:val="14"/>
                <w:szCs w:val="14"/>
                <w:b w:val="1"/>
                <w:bCs w:val="1"/>
                <w:color w:val="auto"/>
                <w:w w:val="94"/>
              </w:rPr>
              <w:t>Useful Life</w:t>
            </w:r>
          </w:p>
        </w:tc>
      </w:tr>
      <w:tr>
        <w:trPr>
          <w:trHeight w:val="26"/>
        </w:trPr>
        <w:tc>
          <w:tcPr>
            <w:tcW w:w="6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5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 and know-how</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53,600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53,600</w:t>
            </w:r>
          </w:p>
        </w:tc>
        <w:tc>
          <w:tcPr>
            <w:tcW w:w="1580" w:type="dxa"/>
            <w:vAlign w:val="bottom"/>
            <w:shd w:val="clear" w:color="auto" w:fill="CCEEFF"/>
          </w:tcPr>
          <w:p>
            <w:pPr>
              <w:jc w:val="center"/>
              <w:ind w:left="16"/>
              <w:spacing w:after="0"/>
              <w:rPr>
                <w:sz w:val="20"/>
                <w:szCs w:val="20"/>
                <w:color w:val="auto"/>
              </w:rPr>
            </w:pPr>
            <w:r>
              <w:rPr>
                <w:rFonts w:ascii="Arial" w:cs="Arial" w:eastAsia="Arial" w:hAnsi="Arial"/>
                <w:sz w:val="18"/>
                <w:szCs w:val="18"/>
                <w:color w:val="auto"/>
                <w:w w:val="86"/>
              </w:rPr>
              <w:t>15 years</w:t>
            </w:r>
          </w:p>
        </w:tc>
      </w:tr>
      <w:tr>
        <w:trPr>
          <w:trHeight w:val="250"/>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Trademarks and tradenames</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17,700</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17,700</w:t>
            </w:r>
          </w:p>
        </w:tc>
        <w:tc>
          <w:tcPr>
            <w:tcW w:w="1580" w:type="dxa"/>
            <w:vAlign w:val="bottom"/>
            <w:tcBorders>
              <w:bottom w:val="single" w:sz="8" w:color="CCEEFF"/>
            </w:tcBorders>
          </w:tcPr>
          <w:p>
            <w:pPr>
              <w:jc w:val="center"/>
              <w:ind w:left="16"/>
              <w:spacing w:after="0"/>
              <w:rPr>
                <w:sz w:val="20"/>
                <w:szCs w:val="20"/>
                <w:color w:val="auto"/>
              </w:rPr>
            </w:pPr>
            <w:r>
              <w:rPr>
                <w:rFonts w:ascii="Arial" w:cs="Arial" w:eastAsia="Arial" w:hAnsi="Arial"/>
                <w:sz w:val="18"/>
                <w:szCs w:val="18"/>
                <w:color w:val="auto"/>
                <w:w w:val="86"/>
              </w:rPr>
              <w:t>15 years</w:t>
            </w:r>
          </w:p>
        </w:tc>
      </w:tr>
      <w:tr>
        <w:trPr>
          <w:trHeight w:val="256"/>
        </w:trPr>
        <w:tc>
          <w:tcPr>
            <w:tcW w:w="66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71,300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71,300</w:t>
            </w:r>
          </w:p>
        </w:tc>
        <w:tc>
          <w:tcPr>
            <w:tcW w:w="1580" w:type="dxa"/>
            <w:vAlign w:val="bottom"/>
            <w:shd w:val="clear" w:color="auto" w:fill="CCEEFF"/>
          </w:tcPr>
          <w:p>
            <w:pPr>
              <w:spacing w:after="0"/>
              <w:rPr>
                <w:sz w:val="22"/>
                <w:szCs w:val="22"/>
                <w:color w:val="auto"/>
              </w:rPr>
            </w:pP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auto"/>
              </w:rPr>
              <w:t>Accumulated amortization of technology and know-how</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(17,866)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(15,186)</w:t>
            </w:r>
          </w:p>
        </w:tc>
        <w:tc>
          <w:tcPr>
            <w:tcW w:w="1580" w:type="dxa"/>
            <w:vAlign w:val="bottom"/>
          </w:tcPr>
          <w:p>
            <w:pPr>
              <w:spacing w:after="0"/>
              <w:rPr>
                <w:sz w:val="21"/>
                <w:szCs w:val="21"/>
                <w:color w:val="auto"/>
              </w:rPr>
            </w:pPr>
          </w:p>
        </w:tc>
      </w:tr>
      <w:tr>
        <w:trPr>
          <w:trHeight w:val="257"/>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amortization of tradenames and trademarks</w:t>
            </w: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(5,900)</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(5,015)</w:t>
            </w:r>
          </w:p>
        </w:tc>
        <w:tc>
          <w:tcPr>
            <w:tcW w:w="1580" w:type="dxa"/>
            <w:vAlign w:val="bottom"/>
            <w:shd w:val="clear" w:color="auto" w:fill="CCEEFF"/>
          </w:tcPr>
          <w:p>
            <w:pPr>
              <w:spacing w:after="0"/>
              <w:rPr>
                <w:sz w:val="22"/>
                <w:szCs w:val="22"/>
                <w:color w:val="auto"/>
              </w:rPr>
            </w:pPr>
          </w:p>
        </w:tc>
      </w:tr>
      <w:tr>
        <w:trPr>
          <w:trHeight w:val="257"/>
        </w:trPr>
        <w:tc>
          <w:tcPr>
            <w:tcW w:w="6600" w:type="dxa"/>
            <w:vAlign w:val="bottom"/>
          </w:tcPr>
          <w:p>
            <w:pPr>
              <w:ind w:left="140"/>
              <w:spacing w:after="0"/>
              <w:rPr>
                <w:sz w:val="20"/>
                <w:szCs w:val="20"/>
                <w:color w:val="auto"/>
              </w:rPr>
            </w:pPr>
            <w:r>
              <w:rPr>
                <w:rFonts w:ascii="Arial" w:cs="Arial" w:eastAsia="Arial" w:hAnsi="Arial"/>
                <w:sz w:val="18"/>
                <w:szCs w:val="18"/>
                <w:color w:val="auto"/>
              </w:rPr>
              <w:t>Total intangible assets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47,534</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51,099</w:t>
            </w:r>
          </w:p>
        </w:tc>
        <w:tc>
          <w:tcPr>
            <w:tcW w:w="1580" w:type="dxa"/>
            <w:vAlign w:val="bottom"/>
          </w:tcPr>
          <w:p>
            <w:pPr>
              <w:spacing w:after="0"/>
              <w:rPr>
                <w:sz w:val="22"/>
                <w:szCs w:val="22"/>
                <w:color w:val="auto"/>
              </w:rPr>
            </w:pPr>
          </w:p>
        </w:tc>
      </w:tr>
      <w:tr>
        <w:trPr>
          <w:trHeight w:val="20"/>
        </w:trPr>
        <w:tc>
          <w:tcPr>
            <w:tcW w:w="6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Aggregate amortization expense on intangible assets was approximately $1.2 million for both of the three months ended September 30, 2023 and 2022, and $3.6 million for both of the nine months ended September 30, 2023 and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PROPERTY AND EQUIPMENT,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2023 and December 31, 2022 property and equipment consists of the following: (in 000’s):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5"/>
                <w:szCs w:val="15"/>
                <w:color w:val="auto"/>
              </w:rPr>
            </w:pPr>
          </w:p>
        </w:tc>
        <w:tc>
          <w:tcPr>
            <w:tcW w:w="1260" w:type="dxa"/>
            <w:vAlign w:val="bottom"/>
          </w:tcPr>
          <w:p>
            <w:pPr>
              <w:jc w:val="right"/>
              <w:ind w:right="234"/>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2022</w:t>
            </w:r>
          </w:p>
        </w:tc>
      </w:tr>
      <w:tr>
        <w:trPr>
          <w:trHeight w:val="25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Medical equipment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8,906</w:t>
            </w: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Office and computer equipment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551</w:t>
            </w:r>
          </w:p>
        </w:tc>
      </w:tr>
      <w:tr>
        <w:trPr>
          <w:trHeight w:val="26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3,457</w:t>
            </w: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21,140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14,614</w:t>
            </w:r>
          </w:p>
        </w:tc>
      </w:tr>
      <w:tr>
        <w:trPr>
          <w:trHeight w:val="26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2,854</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(10,085)</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(6,176)</w:t>
            </w:r>
          </w:p>
        </w:tc>
      </w:tr>
      <w:tr>
        <w:trPr>
          <w:trHeight w:val="281"/>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28,909</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24,206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expense was approximately $1.4 million and $0.8 million for the three months ended September 30, 2023 and 2022, respectively, and $3.9 million and $2.3 million for the nine months ended September 30, 2023 and 2022,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DEBT</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November 7, 2022, the Company entered into a credit agreement with a syndicate of lenders (the "Credit Agreement") maturing November 7, 2027. Pursuant to the Credit Agreement, there is (i) an $85.0 million aggregate principal amount of term loans and (ii) a revolving loan facility in an aggregate principal amount of up to $5.0 million. The proceeds were used, in part, to pay off the Company’s $83.6 million outstanding principal balance under its previous credit facility. On September 29, 2023, the Company voluntarily pre-paid $10.0 million of the principal using cash on hand.</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Credit Agreement, all outstanding loans bear interest based on either a base rate or SOFR plus an applicable per annum margin. The applicable per annum margin is 2.0% or 3.0% for base rate or SOFR, respectively, if the Company's total leverage ratio is equal to or greater than 2.0x. If the Company's total leverage ratio is equal to or greater than 1.0x and less than 2.0x, the applicable per annum margin is 1.5% or 2.5% for base rate or SOFR, respectively. If the Company's total leverage ratio is below 1.0x, the applicable per annum margin is 1.0% or 2.0% for base rate or SOFR, respectively. As of September 30, 2023, the interest rate was 7.83%.</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Total borrowings as of September 30, 2023 and December 31, 2022 were as follows (in 000’s):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33"/>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2022</w:t>
            </w:r>
          </w:p>
        </w:tc>
      </w:tr>
      <w:tr>
        <w:trPr>
          <w:trHeight w:val="25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73,406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85,000</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Unamortized debt discounts and issuance costs</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(1,455)</w:t>
            </w:r>
          </w:p>
        </w:tc>
      </w:tr>
      <w:tr>
        <w:trPr>
          <w:trHeight w:val="257"/>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debt, net</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72,728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83,545</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(2,125)</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(2,125)</w:t>
            </w:r>
          </w:p>
        </w:tc>
      </w:tr>
      <w:tr>
        <w:trPr>
          <w:trHeight w:val="282"/>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net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70,603</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81,420</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487"/>
        </w:trPr>
        <w:tc>
          <w:tcPr>
            <w:tcW w:w="9760" w:type="dxa"/>
            <w:vAlign w:val="bottom"/>
            <w:gridSpan w:val="4"/>
          </w:tcPr>
          <w:p>
            <w:pPr>
              <w:spacing w:after="0"/>
              <w:rPr>
                <w:sz w:val="20"/>
                <w:szCs w:val="20"/>
                <w:color w:val="auto"/>
              </w:rPr>
            </w:pPr>
            <w:r>
              <w:rPr>
                <w:rFonts w:ascii="Arial" w:cs="Arial" w:eastAsia="Arial" w:hAnsi="Arial"/>
                <w:sz w:val="18"/>
                <w:szCs w:val="18"/>
                <w:color w:val="auto"/>
              </w:rPr>
              <w:t>As of September 30, 2023 and December 31, 2022, the Company had $5.0 million available on the revolving credit facility.</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32"/>
        </w:trPr>
        <w:tc>
          <w:tcPr>
            <w:tcW w:w="8180" w:type="dxa"/>
            <w:vAlign w:val="bottom"/>
          </w:tcPr>
          <w:p>
            <w:pPr>
              <w:spacing w:after="0"/>
              <w:rPr>
                <w:sz w:val="20"/>
                <w:szCs w:val="20"/>
                <w:color w:val="auto"/>
              </w:rPr>
            </w:pPr>
            <w:r>
              <w:rPr>
                <w:rFonts w:ascii="Arial" w:cs="Arial" w:eastAsia="Arial" w:hAnsi="Arial"/>
                <w:sz w:val="18"/>
                <w:szCs w:val="18"/>
                <w:color w:val="auto"/>
              </w:rPr>
              <w:t>The scheduled future maturities of long-term debt as of September 30, 2023 is as follows (in 000’s):</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43"/>
        </w:trPr>
        <w:tc>
          <w:tcPr>
            <w:tcW w:w="8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 (excluding the nine months ended September 30, 2023)</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2,125</w:t>
            </w:r>
          </w:p>
        </w:tc>
      </w:tr>
      <w:tr>
        <w:trPr>
          <w:trHeight w:val="26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w:t>
            </w: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2026</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6,375</w:t>
            </w:r>
          </w:p>
        </w:tc>
      </w:tr>
      <w:tr>
        <w:trPr>
          <w:trHeight w:val="257"/>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60,125</w:t>
            </w:r>
          </w:p>
        </w:tc>
      </w:tr>
      <w:tr>
        <w:trPr>
          <w:trHeight w:val="257"/>
        </w:trPr>
        <w:tc>
          <w:tcPr>
            <w:tcW w:w="8180" w:type="dxa"/>
            <w:vAlign w:val="bottom"/>
          </w:tcPr>
          <w:p>
            <w:pPr>
              <w:ind w:left="20"/>
              <w:spacing w:after="0"/>
              <w:rPr>
                <w:sz w:val="20"/>
                <w:szCs w:val="20"/>
                <w:color w:val="auto"/>
              </w:rPr>
            </w:pPr>
            <w:r>
              <w:rPr>
                <w:rFonts w:ascii="Arial" w:cs="Arial" w:eastAsia="Arial" w:hAnsi="Arial"/>
                <w:sz w:val="18"/>
                <w:szCs w:val="18"/>
                <w:color w:val="auto"/>
              </w:rPr>
              <w:t>Total maturities</w:t>
            </w: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73,406</w:t>
            </w:r>
          </w:p>
        </w:tc>
      </w:tr>
      <w:tr>
        <w:trPr>
          <w:trHeight w:val="21"/>
        </w:trPr>
        <w:tc>
          <w:tcPr>
            <w:tcW w:w="8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 borrowings under the Credit Agreement are cross collateralized by substantially all assets of the Company and are subject to certain restrictive covenants including quarterly total leverage ratio and fixed charge ratio requirements. The Company is in compliance with all covenants and has no letter of credit outstanding as of September 30, 2023 and December 31,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LEASES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Company’s operating leases are primarily for real estate, including medical office suites and corporate offices. For the three months ended September 30, 2023 and 2022, the Company incurred rent expense of $1.5 million and $1.3 million, respectively, for its medical office suites. For the nine months ended September 30, 2023 and 2022, the Company incurred rent expense of $4.4 million and $3.4 million, respectively, related to its medical office suites. The Company’s rent expense related to its medical office suites is classified in cost of services within the Company’s condensed consolidated statements of operations. The Company incurred rent expense of $91,000 and $91,000 for the three months ended September 30, 2023 and 2022, respectively, and $273,000 and $254,000 for the nine months ended September 30, 2023 and 2022, respectively, related to the corporate offices which is classified in selling, general and administrative expenses. The Company currently does not have any finance leases.</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Real estate lease agreements typically have initial terms of five to ten years and may include one or more options to renew. The useful life of assets and leasehold improvements are limited by the expected lease term, unless there is a transfer of title or purchase option reasonably certain of exercise. The Company’s lease agreements do not contain any material residual value guarantees, restrictions or covenants.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supplemental cash flow information for the nine months ended September 30, 2023 and 2022 (in 000’s):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80" w:type="dxa"/>
            <w:vAlign w:val="bottom"/>
          </w:tcPr>
          <w:p>
            <w:pPr>
              <w:jc w:val="right"/>
              <w:ind w:right="219"/>
              <w:spacing w:after="0"/>
              <w:rPr>
                <w:sz w:val="20"/>
                <w:szCs w:val="20"/>
                <w:color w:val="auto"/>
              </w:rPr>
            </w:pPr>
            <w:r>
              <w:rPr>
                <w:rFonts w:ascii="Arial" w:cs="Arial" w:eastAsia="Arial" w:hAnsi="Arial"/>
                <w:sz w:val="14"/>
                <w:szCs w:val="14"/>
                <w:b w:val="1"/>
                <w:bCs w:val="1"/>
                <w:color w:val="auto"/>
              </w:rPr>
              <w:t>September 30,</w:t>
            </w:r>
          </w:p>
        </w:tc>
      </w:tr>
      <w:tr>
        <w:trPr>
          <w:trHeight w:val="186"/>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9"/>
              <w:spacing w:after="0"/>
              <w:rPr>
                <w:sz w:val="20"/>
                <w:szCs w:val="20"/>
                <w:color w:val="auto"/>
              </w:rPr>
            </w:pPr>
            <w:r>
              <w:rPr>
                <w:rFonts w:ascii="Arial" w:cs="Arial" w:eastAsia="Arial" w:hAnsi="Arial"/>
                <w:sz w:val="14"/>
                <w:szCs w:val="14"/>
                <w:b w:val="1"/>
                <w:bCs w:val="1"/>
                <w:color w:val="auto"/>
              </w:rPr>
              <w:t>2022</w:t>
            </w:r>
          </w:p>
        </w:tc>
      </w:tr>
      <w:tr>
        <w:trPr>
          <w:trHeight w:val="25"/>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50"/>
        </w:trPr>
        <w:tc>
          <w:tcPr>
            <w:tcW w:w="8180" w:type="dxa"/>
            <w:vAlign w:val="bottom"/>
          </w:tcPr>
          <w:p>
            <w:pPr>
              <w:ind w:left="180"/>
              <w:spacing w:after="0"/>
              <w:rPr>
                <w:sz w:val="20"/>
                <w:szCs w:val="20"/>
                <w:color w:val="auto"/>
              </w:rPr>
            </w:pPr>
            <w:r>
              <w:rPr>
                <w:rFonts w:ascii="Arial" w:cs="Arial" w:eastAsia="Arial" w:hAnsi="Arial"/>
                <w:sz w:val="18"/>
                <w:szCs w:val="18"/>
                <w:color w:val="auto"/>
              </w:rPr>
              <w:t>Operating cash outflows from operating leases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3,852</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3,797</w:t>
            </w:r>
          </w:p>
        </w:tc>
      </w:tr>
      <w:tr>
        <w:trPr>
          <w:trHeight w:val="26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lease obligations: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Operating leases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8,991</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10,404</w:t>
            </w:r>
          </w:p>
        </w:tc>
      </w:tr>
    </w:tbl>
    <w:p>
      <w:pPr>
        <w:spacing w:after="0" w:line="200" w:lineRule="exact"/>
        <w:rPr>
          <w:sz w:val="20"/>
          <w:szCs w:val="20"/>
          <w:color w:val="auto"/>
        </w:rPr>
      </w:pP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Future minimum rental payments under all non-cancellable operating lease agreements for the succeeding five years are as follows, excluding common area maintenance charges that may be required by the agreements (in 000’s):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61893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760" w:type="dxa"/>
            <w:vAlign w:val="bottom"/>
          </w:tcPr>
          <w:p>
            <w:pPr>
              <w:ind w:left="20"/>
              <w:spacing w:after="0"/>
              <w:rPr>
                <w:sz w:val="20"/>
                <w:szCs w:val="20"/>
                <w:color w:val="auto"/>
              </w:rPr>
            </w:pPr>
            <w:r>
              <w:rPr>
                <w:rFonts w:ascii="Arial" w:cs="Arial" w:eastAsia="Arial" w:hAnsi="Arial"/>
                <w:sz w:val="18"/>
                <w:szCs w:val="18"/>
                <w:color w:val="auto"/>
              </w:rPr>
              <w:t>2023 (excluding the nine months ended September 30, 2023)</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1,387</w:t>
            </w:r>
          </w:p>
        </w:tc>
      </w:tr>
      <w:tr>
        <w:trPr>
          <w:trHeight w:val="263"/>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6,226</w:t>
            </w:r>
          </w:p>
        </w:tc>
      </w:tr>
      <w:tr>
        <w:trPr>
          <w:trHeight w:val="250"/>
        </w:trPr>
        <w:tc>
          <w:tcPr>
            <w:tcW w:w="9760" w:type="dxa"/>
            <w:vAlign w:val="bottom"/>
          </w:tcPr>
          <w:p>
            <w:pPr>
              <w:ind w:left="20"/>
              <w:spacing w:after="0"/>
              <w:rPr>
                <w:sz w:val="20"/>
                <w:szCs w:val="20"/>
                <w:color w:val="auto"/>
              </w:rPr>
            </w:pPr>
            <w:r>
              <w:rPr>
                <w:rFonts w:ascii="Arial" w:cs="Arial" w:eastAsia="Arial" w:hAnsi="Arial"/>
                <w:sz w:val="18"/>
                <w:szCs w:val="18"/>
                <w:color w:val="auto"/>
              </w:rPr>
              <w:t>2025</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6,395</w:t>
            </w:r>
          </w:p>
        </w:tc>
      </w:tr>
      <w:tr>
        <w:trPr>
          <w:trHeight w:val="263"/>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6,025</w:t>
            </w:r>
          </w:p>
        </w:tc>
      </w:tr>
      <w:tr>
        <w:trPr>
          <w:trHeight w:val="250"/>
        </w:trPr>
        <w:tc>
          <w:tcPr>
            <w:tcW w:w="9760" w:type="dxa"/>
            <w:vAlign w:val="bottom"/>
          </w:tcPr>
          <w:p>
            <w:pPr>
              <w:ind w:left="20"/>
              <w:spacing w:after="0"/>
              <w:rPr>
                <w:sz w:val="20"/>
                <w:szCs w:val="20"/>
                <w:color w:val="auto"/>
              </w:rPr>
            </w:pPr>
            <w:r>
              <w:rPr>
                <w:rFonts w:ascii="Arial" w:cs="Arial" w:eastAsia="Arial" w:hAnsi="Arial"/>
                <w:sz w:val="18"/>
                <w:szCs w:val="18"/>
                <w:color w:val="auto"/>
              </w:rPr>
              <w:t>2027</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5,422</w:t>
            </w:r>
          </w:p>
        </w:tc>
      </w:tr>
      <w:tr>
        <w:trPr>
          <w:trHeight w:val="257"/>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5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12,190</w:t>
            </w:r>
          </w:p>
        </w:tc>
      </w:tr>
      <w:tr>
        <w:trPr>
          <w:trHeight w:val="250"/>
        </w:trPr>
        <w:tc>
          <w:tcPr>
            <w:tcW w:w="9760" w:type="dxa"/>
            <w:vAlign w:val="bottom"/>
          </w:tcPr>
          <w:p>
            <w:pPr>
              <w:ind w:left="140"/>
              <w:spacing w:after="0"/>
              <w:rPr>
                <w:sz w:val="20"/>
                <w:szCs w:val="20"/>
                <w:color w:val="auto"/>
              </w:rPr>
            </w:pPr>
            <w:r>
              <w:rPr>
                <w:rFonts w:ascii="Arial" w:cs="Arial" w:eastAsia="Arial" w:hAnsi="Arial"/>
                <w:sz w:val="18"/>
                <w:szCs w:val="18"/>
                <w:color w:val="auto"/>
              </w:rPr>
              <w:t>Total lease payments</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37,645</w:t>
            </w:r>
          </w:p>
        </w:tc>
      </w:tr>
      <w:tr>
        <w:trPr>
          <w:trHeight w:val="257"/>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5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(9,479)</w:t>
            </w:r>
          </w:p>
        </w:tc>
      </w:tr>
      <w:tr>
        <w:trPr>
          <w:trHeight w:val="256"/>
        </w:trPr>
        <w:tc>
          <w:tcPr>
            <w:tcW w:w="9760" w:type="dxa"/>
            <w:vAlign w:val="bottom"/>
          </w:tcPr>
          <w:p>
            <w:pPr>
              <w:ind w:left="140"/>
              <w:spacing w:after="0"/>
              <w:rPr>
                <w:sz w:val="20"/>
                <w:szCs w:val="20"/>
                <w:color w:val="auto"/>
              </w:rPr>
            </w:pPr>
            <w:r>
              <w:rPr>
                <w:rFonts w:ascii="Arial" w:cs="Arial" w:eastAsia="Arial" w:hAnsi="Arial"/>
                <w:sz w:val="18"/>
                <w:szCs w:val="18"/>
                <w:color w:val="auto"/>
              </w:rPr>
              <w:t>Total lease obligations</w:t>
            </w: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28,166</w:t>
            </w:r>
          </w:p>
        </w:tc>
      </w:tr>
      <w:tr>
        <w:trPr>
          <w:trHeight w:val="21"/>
        </w:trPr>
        <w:tc>
          <w:tcPr>
            <w:tcW w:w="97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STOCKHOLDERS' EQUITY AND EQUITY-BASED COMPENSATION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During the three and nine months ended September 30, 2023, the Company granted 0 and 767,261 restricted stock units ("RSUs"), respectively, to executive officers and employees under the 2021 Equity Incentive Plan. During the three and nine months ended September 30, 2022, the Company granted 73,708 and 255,195 RSUs, respectively. These RSUs are not considered outstanding until vested. These RSUs have a time-based vesting condition. These units will vest 1/3 per year over three years. Vesting and payment of these RSUs are generally subject to continuing service of the employee or non-employee director over the ratable vesting periods beginning one year from the date of grant to three years after the date of grant. The fair values of these RSUs were determined based on the closing price of the Company’s common stock on the trading date immediately prior to the grant date.</w:t>
      </w:r>
    </w:p>
    <w:p>
      <w:pPr>
        <w:spacing w:after="0" w:line="16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During the three and nine months ended September 30, 2023, the Company also granted 0 and 674,846 performance based stock units ("PSUs"), respectively, which have market-based vesting conditions. In the three and nine months ended September 30, 2022, the Company granted 0 and 103,936 PSUs, respectively, which have market-based vesting conditions. The vesting is based on achievement of a total shareholder return relative to a specified peer group (“rTSR”). Based on the rTSR, the awards can settle in shares in a range from 0% to 200%. In addition to the achievement of the performance conditions, these PSUs are generally subject to the continuing service of the employee over the ratable vesting period from the earned date continuing through the settlement of the shares. For these PSUs, the shares settle in the first quarter of the year following the year in which the vesting criteria is met. The fair values of PSUs with a market-based vesting condition were estimated using a Monte Carlo simulation model.</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recorded equity-based compensation expense of $4.5 million and $7.4 million for the three months ended September 30, 2023 and 2022, respectively, and $13.5 million and $22.0 million for the nine months ended September 30, 2023 and 2022, respectively, in selling, general and administrative expenses on the condensed consolidated statements of operations. Forfeitures are recognized as incurred.</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paid dividends of approximately $0.2 million and $22.8 million for nine months ended September 30, 2023 and 2022, respectively. The Company paid distributions to EBS Parent, LLC of approximately $0.1 million and $1.2 million for the nine months ended September 30, 2023 and 2022,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EARNINGS PER SHARE</w:t>
      </w:r>
    </w:p>
    <w:p>
      <w:pPr>
        <w:spacing w:after="0" w:line="25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Basic earnings per share of common stock is computed by dividing net income/(loss) by the weighted-average number of shares of common stock outstanding during the same period. Diluted earnings per share of common stock is computed by dividing net income/loss by the weighted-average number of shares of common stock adjusted to give effect to potentially dilutive securities. Where the inclusion of potentially dilutive shares would be antidilutive, diluted loss per share equals basic loss per share.</w:t>
      </w:r>
    </w:p>
    <w:p>
      <w:pPr>
        <w:spacing w:after="0" w:line="11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 reconciliation of the numerator and denominator used in the calculation of basic and diluted net income/(loss) per share of common stock is as follows (in 000’s except for shares and per share figures):</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20" w:type="dxa"/>
            <w:vAlign w:val="bottom"/>
            <w:gridSpan w:val="4"/>
          </w:tcPr>
          <w:p>
            <w:pPr>
              <w:ind w:left="34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7"/>
                <w:szCs w:val="17"/>
                <w:color w:val="auto"/>
              </w:rPr>
            </w:pPr>
          </w:p>
        </w:tc>
        <w:tc>
          <w:tcPr>
            <w:tcW w:w="2640" w:type="dxa"/>
            <w:vAlign w:val="bottom"/>
            <w:gridSpan w:val="3"/>
          </w:tcPr>
          <w:p>
            <w:pPr>
              <w:jc w:val="right"/>
              <w:ind w:right="63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5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gridSpan w:val="2"/>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2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5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89"/>
              </w:rPr>
              <w:t>2022</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6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84"/>
              </w:rPr>
              <w:t>2022</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Net income/(loss)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(1,667)</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(7,377)</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95</w:t>
            </w:r>
          </w:p>
        </w:tc>
        <w:tc>
          <w:tcPr>
            <w:tcW w:w="6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(7,487)</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Weighted average shares of common stock outstanding - basic</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56,785,087</w:t>
            </w: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3"/>
              </w:rPr>
              <w:t>55,640,154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56,661,903</w:t>
            </w: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0"/>
              </w:rPr>
              <w:t>55,640,154</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 Effect of dilutive securities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1,667,782</w:t>
            </w: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Weighted average shares of common stock outstanding - diluted</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56,785,087</w:t>
            </w: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55,640,154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58,329,685</w:t>
            </w: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55,640,154</w:t>
            </w:r>
          </w:p>
        </w:tc>
        <w:tc>
          <w:tcPr>
            <w:tcW w:w="0" w:type="dxa"/>
            <w:vAlign w:val="bottom"/>
          </w:tcPr>
          <w:p>
            <w:pPr>
              <w:spacing w:after="0"/>
              <w:rPr>
                <w:sz w:val="1"/>
                <w:szCs w:val="1"/>
                <w:color w:val="auto"/>
              </w:rPr>
            </w:pPr>
          </w:p>
        </w:tc>
      </w:tr>
      <w:tr>
        <w:trPr>
          <w:trHeight w:val="155"/>
        </w:trPr>
        <w:tc>
          <w:tcPr>
            <w:tcW w:w="520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8"/>
              </w:rPr>
              <w:t>Income/(loss) per share of common stock outstanding - basic and</w:t>
            </w: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560" w:type="dxa"/>
            <w:vAlign w:val="bottom"/>
            <w:vMerge w:val="restart"/>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8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600" w:type="dxa"/>
            <w:vAlign w:val="bottom"/>
            <w:vMerge w:val="restart"/>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36"/>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56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-1165225</wp:posOffset>
            </wp:positionV>
            <wp:extent cx="33000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9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number of potentially dilutive shares were excluded from the calculation of diluted loss per share because the effect of including such potentially dilutive shares would have been antidilutive.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3060" w:type="dxa"/>
            <w:vAlign w:val="bottom"/>
            <w:gridSpan w:val="3"/>
          </w:tcPr>
          <w:p>
            <w:pPr>
              <w:ind w:left="680"/>
              <w:spacing w:after="0"/>
              <w:rPr>
                <w:sz w:val="20"/>
                <w:szCs w:val="20"/>
                <w:color w:val="auto"/>
              </w:rPr>
            </w:pPr>
            <w:r>
              <w:rPr>
                <w:rFonts w:ascii="Arial" w:cs="Arial" w:eastAsia="Arial" w:hAnsi="Arial"/>
                <w:sz w:val="18"/>
                <w:szCs w:val="18"/>
                <w:b w:val="1"/>
                <w:bCs w:val="1"/>
                <w:color w:val="auto"/>
              </w:rPr>
              <w:t>Three Months Ended</w:t>
            </w:r>
          </w:p>
        </w:tc>
        <w:tc>
          <w:tcPr>
            <w:tcW w:w="298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Nine Months Ended</w:t>
            </w:r>
          </w:p>
        </w:tc>
      </w:tr>
      <w:tr>
        <w:trPr>
          <w:trHeight w:val="229"/>
        </w:trPr>
        <w:tc>
          <w:tcPr>
            <w:tcW w:w="52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Pr>
          <w:p>
            <w:pPr>
              <w:spacing w:after="0"/>
              <w:rPr>
                <w:sz w:val="19"/>
                <w:szCs w:val="19"/>
                <w:color w:val="auto"/>
              </w:rPr>
            </w:pPr>
          </w:p>
        </w:tc>
      </w:tr>
      <w:tr>
        <w:trPr>
          <w:trHeight w:val="234"/>
        </w:trPr>
        <w:tc>
          <w:tcPr>
            <w:tcW w:w="5200" w:type="dxa"/>
            <w:vAlign w:val="bottom"/>
            <w:tcBorders>
              <w:bottom w:val="single" w:sz="8" w:color="CCEEFF"/>
            </w:tcBorders>
          </w:tcPr>
          <w:p>
            <w:pPr>
              <w:spacing w:after="0"/>
              <w:rPr>
                <w:sz w:val="20"/>
                <w:szCs w:val="20"/>
                <w:color w:val="auto"/>
              </w:rPr>
            </w:pPr>
          </w:p>
        </w:tc>
        <w:tc>
          <w:tcPr>
            <w:tcW w:w="204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b w:val="1"/>
                <w:bCs w:val="1"/>
                <w:color w:val="auto"/>
              </w:rPr>
              <w:t>2023</w:t>
            </w:r>
          </w:p>
        </w:tc>
        <w:tc>
          <w:tcPr>
            <w:tcW w:w="9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89"/>
              </w:rPr>
              <w:t>2022</w:t>
            </w:r>
          </w:p>
        </w:tc>
        <w:tc>
          <w:tcPr>
            <w:tcW w:w="80" w:type="dxa"/>
            <w:vAlign w:val="bottom"/>
            <w:tcBorders>
              <w:bottom w:val="single" w:sz="8" w:color="CCEEFF"/>
            </w:tcBorders>
          </w:tcPr>
          <w:p>
            <w:pPr>
              <w:spacing w:after="0"/>
              <w:rPr>
                <w:sz w:val="20"/>
                <w:szCs w:val="20"/>
                <w:color w:val="auto"/>
              </w:rPr>
            </w:pPr>
          </w:p>
        </w:tc>
        <w:tc>
          <w:tcPr>
            <w:tcW w:w="206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b w:val="1"/>
                <w:bCs w:val="1"/>
                <w:color w:val="auto"/>
              </w:rPr>
              <w:t>2023</w:t>
            </w:r>
          </w:p>
        </w:tc>
        <w:tc>
          <w:tcPr>
            <w:tcW w:w="9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84"/>
              </w:rPr>
              <w:t>2022</w:t>
            </w: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20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661,723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2,565,267</w:t>
            </w:r>
          </w:p>
        </w:tc>
        <w:tc>
          <w:tcPr>
            <w:tcW w:w="80" w:type="dxa"/>
            <w:vAlign w:val="bottom"/>
            <w:shd w:val="clear" w:color="auto" w:fill="CCEEFF"/>
          </w:tcPr>
          <w:p>
            <w:pPr>
              <w:spacing w:after="0"/>
              <w:rPr>
                <w:sz w:val="19"/>
                <w:szCs w:val="19"/>
                <w:color w:val="auto"/>
              </w:rPr>
            </w:pPr>
          </w:p>
        </w:tc>
        <w:tc>
          <w:tcPr>
            <w:tcW w:w="20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777,849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2,565,267</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Performance and market-based stock units</w:t>
            </w:r>
          </w:p>
        </w:tc>
        <w:tc>
          <w:tcPr>
            <w:tcW w:w="2040" w:type="dxa"/>
            <w:vAlign w:val="bottom"/>
          </w:tcPr>
          <w:p>
            <w:pPr>
              <w:jc w:val="right"/>
              <w:ind w:right="530"/>
              <w:spacing w:after="0"/>
              <w:rPr>
                <w:sz w:val="20"/>
                <w:szCs w:val="20"/>
                <w:color w:val="auto"/>
              </w:rPr>
            </w:pPr>
            <w:r>
              <w:rPr>
                <w:rFonts w:ascii="Arial" w:cs="Arial" w:eastAsia="Arial" w:hAnsi="Arial"/>
                <w:sz w:val="18"/>
                <w:szCs w:val="18"/>
                <w:color w:val="auto"/>
              </w:rPr>
              <w:t>1,697,842</w:t>
            </w:r>
          </w:p>
        </w:tc>
        <w:tc>
          <w:tcPr>
            <w:tcW w:w="940" w:type="dxa"/>
            <w:vAlign w:val="bottom"/>
          </w:tcPr>
          <w:p>
            <w:pPr>
              <w:jc w:val="right"/>
              <w:spacing w:after="0"/>
              <w:rPr>
                <w:sz w:val="20"/>
                <w:szCs w:val="20"/>
                <w:color w:val="auto"/>
              </w:rPr>
            </w:pPr>
            <w:r>
              <w:rPr>
                <w:rFonts w:ascii="Arial" w:cs="Arial" w:eastAsia="Arial" w:hAnsi="Arial"/>
                <w:sz w:val="18"/>
                <w:szCs w:val="18"/>
                <w:color w:val="auto"/>
              </w:rPr>
              <w:t>2,435,917</w:t>
            </w:r>
          </w:p>
        </w:tc>
        <w:tc>
          <w:tcPr>
            <w:tcW w:w="80" w:type="dxa"/>
            <w:vAlign w:val="bottom"/>
          </w:tcPr>
          <w:p>
            <w:pPr>
              <w:spacing w:after="0"/>
              <w:rPr>
                <w:sz w:val="20"/>
                <w:szCs w:val="20"/>
                <w:color w:val="auto"/>
              </w:rPr>
            </w:pPr>
          </w:p>
        </w:tc>
        <w:tc>
          <w:tcPr>
            <w:tcW w:w="2060" w:type="dxa"/>
            <w:vAlign w:val="bottom"/>
          </w:tcPr>
          <w:p>
            <w:pPr>
              <w:jc w:val="right"/>
              <w:ind w:right="550"/>
              <w:spacing w:after="0"/>
              <w:rPr>
                <w:sz w:val="20"/>
                <w:szCs w:val="20"/>
                <w:color w:val="auto"/>
              </w:rPr>
            </w:pPr>
            <w:r>
              <w:rPr>
                <w:rFonts w:ascii="Arial" w:cs="Arial" w:eastAsia="Arial" w:hAnsi="Arial"/>
                <w:sz w:val="18"/>
                <w:szCs w:val="18"/>
                <w:color w:val="auto"/>
              </w:rPr>
              <w:t>1,830,505</w:t>
            </w:r>
          </w:p>
        </w:tc>
        <w:tc>
          <w:tcPr>
            <w:tcW w:w="920" w:type="dxa"/>
            <w:vAlign w:val="bottom"/>
          </w:tcPr>
          <w:p>
            <w:pPr>
              <w:jc w:val="right"/>
              <w:spacing w:after="0"/>
              <w:rPr>
                <w:sz w:val="20"/>
                <w:szCs w:val="20"/>
                <w:color w:val="auto"/>
              </w:rPr>
            </w:pPr>
            <w:r>
              <w:rPr>
                <w:rFonts w:ascii="Arial" w:cs="Arial" w:eastAsia="Arial" w:hAnsi="Arial"/>
                <w:sz w:val="18"/>
                <w:szCs w:val="18"/>
                <w:color w:val="auto"/>
              </w:rPr>
              <w:t>2,435,917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330009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INCOME TAXES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income tax expense for the three months ended September 30, 2023 and 2022 was $0.8 million and $4.2 million, respectively, and the income tax expense/(benefit) for the nine months ended September 30, 2023 and 2022 was $2.5 million and $4.1 million, respectively. The effective tax rate for the three months ended September 30, 2023 and 2022 was (89.2)% and (134.6)%, respectively. The effective tax rate for the nine months ended September 30, 2023 and 2022 was 96.4% and (119.9)%, respectively. The main driver of the difference between the effective and statutory rate is non-deductible executive compensation under Section 162(m) of the Internal Revenue Code. There are no uncertain tax positions as of September 30, 2023 or December 31, 2022.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Professional Liability</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the ordinary course of business, the Company becomes involved in pending and threatened legal actions and proceedings, most of which involve claims of medical malpractice related to medical services provided by the PAs employed and affiliated physicians. The Company may also become subject to other lawsuits which could involve large claims and significant costs. The Company believes, based upon a review of pending actions and proceedings, that the outcome of such legal actions and proceedings will not have a material adverse effect on its business, financial condition, results of operations, and cash flows. The outcome of such actions and proceedings, however, cannot be predicted with certainty and an unfavorable resolution of one or more of them could have a material adverse effect on the Company’s business, financial condition, results of operations, and cash flows.</w:t>
      </w:r>
    </w:p>
    <w:p>
      <w:pPr>
        <w:spacing w:after="0" w:line="16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Although the Company currently maintains liability insurance coverage intended to cover professional liability and certain other claims, the Company cannot assure that its insurance coverage will be adequate to cover liabilities arising out of claims asserted against it in the future where the outcomes of such claims are unfavorable. Liabilities in excess of the Company’s insurance coverage, including coverage for professional liability and certain other claims, could have a material adverse effect on the Company’s business, financial condition, results of operations, and cash flows.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SEGMENT INFORMATION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one reportable segment: direct medical procedure services. This segment is made up of facilities and medical staff that provide the Company’s patented AirSculpt® procedures to patients. Segment information is presented in</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same manner that the Company’s chief operating decision maker (“CODM”) reviews the operating results in assessing performance and allocating resources. The Company’s CODM is the Company’s chief executive officer. The CODM reviews financial information presented on a consolidated basis for purposes of making operating decisions, assessing financial performance and allocating resources. The Company’s CODM reviews revenue, gross profit and Adjusted EBITDA. Gross profit is defined as revenues less cost of service incurred and Adjusted EBITDA as net loss/income excluding depreciation and amortization, net interest expense, income tax expense, restructuring and related severance costs, IPO related costs, loss/(gain) on disposal of long-lived assets, and equity-based compensation.</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together with our financial statements and related notes and other financial information appearing in our Annual Report on Form 10-K dated March 10, 2023 filed with the Securities and Exchange Commission (“SEC”) pursuant to Section 13 or 15(d) of the Securities Exchange Act of 1934 (the “Exchange Act”). This discussion and analysis contains forward-looking statements that involve risk, uncertainties and assumptions. See the section entitled “Cautionary Note Regarding Forward-Looking Statements” in this Quarterly Report on Form 10-Q. Our actual results could differ materially from those anticipated in the forward-looking statements.</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Unless otherwise indicated or the context otherwise requires, references in this Quarterly Report on Form 10-Q to the “Company,” “Elite Body Sculpture,” “we,” “us” and “our” refer to AirSculpt Technologies, Inc. and its consolidated subsidiaries and the Professional Associations.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AirSculpt is an experienced, fast-growing national provider of body contouring procedures delivering a premium consumer experience. We provide custom body contouring using our proprietary AirSculpt® method that removes unwanted fat and tightens skin in a minimally invasive procedure, producing dramatic results. We opened a new center in Orange County, CA in March 2023, in Austin, TX in May 2023, in London, UK in June 2023 in San Jose, CA in July 2023, and in Raleigh, NC in September 2023. We deliver our AirSculpt® procedures through a growing nationwide footprint of 27 centers across 18 states, Canada and the United Kingdom as of November 13, 2023.</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For the three and nine months ended September 30, 2023, we performed 3,426 and 11,252 cases, respectively, compared to 2,879 and 9,726 for the three and nine months ended September 30, 2022, respectively. For the three and nine months ended September 30, 2023, we generated approximately $46.8 million and $148.3 million of revenue, respectively, compared to $38.9 million and $128.1 million for the three and nine months ended September 30, 2022, respectively. This represents approximately 20% growth in revenue for the three months ended September 30, 2023 over the same period in prior year and approximately 16% growth in revenue for the nine months ended September 30, 2023 over the same period in prior year.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Operational and Business Metrics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the measures presented in our condensed consolidated financial statements, we use the following key operational and business metrics to evaluate our business, measure our performance, develop financial forecasts and make strategic decisions: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Cases Performed and Revenue per Case</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case volumes in the table below, which are used for calculating revenue per case, represent one patient visit; notwithstanding that, a patient may have multiple areas treated during one visit. We believe this provides the best approach for assessing our revenue performance and trends.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Case and Revenue Metrics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center"/>
              <w:ind w:left="435"/>
              <w:spacing w:after="0"/>
              <w:rPr>
                <w:sz w:val="20"/>
                <w:szCs w:val="20"/>
                <w:color w:val="auto"/>
              </w:rPr>
            </w:pPr>
            <w:r>
              <w:rPr>
                <w:rFonts w:ascii="Arial" w:cs="Arial" w:eastAsia="Arial" w:hAnsi="Arial"/>
                <w:sz w:val="14"/>
                <w:szCs w:val="14"/>
                <w:b w:val="1"/>
                <w:bCs w:val="1"/>
                <w:color w:val="auto"/>
                <w:w w:val="93"/>
              </w:rPr>
              <w:t>Three Months Ended</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20" w:type="dxa"/>
            <w:vAlign w:val="bottom"/>
            <w:gridSpan w:val="3"/>
          </w:tcPr>
          <w:p>
            <w:pPr>
              <w:jc w:val="center"/>
              <w:ind w:left="436"/>
              <w:spacing w:after="0"/>
              <w:rPr>
                <w:sz w:val="20"/>
                <w:szCs w:val="20"/>
                <w:color w:val="auto"/>
              </w:rPr>
            </w:pPr>
            <w:r>
              <w:rPr>
                <w:rFonts w:ascii="Arial" w:cs="Arial" w:eastAsia="Arial" w:hAnsi="Arial"/>
                <w:sz w:val="14"/>
                <w:szCs w:val="14"/>
                <w:b w:val="1"/>
                <w:bCs w:val="1"/>
                <w:color w:val="auto"/>
                <w:w w:val="93"/>
              </w:rPr>
              <w:t>Nine Months Ended</w:t>
            </w:r>
          </w:p>
        </w:tc>
        <w:tc>
          <w:tcPr>
            <w:tcW w:w="900" w:type="dxa"/>
            <w:vAlign w:val="bottom"/>
          </w:tcPr>
          <w:p>
            <w:pPr>
              <w:spacing w:after="0"/>
              <w:rPr>
                <w:sz w:val="14"/>
                <w:szCs w:val="14"/>
                <w:color w:val="auto"/>
              </w:rPr>
            </w:pPr>
          </w:p>
        </w:tc>
      </w:tr>
      <w:tr>
        <w:trPr>
          <w:trHeight w:val="196"/>
        </w:trPr>
        <w:tc>
          <w:tcPr>
            <w:tcW w:w="49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center"/>
              <w:ind w:left="455"/>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center"/>
              <w:ind w:left="416"/>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Borders>
              <w:bottom w:val="single" w:sz="8" w:color="auto"/>
            </w:tcBorders>
          </w:tcPr>
          <w:p>
            <w:pPr>
              <w:spacing w:after="0"/>
              <w:rPr>
                <w:sz w:val="17"/>
                <w:szCs w:val="17"/>
                <w:color w:val="auto"/>
              </w:rPr>
            </w:pPr>
          </w:p>
        </w:tc>
      </w:tr>
      <w:tr>
        <w:trPr>
          <w:trHeight w:val="196"/>
        </w:trPr>
        <w:tc>
          <w:tcPr>
            <w:tcW w:w="4920" w:type="dxa"/>
            <w:vAlign w:val="bottom"/>
            <w:tcBorders>
              <w:bottom w:val="single" w:sz="8" w:color="D2EDFE"/>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D2EDFE"/>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Borders>
              <w:bottom w:val="single" w:sz="8" w:color="D2EDFE"/>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D2EDFE"/>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w w:val="96"/>
              </w:rPr>
              <w:t>2022</w:t>
            </w:r>
          </w:p>
        </w:tc>
      </w:tr>
      <w:tr>
        <w:trPr>
          <w:trHeight w:val="230"/>
        </w:trPr>
        <w:tc>
          <w:tcPr>
            <w:tcW w:w="4920" w:type="dxa"/>
            <w:vAlign w:val="bottom"/>
            <w:shd w:val="clear" w:color="auto" w:fill="D2EDFE"/>
          </w:tcPr>
          <w:p>
            <w:pPr>
              <w:ind w:left="20"/>
              <w:spacing w:after="0"/>
              <w:rPr>
                <w:sz w:val="20"/>
                <w:szCs w:val="20"/>
                <w:color w:val="auto"/>
              </w:rPr>
            </w:pPr>
            <w:r>
              <w:rPr>
                <w:rFonts w:ascii="Arial" w:cs="Arial" w:eastAsia="Arial" w:hAnsi="Arial"/>
                <w:sz w:val="18"/>
                <w:szCs w:val="18"/>
                <w:color w:val="auto"/>
              </w:rPr>
              <w:t>Cases</w:t>
            </w:r>
          </w:p>
        </w:tc>
        <w:tc>
          <w:tcPr>
            <w:tcW w:w="360" w:type="dxa"/>
            <w:vAlign w:val="bottom"/>
            <w:shd w:val="clear" w:color="auto" w:fill="D2EDFE"/>
          </w:tcPr>
          <w:p>
            <w:pPr>
              <w:spacing w:after="0"/>
              <w:rPr>
                <w:sz w:val="19"/>
                <w:szCs w:val="19"/>
                <w:color w:val="auto"/>
              </w:rPr>
            </w:pPr>
          </w:p>
        </w:tc>
        <w:tc>
          <w:tcPr>
            <w:tcW w:w="1220" w:type="dxa"/>
            <w:vAlign w:val="bottom"/>
            <w:shd w:val="clear" w:color="auto" w:fill="D2EDFE"/>
          </w:tcPr>
          <w:p>
            <w:pPr>
              <w:jc w:val="right"/>
              <w:ind w:right="135"/>
              <w:spacing w:after="0"/>
              <w:rPr>
                <w:sz w:val="20"/>
                <w:szCs w:val="20"/>
                <w:color w:val="auto"/>
              </w:rPr>
            </w:pPr>
            <w:r>
              <w:rPr>
                <w:rFonts w:ascii="Arial" w:cs="Arial" w:eastAsia="Arial" w:hAnsi="Arial"/>
                <w:sz w:val="18"/>
                <w:szCs w:val="18"/>
                <w:color w:val="auto"/>
              </w:rPr>
              <w:t>3,426</w:t>
            </w:r>
          </w:p>
        </w:tc>
        <w:tc>
          <w:tcPr>
            <w:tcW w:w="100" w:type="dxa"/>
            <w:vAlign w:val="bottom"/>
            <w:shd w:val="clear" w:color="auto" w:fill="D2EDFE"/>
          </w:tcPr>
          <w:p>
            <w:pPr>
              <w:spacing w:after="0"/>
              <w:rPr>
                <w:sz w:val="19"/>
                <w:szCs w:val="19"/>
                <w:color w:val="auto"/>
              </w:rPr>
            </w:pPr>
          </w:p>
        </w:tc>
        <w:tc>
          <w:tcPr>
            <w:tcW w:w="540" w:type="dxa"/>
            <w:vAlign w:val="bottom"/>
            <w:shd w:val="clear" w:color="auto" w:fill="D2EDFE"/>
          </w:tcPr>
          <w:p>
            <w:pPr>
              <w:spacing w:after="0"/>
              <w:rPr>
                <w:sz w:val="19"/>
                <w:szCs w:val="19"/>
                <w:color w:val="auto"/>
              </w:rPr>
            </w:pPr>
          </w:p>
        </w:tc>
        <w:tc>
          <w:tcPr>
            <w:tcW w:w="880" w:type="dxa"/>
            <w:vAlign w:val="bottom"/>
            <w:shd w:val="clear" w:color="auto" w:fill="D2EDFE"/>
          </w:tcPr>
          <w:p>
            <w:pPr>
              <w:jc w:val="right"/>
              <w:spacing w:after="0"/>
              <w:rPr>
                <w:sz w:val="20"/>
                <w:szCs w:val="20"/>
                <w:color w:val="auto"/>
              </w:rPr>
            </w:pPr>
            <w:r>
              <w:rPr>
                <w:rFonts w:ascii="Arial" w:cs="Arial" w:eastAsia="Arial" w:hAnsi="Arial"/>
                <w:sz w:val="18"/>
                <w:szCs w:val="18"/>
                <w:color w:val="auto"/>
              </w:rPr>
              <w:t>2,879</w:t>
            </w:r>
          </w:p>
        </w:tc>
        <w:tc>
          <w:tcPr>
            <w:tcW w:w="120" w:type="dxa"/>
            <w:vAlign w:val="bottom"/>
            <w:shd w:val="clear" w:color="auto" w:fill="D2EDFE"/>
          </w:tcPr>
          <w:p>
            <w:pPr>
              <w:spacing w:after="0"/>
              <w:rPr>
                <w:sz w:val="19"/>
                <w:szCs w:val="19"/>
                <w:color w:val="auto"/>
              </w:rPr>
            </w:pPr>
          </w:p>
        </w:tc>
        <w:tc>
          <w:tcPr>
            <w:tcW w:w="380" w:type="dxa"/>
            <w:vAlign w:val="bottom"/>
            <w:shd w:val="clear" w:color="auto" w:fill="D2EDFE"/>
          </w:tcPr>
          <w:p>
            <w:pPr>
              <w:spacing w:after="0"/>
              <w:rPr>
                <w:sz w:val="19"/>
                <w:szCs w:val="19"/>
                <w:color w:val="auto"/>
              </w:rPr>
            </w:pPr>
          </w:p>
        </w:tc>
        <w:tc>
          <w:tcPr>
            <w:tcW w:w="1200" w:type="dxa"/>
            <w:vAlign w:val="bottom"/>
            <w:shd w:val="clear" w:color="auto" w:fill="D2EDFE"/>
          </w:tcPr>
          <w:p>
            <w:pPr>
              <w:jc w:val="right"/>
              <w:ind w:right="136"/>
              <w:spacing w:after="0"/>
              <w:rPr>
                <w:sz w:val="20"/>
                <w:szCs w:val="20"/>
                <w:color w:val="auto"/>
              </w:rPr>
            </w:pPr>
            <w:r>
              <w:rPr>
                <w:rFonts w:ascii="Arial" w:cs="Arial" w:eastAsia="Arial" w:hAnsi="Arial"/>
                <w:sz w:val="18"/>
                <w:szCs w:val="18"/>
                <w:color w:val="auto"/>
              </w:rPr>
              <w:t>11,252</w:t>
            </w:r>
          </w:p>
        </w:tc>
        <w:tc>
          <w:tcPr>
            <w:tcW w:w="80" w:type="dxa"/>
            <w:vAlign w:val="bottom"/>
            <w:shd w:val="clear" w:color="auto" w:fill="D2EDFE"/>
          </w:tcPr>
          <w:p>
            <w:pPr>
              <w:spacing w:after="0"/>
              <w:rPr>
                <w:sz w:val="19"/>
                <w:szCs w:val="19"/>
                <w:color w:val="auto"/>
              </w:rPr>
            </w:pPr>
          </w:p>
        </w:tc>
        <w:tc>
          <w:tcPr>
            <w:tcW w:w="540" w:type="dxa"/>
            <w:vAlign w:val="bottom"/>
            <w:shd w:val="clear" w:color="auto" w:fill="D2EDFE"/>
          </w:tcPr>
          <w:p>
            <w:pPr>
              <w:spacing w:after="0"/>
              <w:rPr>
                <w:sz w:val="19"/>
                <w:szCs w:val="19"/>
                <w:color w:val="auto"/>
              </w:rPr>
            </w:pPr>
          </w:p>
        </w:tc>
        <w:tc>
          <w:tcPr>
            <w:tcW w:w="9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9,726</w:t>
            </w: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Case growth</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19.0 %</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15.7 %</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29"/>
        </w:trPr>
        <w:tc>
          <w:tcPr>
            <w:tcW w:w="4920" w:type="dxa"/>
            <w:vAlign w:val="bottom"/>
            <w:shd w:val="clear" w:color="auto" w:fill="D2EDFE"/>
          </w:tcPr>
          <w:p>
            <w:pPr>
              <w:ind w:left="20"/>
              <w:spacing w:after="0"/>
              <w:rPr>
                <w:sz w:val="20"/>
                <w:szCs w:val="20"/>
                <w:color w:val="auto"/>
              </w:rPr>
            </w:pPr>
            <w:r>
              <w:rPr>
                <w:rFonts w:ascii="Arial" w:cs="Arial" w:eastAsia="Arial" w:hAnsi="Arial"/>
                <w:sz w:val="18"/>
                <w:szCs w:val="18"/>
                <w:color w:val="auto"/>
              </w:rPr>
              <w:t>Revenue per case</w:t>
            </w:r>
          </w:p>
        </w:tc>
        <w:tc>
          <w:tcPr>
            <w:tcW w:w="360" w:type="dxa"/>
            <w:vAlign w:val="bottom"/>
            <w:shd w:val="clear" w:color="auto" w:fill="D2EDFE"/>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2EDFE"/>
          </w:tcPr>
          <w:p>
            <w:pPr>
              <w:jc w:val="right"/>
              <w:ind w:right="135"/>
              <w:spacing w:after="0"/>
              <w:rPr>
                <w:sz w:val="20"/>
                <w:szCs w:val="20"/>
                <w:color w:val="auto"/>
              </w:rPr>
            </w:pPr>
            <w:r>
              <w:rPr>
                <w:rFonts w:ascii="Arial" w:cs="Arial" w:eastAsia="Arial" w:hAnsi="Arial"/>
                <w:sz w:val="18"/>
                <w:szCs w:val="18"/>
                <w:color w:val="auto"/>
              </w:rPr>
              <w:t>13,658</w:t>
            </w:r>
          </w:p>
        </w:tc>
        <w:tc>
          <w:tcPr>
            <w:tcW w:w="100" w:type="dxa"/>
            <w:vAlign w:val="bottom"/>
            <w:shd w:val="clear" w:color="auto" w:fill="D2EDFE"/>
          </w:tcPr>
          <w:p>
            <w:pPr>
              <w:spacing w:after="0"/>
              <w:rPr>
                <w:sz w:val="19"/>
                <w:szCs w:val="19"/>
                <w:color w:val="auto"/>
              </w:rPr>
            </w:pPr>
          </w:p>
        </w:tc>
        <w:tc>
          <w:tcPr>
            <w:tcW w:w="540" w:type="dxa"/>
            <w:vAlign w:val="bottom"/>
            <w:shd w:val="clear" w:color="auto" w:fill="D2EDFE"/>
          </w:tcPr>
          <w:p>
            <w:pPr>
              <w:jc w:val="right"/>
              <w:ind w:right="3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13,509</w:t>
            </w:r>
          </w:p>
        </w:tc>
        <w:tc>
          <w:tcPr>
            <w:tcW w:w="120" w:type="dxa"/>
            <w:vAlign w:val="bottom"/>
            <w:shd w:val="clear" w:color="auto" w:fill="D2EDFE"/>
          </w:tcPr>
          <w:p>
            <w:pPr>
              <w:spacing w:after="0"/>
              <w:rPr>
                <w:sz w:val="19"/>
                <w:szCs w:val="19"/>
                <w:color w:val="auto"/>
              </w:rPr>
            </w:pPr>
          </w:p>
        </w:tc>
        <w:tc>
          <w:tcPr>
            <w:tcW w:w="380" w:type="dxa"/>
            <w:vAlign w:val="bottom"/>
            <w:shd w:val="clear" w:color="auto" w:fill="D2EDFE"/>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D2EDFE"/>
          </w:tcPr>
          <w:p>
            <w:pPr>
              <w:jc w:val="right"/>
              <w:ind w:right="136"/>
              <w:spacing w:after="0"/>
              <w:rPr>
                <w:sz w:val="20"/>
                <w:szCs w:val="20"/>
                <w:color w:val="auto"/>
              </w:rPr>
            </w:pPr>
            <w:r>
              <w:rPr>
                <w:rFonts w:ascii="Arial" w:cs="Arial" w:eastAsia="Arial" w:hAnsi="Arial"/>
                <w:sz w:val="18"/>
                <w:szCs w:val="18"/>
                <w:color w:val="auto"/>
              </w:rPr>
              <w:t>13,181</w:t>
            </w:r>
          </w:p>
        </w:tc>
        <w:tc>
          <w:tcPr>
            <w:tcW w:w="80" w:type="dxa"/>
            <w:vAlign w:val="bottom"/>
            <w:shd w:val="clear" w:color="auto" w:fill="D2EDFE"/>
          </w:tcPr>
          <w:p>
            <w:pPr>
              <w:spacing w:after="0"/>
              <w:rPr>
                <w:sz w:val="19"/>
                <w:szCs w:val="19"/>
                <w:color w:val="auto"/>
              </w:rPr>
            </w:pPr>
          </w:p>
        </w:tc>
        <w:tc>
          <w:tcPr>
            <w:tcW w:w="540" w:type="dxa"/>
            <w:vAlign w:val="bottom"/>
            <w:shd w:val="clear" w:color="auto" w:fill="D2EDFE"/>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13,170</w:t>
            </w: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Revenue per case growth</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0.1 %</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30"/>
        </w:trPr>
        <w:tc>
          <w:tcPr>
            <w:tcW w:w="4920" w:type="dxa"/>
            <w:vAlign w:val="bottom"/>
            <w:shd w:val="clear" w:color="auto" w:fill="D2EDFE"/>
          </w:tcPr>
          <w:p>
            <w:pPr>
              <w:ind w:left="20"/>
              <w:spacing w:after="0"/>
              <w:rPr>
                <w:sz w:val="20"/>
                <w:szCs w:val="20"/>
                <w:color w:val="auto"/>
              </w:rPr>
            </w:pPr>
            <w:r>
              <w:rPr>
                <w:rFonts w:ascii="Arial" w:cs="Arial" w:eastAsia="Arial" w:hAnsi="Arial"/>
                <w:sz w:val="18"/>
                <w:szCs w:val="18"/>
                <w:color w:val="auto"/>
              </w:rPr>
              <w:t>Number of facilities</w:t>
            </w:r>
          </w:p>
        </w:tc>
        <w:tc>
          <w:tcPr>
            <w:tcW w:w="360" w:type="dxa"/>
            <w:vAlign w:val="bottom"/>
            <w:shd w:val="clear" w:color="auto" w:fill="D2EDFE"/>
          </w:tcPr>
          <w:p>
            <w:pPr>
              <w:spacing w:after="0"/>
              <w:rPr>
                <w:sz w:val="19"/>
                <w:szCs w:val="19"/>
                <w:color w:val="auto"/>
              </w:rPr>
            </w:pPr>
          </w:p>
        </w:tc>
        <w:tc>
          <w:tcPr>
            <w:tcW w:w="1220" w:type="dxa"/>
            <w:vAlign w:val="bottom"/>
            <w:shd w:val="clear" w:color="auto" w:fill="D2EDFE"/>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D2EDFE"/>
          </w:tcPr>
          <w:p>
            <w:pPr>
              <w:spacing w:after="0"/>
              <w:rPr>
                <w:sz w:val="19"/>
                <w:szCs w:val="19"/>
                <w:color w:val="auto"/>
              </w:rPr>
            </w:pPr>
          </w:p>
        </w:tc>
        <w:tc>
          <w:tcPr>
            <w:tcW w:w="540" w:type="dxa"/>
            <w:vAlign w:val="bottom"/>
            <w:shd w:val="clear" w:color="auto" w:fill="D2EDFE"/>
          </w:tcPr>
          <w:p>
            <w:pPr>
              <w:spacing w:after="0"/>
              <w:rPr>
                <w:sz w:val="19"/>
                <w:szCs w:val="19"/>
                <w:color w:val="auto"/>
              </w:rPr>
            </w:pPr>
          </w:p>
        </w:tc>
        <w:tc>
          <w:tcPr>
            <w:tcW w:w="880" w:type="dxa"/>
            <w:vAlign w:val="bottom"/>
            <w:shd w:val="clear" w:color="auto" w:fill="D2EDFE"/>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D2EDFE"/>
          </w:tcPr>
          <w:p>
            <w:pPr>
              <w:spacing w:after="0"/>
              <w:rPr>
                <w:sz w:val="19"/>
                <w:szCs w:val="19"/>
                <w:color w:val="auto"/>
              </w:rPr>
            </w:pPr>
          </w:p>
        </w:tc>
        <w:tc>
          <w:tcPr>
            <w:tcW w:w="380" w:type="dxa"/>
            <w:vAlign w:val="bottom"/>
            <w:shd w:val="clear" w:color="auto" w:fill="D2EDFE"/>
          </w:tcPr>
          <w:p>
            <w:pPr>
              <w:spacing w:after="0"/>
              <w:rPr>
                <w:sz w:val="19"/>
                <w:szCs w:val="19"/>
                <w:color w:val="auto"/>
              </w:rPr>
            </w:pPr>
          </w:p>
        </w:tc>
        <w:tc>
          <w:tcPr>
            <w:tcW w:w="12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D2EDFE"/>
          </w:tcPr>
          <w:p>
            <w:pPr>
              <w:spacing w:after="0"/>
              <w:rPr>
                <w:sz w:val="19"/>
                <w:szCs w:val="19"/>
                <w:color w:val="auto"/>
              </w:rPr>
            </w:pPr>
          </w:p>
        </w:tc>
        <w:tc>
          <w:tcPr>
            <w:tcW w:w="540" w:type="dxa"/>
            <w:vAlign w:val="bottom"/>
            <w:shd w:val="clear" w:color="auto" w:fill="D2EDFE"/>
          </w:tcPr>
          <w:p>
            <w:pPr>
              <w:spacing w:after="0"/>
              <w:rPr>
                <w:sz w:val="19"/>
                <w:szCs w:val="19"/>
                <w:color w:val="auto"/>
              </w:rPr>
            </w:pPr>
          </w:p>
        </w:tc>
        <w:tc>
          <w:tcPr>
            <w:tcW w:w="9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Number of total procedure rooms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904"/>
        </w:trPr>
        <w:tc>
          <w:tcPr>
            <w:tcW w:w="4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ind w:right="695"/>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01"/>
        </w:trPr>
        <w:tc>
          <w:tcPr>
            <w:tcW w:w="49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Same-Center Case and Revenue Metrics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Same-Center Information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September 30, 2023 and 2022, we define same-center case and revenue growth as the growth in each of our cases and revenue at facilities that have been owned and operated since July 1, 2022. We define same-center facilities and procedure rooms based on if a facility has been owned or operated since July 1, 2022.</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nine months ended September 30, 2023 and 2022, we define same-center case and revenue growth as the growth in each of our cases and revenue at facilities that have been owned and operated since January 1, 2022. We define same-center facilities and procedure rooms as facilities and procedure rooms that have been owned or operated since January 1, 2022.</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60" w:type="dxa"/>
            <w:vAlign w:val="bottom"/>
            <w:gridSpan w:val="3"/>
          </w:tcPr>
          <w:p>
            <w:pPr>
              <w:jc w:val="center"/>
              <w:ind w:left="436"/>
              <w:spacing w:after="0"/>
              <w:rPr>
                <w:sz w:val="20"/>
                <w:szCs w:val="20"/>
                <w:color w:val="auto"/>
              </w:rPr>
            </w:pPr>
            <w:r>
              <w:rPr>
                <w:rFonts w:ascii="Arial" w:cs="Arial" w:eastAsia="Arial" w:hAnsi="Arial"/>
                <w:sz w:val="14"/>
                <w:szCs w:val="14"/>
                <w:b w:val="1"/>
                <w:bCs w:val="1"/>
                <w:color w:val="auto"/>
                <w:w w:val="93"/>
              </w:rPr>
              <w:t>Three Months Ended</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60" w:type="dxa"/>
            <w:vAlign w:val="bottom"/>
            <w:gridSpan w:val="3"/>
          </w:tcPr>
          <w:p>
            <w:pPr>
              <w:jc w:val="center"/>
              <w:ind w:left="436"/>
              <w:spacing w:after="0"/>
              <w:rPr>
                <w:sz w:val="20"/>
                <w:szCs w:val="20"/>
                <w:color w:val="auto"/>
              </w:rPr>
            </w:pPr>
            <w:r>
              <w:rPr>
                <w:rFonts w:ascii="Arial" w:cs="Arial" w:eastAsia="Arial" w:hAnsi="Arial"/>
                <w:sz w:val="14"/>
                <w:szCs w:val="14"/>
                <w:b w:val="1"/>
                <w:bCs w:val="1"/>
                <w:color w:val="auto"/>
                <w:w w:val="93"/>
              </w:rPr>
              <w:t>Nine Months Ended</w:t>
            </w:r>
          </w:p>
        </w:tc>
        <w:tc>
          <w:tcPr>
            <w:tcW w:w="900" w:type="dxa"/>
            <w:vAlign w:val="bottom"/>
          </w:tcPr>
          <w:p>
            <w:pPr>
              <w:spacing w:after="0"/>
              <w:rPr>
                <w:sz w:val="14"/>
                <w:szCs w:val="14"/>
                <w:color w:val="auto"/>
              </w:rPr>
            </w:pPr>
          </w:p>
        </w:tc>
      </w:tr>
      <w:tr>
        <w:trPr>
          <w:trHeight w:val="196"/>
        </w:trPr>
        <w:tc>
          <w:tcPr>
            <w:tcW w:w="48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center"/>
              <w:ind w:left="416"/>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center"/>
              <w:ind w:left="456"/>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Borders>
              <w:bottom w:val="single" w:sz="8" w:color="auto"/>
            </w:tcBorders>
          </w:tcPr>
          <w:p>
            <w:pPr>
              <w:spacing w:after="0"/>
              <w:rPr>
                <w:sz w:val="17"/>
                <w:szCs w:val="17"/>
                <w:color w:val="auto"/>
              </w:rPr>
            </w:pPr>
          </w:p>
        </w:tc>
      </w:tr>
      <w:tr>
        <w:trPr>
          <w:trHeight w:val="196"/>
        </w:trPr>
        <w:tc>
          <w:tcPr>
            <w:tcW w:w="4880" w:type="dxa"/>
            <w:vAlign w:val="bottom"/>
            <w:tcBorders>
              <w:bottom w:val="single" w:sz="8" w:color="D2EDFE"/>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D2EDFE"/>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w w:val="96"/>
              </w:rPr>
              <w:t>2022</w:t>
            </w:r>
          </w:p>
        </w:tc>
        <w:tc>
          <w:tcPr>
            <w:tcW w:w="80" w:type="dxa"/>
            <w:vAlign w:val="bottom"/>
            <w:tcBorders>
              <w:bottom w:val="single" w:sz="8" w:color="D2EDFE"/>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D2EDFE"/>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w w:val="96"/>
              </w:rPr>
              <w:t>2022</w:t>
            </w:r>
          </w:p>
        </w:tc>
      </w:tr>
      <w:tr>
        <w:trPr>
          <w:trHeight w:val="230"/>
        </w:trPr>
        <w:tc>
          <w:tcPr>
            <w:tcW w:w="4880" w:type="dxa"/>
            <w:vAlign w:val="bottom"/>
            <w:shd w:val="clear" w:color="auto" w:fill="D2EDFE"/>
          </w:tcPr>
          <w:p>
            <w:pPr>
              <w:ind w:left="20"/>
              <w:spacing w:after="0"/>
              <w:rPr>
                <w:sz w:val="20"/>
                <w:szCs w:val="20"/>
                <w:color w:val="auto"/>
              </w:rPr>
            </w:pPr>
            <w:r>
              <w:rPr>
                <w:rFonts w:ascii="Arial" w:cs="Arial" w:eastAsia="Arial" w:hAnsi="Arial"/>
                <w:sz w:val="18"/>
                <w:szCs w:val="18"/>
                <w:color w:val="auto"/>
              </w:rPr>
              <w:t>Cases</w:t>
            </w:r>
          </w:p>
        </w:tc>
        <w:tc>
          <w:tcPr>
            <w:tcW w:w="380" w:type="dxa"/>
            <w:vAlign w:val="bottom"/>
            <w:shd w:val="clear" w:color="auto" w:fill="D2EDFE"/>
          </w:tcPr>
          <w:p>
            <w:pPr>
              <w:spacing w:after="0"/>
              <w:rPr>
                <w:sz w:val="19"/>
                <w:szCs w:val="19"/>
                <w:color w:val="auto"/>
              </w:rPr>
            </w:pPr>
          </w:p>
        </w:tc>
        <w:tc>
          <w:tcPr>
            <w:tcW w:w="1220" w:type="dxa"/>
            <w:vAlign w:val="bottom"/>
            <w:shd w:val="clear" w:color="auto" w:fill="D2EDFE"/>
          </w:tcPr>
          <w:p>
            <w:pPr>
              <w:jc w:val="right"/>
              <w:ind w:right="136"/>
              <w:spacing w:after="0"/>
              <w:rPr>
                <w:sz w:val="20"/>
                <w:szCs w:val="20"/>
                <w:color w:val="auto"/>
              </w:rPr>
            </w:pPr>
            <w:r>
              <w:rPr>
                <w:rFonts w:ascii="Arial" w:cs="Arial" w:eastAsia="Arial" w:hAnsi="Arial"/>
                <w:sz w:val="18"/>
                <w:szCs w:val="18"/>
                <w:color w:val="auto"/>
              </w:rPr>
              <w:t>2,994</w:t>
            </w:r>
          </w:p>
        </w:tc>
        <w:tc>
          <w:tcPr>
            <w:tcW w:w="80" w:type="dxa"/>
            <w:vAlign w:val="bottom"/>
            <w:shd w:val="clear" w:color="auto" w:fill="D2EDFE"/>
          </w:tcPr>
          <w:p>
            <w:pPr>
              <w:spacing w:after="0"/>
              <w:rPr>
                <w:sz w:val="19"/>
                <w:szCs w:val="19"/>
                <w:color w:val="auto"/>
              </w:rPr>
            </w:pPr>
          </w:p>
        </w:tc>
        <w:tc>
          <w:tcPr>
            <w:tcW w:w="560" w:type="dxa"/>
            <w:vAlign w:val="bottom"/>
            <w:shd w:val="clear" w:color="auto" w:fill="D2EDFE"/>
          </w:tcPr>
          <w:p>
            <w:pPr>
              <w:spacing w:after="0"/>
              <w:rPr>
                <w:sz w:val="19"/>
                <w:szCs w:val="19"/>
                <w:color w:val="auto"/>
              </w:rPr>
            </w:pPr>
          </w:p>
        </w:tc>
        <w:tc>
          <w:tcPr>
            <w:tcW w:w="9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2,879</w:t>
            </w:r>
          </w:p>
        </w:tc>
        <w:tc>
          <w:tcPr>
            <w:tcW w:w="80" w:type="dxa"/>
            <w:vAlign w:val="bottom"/>
            <w:shd w:val="clear" w:color="auto" w:fill="D2EDFE"/>
          </w:tcPr>
          <w:p>
            <w:pPr>
              <w:spacing w:after="0"/>
              <w:rPr>
                <w:sz w:val="19"/>
                <w:szCs w:val="19"/>
                <w:color w:val="auto"/>
              </w:rPr>
            </w:pPr>
          </w:p>
        </w:tc>
        <w:tc>
          <w:tcPr>
            <w:tcW w:w="380" w:type="dxa"/>
            <w:vAlign w:val="bottom"/>
            <w:shd w:val="clear" w:color="auto" w:fill="D2EDFE"/>
          </w:tcPr>
          <w:p>
            <w:pPr>
              <w:spacing w:after="0"/>
              <w:rPr>
                <w:sz w:val="19"/>
                <w:szCs w:val="19"/>
                <w:color w:val="auto"/>
              </w:rPr>
            </w:pPr>
          </w:p>
        </w:tc>
        <w:tc>
          <w:tcPr>
            <w:tcW w:w="1220" w:type="dxa"/>
            <w:vAlign w:val="bottom"/>
            <w:shd w:val="clear" w:color="auto" w:fill="D2EDFE"/>
          </w:tcPr>
          <w:p>
            <w:pPr>
              <w:jc w:val="right"/>
              <w:ind w:right="136"/>
              <w:spacing w:after="0"/>
              <w:rPr>
                <w:sz w:val="20"/>
                <w:szCs w:val="20"/>
                <w:color w:val="auto"/>
              </w:rPr>
            </w:pPr>
            <w:r>
              <w:rPr>
                <w:rFonts w:ascii="Arial" w:cs="Arial" w:eastAsia="Arial" w:hAnsi="Arial"/>
                <w:sz w:val="18"/>
                <w:szCs w:val="18"/>
                <w:color w:val="auto"/>
              </w:rPr>
              <w:t>9,434</w:t>
            </w:r>
          </w:p>
        </w:tc>
        <w:tc>
          <w:tcPr>
            <w:tcW w:w="100" w:type="dxa"/>
            <w:vAlign w:val="bottom"/>
            <w:shd w:val="clear" w:color="auto" w:fill="D2EDFE"/>
          </w:tcPr>
          <w:p>
            <w:pPr>
              <w:spacing w:after="0"/>
              <w:rPr>
                <w:sz w:val="19"/>
                <w:szCs w:val="19"/>
                <w:color w:val="auto"/>
              </w:rPr>
            </w:pPr>
          </w:p>
        </w:tc>
        <w:tc>
          <w:tcPr>
            <w:tcW w:w="540" w:type="dxa"/>
            <w:vAlign w:val="bottom"/>
            <w:shd w:val="clear" w:color="auto" w:fill="D2EDFE"/>
          </w:tcPr>
          <w:p>
            <w:pPr>
              <w:spacing w:after="0"/>
              <w:rPr>
                <w:sz w:val="19"/>
                <w:szCs w:val="19"/>
                <w:color w:val="auto"/>
              </w:rPr>
            </w:pPr>
          </w:p>
        </w:tc>
        <w:tc>
          <w:tcPr>
            <w:tcW w:w="9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9,462</w:t>
            </w:r>
          </w:p>
        </w:tc>
      </w:tr>
      <w:tr>
        <w:trPr>
          <w:trHeight w:val="229"/>
        </w:trPr>
        <w:tc>
          <w:tcPr>
            <w:tcW w:w="4880" w:type="dxa"/>
            <w:vAlign w:val="bottom"/>
          </w:tcPr>
          <w:p>
            <w:pPr>
              <w:ind w:left="20"/>
              <w:spacing w:after="0"/>
              <w:rPr>
                <w:sz w:val="20"/>
                <w:szCs w:val="20"/>
                <w:color w:val="auto"/>
              </w:rPr>
            </w:pPr>
            <w:r>
              <w:rPr>
                <w:rFonts w:ascii="Arial" w:cs="Arial" w:eastAsia="Arial" w:hAnsi="Arial"/>
                <w:sz w:val="18"/>
                <w:szCs w:val="18"/>
                <w:color w:val="auto"/>
              </w:rPr>
              <w:t>Case growth</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4.0 %</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29"/>
        </w:trPr>
        <w:tc>
          <w:tcPr>
            <w:tcW w:w="4880" w:type="dxa"/>
            <w:vAlign w:val="bottom"/>
            <w:shd w:val="clear" w:color="auto" w:fill="D2EDFE"/>
          </w:tcPr>
          <w:p>
            <w:pPr>
              <w:ind w:left="20"/>
              <w:spacing w:after="0"/>
              <w:rPr>
                <w:sz w:val="20"/>
                <w:szCs w:val="20"/>
                <w:color w:val="auto"/>
              </w:rPr>
            </w:pPr>
            <w:r>
              <w:rPr>
                <w:rFonts w:ascii="Arial" w:cs="Arial" w:eastAsia="Arial" w:hAnsi="Arial"/>
                <w:sz w:val="18"/>
                <w:szCs w:val="18"/>
                <w:color w:val="auto"/>
              </w:rPr>
              <w:t>Revenue per case</w:t>
            </w:r>
          </w:p>
        </w:tc>
        <w:tc>
          <w:tcPr>
            <w:tcW w:w="380" w:type="dxa"/>
            <w:vAlign w:val="bottom"/>
            <w:shd w:val="clear" w:color="auto" w:fill="D2EDFE"/>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D2EDFE"/>
          </w:tcPr>
          <w:p>
            <w:pPr>
              <w:jc w:val="right"/>
              <w:ind w:right="136"/>
              <w:spacing w:after="0"/>
              <w:rPr>
                <w:sz w:val="20"/>
                <w:szCs w:val="20"/>
                <w:color w:val="auto"/>
              </w:rPr>
            </w:pPr>
            <w:r>
              <w:rPr>
                <w:rFonts w:ascii="Arial" w:cs="Arial" w:eastAsia="Arial" w:hAnsi="Arial"/>
                <w:sz w:val="18"/>
                <w:szCs w:val="18"/>
                <w:color w:val="auto"/>
              </w:rPr>
              <w:t>13,679</w:t>
            </w:r>
          </w:p>
        </w:tc>
        <w:tc>
          <w:tcPr>
            <w:tcW w:w="80" w:type="dxa"/>
            <w:vAlign w:val="bottom"/>
            <w:shd w:val="clear" w:color="auto" w:fill="D2EDFE"/>
          </w:tcPr>
          <w:p>
            <w:pPr>
              <w:spacing w:after="0"/>
              <w:rPr>
                <w:sz w:val="19"/>
                <w:szCs w:val="19"/>
                <w:color w:val="auto"/>
              </w:rPr>
            </w:pPr>
          </w:p>
        </w:tc>
        <w:tc>
          <w:tcPr>
            <w:tcW w:w="560" w:type="dxa"/>
            <w:vAlign w:val="bottom"/>
            <w:shd w:val="clear" w:color="auto" w:fill="D2EDFE"/>
          </w:tcPr>
          <w:p>
            <w:pPr>
              <w:jc w:val="right"/>
              <w:ind w:right="3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13,507</w:t>
            </w:r>
          </w:p>
        </w:tc>
        <w:tc>
          <w:tcPr>
            <w:tcW w:w="80" w:type="dxa"/>
            <w:vAlign w:val="bottom"/>
            <w:shd w:val="clear" w:color="auto" w:fill="D2EDFE"/>
          </w:tcPr>
          <w:p>
            <w:pPr>
              <w:spacing w:after="0"/>
              <w:rPr>
                <w:sz w:val="19"/>
                <w:szCs w:val="19"/>
                <w:color w:val="auto"/>
              </w:rPr>
            </w:pPr>
          </w:p>
        </w:tc>
        <w:tc>
          <w:tcPr>
            <w:tcW w:w="380" w:type="dxa"/>
            <w:vAlign w:val="bottom"/>
            <w:shd w:val="clear" w:color="auto" w:fill="D2EDFE"/>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2EDFE"/>
          </w:tcPr>
          <w:p>
            <w:pPr>
              <w:jc w:val="right"/>
              <w:ind w:right="136"/>
              <w:spacing w:after="0"/>
              <w:rPr>
                <w:sz w:val="20"/>
                <w:szCs w:val="20"/>
                <w:color w:val="auto"/>
              </w:rPr>
            </w:pPr>
            <w:r>
              <w:rPr>
                <w:rFonts w:ascii="Arial" w:cs="Arial" w:eastAsia="Arial" w:hAnsi="Arial"/>
                <w:sz w:val="18"/>
                <w:szCs w:val="18"/>
                <w:color w:val="auto"/>
              </w:rPr>
              <w:t>13,194</w:t>
            </w:r>
          </w:p>
        </w:tc>
        <w:tc>
          <w:tcPr>
            <w:tcW w:w="100" w:type="dxa"/>
            <w:vAlign w:val="bottom"/>
            <w:shd w:val="clear" w:color="auto" w:fill="D2EDFE"/>
          </w:tcPr>
          <w:p>
            <w:pPr>
              <w:spacing w:after="0"/>
              <w:rPr>
                <w:sz w:val="19"/>
                <w:szCs w:val="19"/>
                <w:color w:val="auto"/>
              </w:rPr>
            </w:pPr>
          </w:p>
        </w:tc>
        <w:tc>
          <w:tcPr>
            <w:tcW w:w="540" w:type="dxa"/>
            <w:vAlign w:val="bottom"/>
            <w:shd w:val="clear" w:color="auto" w:fill="D2EDFE"/>
          </w:tcPr>
          <w:p>
            <w:pPr>
              <w:jc w:val="right"/>
              <w:ind w:right="3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13,142</w:t>
            </w:r>
          </w:p>
        </w:tc>
      </w:tr>
      <w:tr>
        <w:trPr>
          <w:trHeight w:val="230"/>
        </w:trPr>
        <w:tc>
          <w:tcPr>
            <w:tcW w:w="4880" w:type="dxa"/>
            <w:vAlign w:val="bottom"/>
          </w:tcPr>
          <w:p>
            <w:pPr>
              <w:ind w:left="20"/>
              <w:spacing w:after="0"/>
              <w:rPr>
                <w:sz w:val="20"/>
                <w:szCs w:val="20"/>
                <w:color w:val="auto"/>
              </w:rPr>
            </w:pPr>
            <w:r>
              <w:rPr>
                <w:rFonts w:ascii="Arial" w:cs="Arial" w:eastAsia="Arial" w:hAnsi="Arial"/>
                <w:sz w:val="18"/>
                <w:szCs w:val="18"/>
                <w:color w:val="auto"/>
              </w:rPr>
              <w:t>Revenue per case growth</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1.3 %</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0.4 %</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29"/>
        </w:trPr>
        <w:tc>
          <w:tcPr>
            <w:tcW w:w="4880" w:type="dxa"/>
            <w:vAlign w:val="bottom"/>
            <w:shd w:val="clear" w:color="auto" w:fill="D2EDFE"/>
          </w:tcPr>
          <w:p>
            <w:pPr>
              <w:ind w:left="20"/>
              <w:spacing w:after="0"/>
              <w:rPr>
                <w:sz w:val="20"/>
                <w:szCs w:val="20"/>
                <w:color w:val="auto"/>
              </w:rPr>
            </w:pPr>
            <w:r>
              <w:rPr>
                <w:rFonts w:ascii="Arial" w:cs="Arial" w:eastAsia="Arial" w:hAnsi="Arial"/>
                <w:sz w:val="18"/>
                <w:szCs w:val="18"/>
                <w:color w:val="auto"/>
              </w:rPr>
              <w:t>Number of facilities</w:t>
            </w:r>
          </w:p>
        </w:tc>
        <w:tc>
          <w:tcPr>
            <w:tcW w:w="380" w:type="dxa"/>
            <w:vAlign w:val="bottom"/>
            <w:shd w:val="clear" w:color="auto" w:fill="D2EDFE"/>
          </w:tcPr>
          <w:p>
            <w:pPr>
              <w:spacing w:after="0"/>
              <w:rPr>
                <w:sz w:val="19"/>
                <w:szCs w:val="19"/>
                <w:color w:val="auto"/>
              </w:rPr>
            </w:pPr>
          </w:p>
        </w:tc>
        <w:tc>
          <w:tcPr>
            <w:tcW w:w="1220" w:type="dxa"/>
            <w:vAlign w:val="bottom"/>
            <w:shd w:val="clear" w:color="auto" w:fill="D2EDFE"/>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D2EDFE"/>
          </w:tcPr>
          <w:p>
            <w:pPr>
              <w:spacing w:after="0"/>
              <w:rPr>
                <w:sz w:val="19"/>
                <w:szCs w:val="19"/>
                <w:color w:val="auto"/>
              </w:rPr>
            </w:pPr>
          </w:p>
        </w:tc>
        <w:tc>
          <w:tcPr>
            <w:tcW w:w="560" w:type="dxa"/>
            <w:vAlign w:val="bottom"/>
            <w:shd w:val="clear" w:color="auto" w:fill="D2EDFE"/>
          </w:tcPr>
          <w:p>
            <w:pPr>
              <w:spacing w:after="0"/>
              <w:rPr>
                <w:sz w:val="19"/>
                <w:szCs w:val="19"/>
                <w:color w:val="auto"/>
              </w:rPr>
            </w:pPr>
          </w:p>
        </w:tc>
        <w:tc>
          <w:tcPr>
            <w:tcW w:w="9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D2EDFE"/>
          </w:tcPr>
          <w:p>
            <w:pPr>
              <w:spacing w:after="0"/>
              <w:rPr>
                <w:sz w:val="19"/>
                <w:szCs w:val="19"/>
                <w:color w:val="auto"/>
              </w:rPr>
            </w:pPr>
          </w:p>
        </w:tc>
        <w:tc>
          <w:tcPr>
            <w:tcW w:w="380" w:type="dxa"/>
            <w:vAlign w:val="bottom"/>
            <w:shd w:val="clear" w:color="auto" w:fill="D2EDFE"/>
          </w:tcPr>
          <w:p>
            <w:pPr>
              <w:spacing w:after="0"/>
              <w:rPr>
                <w:sz w:val="19"/>
                <w:szCs w:val="19"/>
                <w:color w:val="auto"/>
              </w:rPr>
            </w:pPr>
          </w:p>
        </w:tc>
        <w:tc>
          <w:tcPr>
            <w:tcW w:w="122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D2EDFE"/>
          </w:tcPr>
          <w:p>
            <w:pPr>
              <w:spacing w:after="0"/>
              <w:rPr>
                <w:sz w:val="19"/>
                <w:szCs w:val="19"/>
                <w:color w:val="auto"/>
              </w:rPr>
            </w:pPr>
          </w:p>
        </w:tc>
        <w:tc>
          <w:tcPr>
            <w:tcW w:w="540" w:type="dxa"/>
            <w:vAlign w:val="bottom"/>
            <w:shd w:val="clear" w:color="auto" w:fill="D2EDFE"/>
          </w:tcPr>
          <w:p>
            <w:pPr>
              <w:spacing w:after="0"/>
              <w:rPr>
                <w:sz w:val="19"/>
                <w:szCs w:val="19"/>
                <w:color w:val="auto"/>
              </w:rPr>
            </w:pPr>
          </w:p>
        </w:tc>
        <w:tc>
          <w:tcPr>
            <w:tcW w:w="9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4880" w:type="dxa"/>
            <w:vAlign w:val="bottom"/>
          </w:tcPr>
          <w:p>
            <w:pPr>
              <w:ind w:left="20"/>
              <w:spacing w:after="0"/>
              <w:rPr>
                <w:sz w:val="20"/>
                <w:szCs w:val="20"/>
                <w:color w:val="auto"/>
              </w:rPr>
            </w:pPr>
            <w:r>
              <w:rPr>
                <w:rFonts w:ascii="Arial" w:cs="Arial" w:eastAsia="Arial" w:hAnsi="Arial"/>
                <w:sz w:val="18"/>
                <w:szCs w:val="18"/>
                <w:color w:val="auto"/>
              </w:rPr>
              <w:t>Number of total procedure rooms</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w:t>
            </w:r>
          </w:p>
        </w:tc>
      </w:tr>
    </w:tbl>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Non-GAAP Financial Measures—Adjusted EBITDA, Adjusted EBITDA Margin, Adjusted Net Income, and Adjusted Net Income per Share</w:t>
      </w:r>
    </w:p>
    <w:p>
      <w:pPr>
        <w:spacing w:after="0" w:line="1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report our financial results in accordance with accounting principles generally accepted in the United States of America ("GAAP"), however, management believes the evaluation of our ongoing operating results may be enhanced by a presentation of Adjusted EBITDA, Adjusted EBITDA Margin, Adjusted Net Income and Adjusted Net Income per Share, which are non-GAAP financial measures.</w:t>
      </w:r>
    </w:p>
    <w:p>
      <w:pPr>
        <w:spacing w:after="0" w:line="1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define Adjusted EBITDA as net income/(loss) excluding depreciation and amortization, net interest expense, income tax expense/(benefit), restructuring and related severance costs, IPO related costs, (gain)/loss on disposal of long-lived assets, and equity-based compensation.</w:t>
      </w:r>
    </w:p>
    <w:p>
      <w:pPr>
        <w:spacing w:after="0" w:line="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define Adjusted Net Income as net income/(loss) excluding, restructuring and related severance costs, IPO related costs, (gain)/loss on disposal of long-lived assets, equity-based compensation and the tax effect of these adjustments.</w:t>
      </w:r>
    </w:p>
    <w:p>
      <w:pPr>
        <w:spacing w:after="0" w:line="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include Adjusted EBITDA and Adjusted Net Income because they are important measures on which our management assesses and believes investors should assess our operating performance. We consider Adjusted EBITDA and Adjusted Net Income each to be an important measure because they help illustrate underlying trends in our business and our historical operating performance on a more consistent basis. Adjusted EBITDA has limitations as an analytical tool including: (i) Adjusted EBITDA does not include results from equity-based compensation and (ii) Adjusted EBITDA does not reflect interest expense on our debt or the cash requirements necessary to service interest or principal payments. Adjusted Net Income has limitations as an analytical tool because it does not include results from equity-based compensation.</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define Adjusted EBITDA Margin as Adjusted EBITDA as a percentage of revenue. We define Adjusted Net Income per Share as Adjusted Net Income divided by weighted average basic and diluted shares. We included Adjusted EBITDA Margin and Adjusted Net Income per Share because they are important measures on which our management assesses and believes investors should assess our operating performance. We consider Adjusted EBITDA Margin and Adjusted Net Income per Share to be important measures because they help illustrate underlying trends in our business and our historical operating performance on a more consistent basis.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reconciles Adjusted EBITDA and Adjusted EBITDA Margin to net (loss)/income, the most directly comparable GAAP financial measure: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80" w:type="dxa"/>
            <w:vAlign w:val="bottom"/>
          </w:tcPr>
          <w:p>
            <w:pPr>
              <w:spacing w:after="0"/>
              <w:rPr>
                <w:sz w:val="14"/>
                <w:szCs w:val="14"/>
                <w:color w:val="auto"/>
              </w:rPr>
            </w:pPr>
          </w:p>
        </w:tc>
      </w:tr>
      <w:tr>
        <w:trPr>
          <w:trHeight w:val="196"/>
        </w:trPr>
        <w:tc>
          <w:tcPr>
            <w:tcW w:w="46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7"/>
                <w:szCs w:val="17"/>
                <w:color w:val="auto"/>
              </w:rPr>
            </w:pPr>
          </w:p>
        </w:tc>
      </w:tr>
      <w:tr>
        <w:trPr>
          <w:trHeight w:val="196"/>
        </w:trPr>
        <w:tc>
          <w:tcPr>
            <w:tcW w:w="4660" w:type="dxa"/>
            <w:vAlign w:val="bottom"/>
            <w:tcBorders>
              <w:bottom w:val="single" w:sz="8" w:color="D2EDFE"/>
            </w:tcBorders>
          </w:tcPr>
          <w:p>
            <w:pPr>
              <w:ind w:left="20"/>
              <w:spacing w:after="0"/>
              <w:rPr>
                <w:sz w:val="20"/>
                <w:szCs w:val="20"/>
                <w:color w:val="auto"/>
              </w:rPr>
            </w:pPr>
            <w:r>
              <w:rPr>
                <w:rFonts w:ascii="Arial" w:cs="Arial" w:eastAsia="Arial" w:hAnsi="Arial"/>
                <w:sz w:val="14"/>
                <w:szCs w:val="14"/>
                <w:color w:val="auto"/>
              </w:rPr>
              <w:t>($ in thousands)</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D2EDFE"/>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w w:val="96"/>
              </w:rPr>
              <w:t>2022</w:t>
            </w:r>
          </w:p>
        </w:tc>
        <w:tc>
          <w:tcPr>
            <w:tcW w:w="80" w:type="dxa"/>
            <w:vAlign w:val="bottom"/>
            <w:tcBorders>
              <w:bottom w:val="single" w:sz="8" w:color="D2EDFE"/>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D2EDFE"/>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2022</w:t>
            </w:r>
          </w:p>
        </w:tc>
      </w:tr>
      <w:tr>
        <w:trPr>
          <w:trHeight w:val="229"/>
        </w:trPr>
        <w:tc>
          <w:tcPr>
            <w:tcW w:w="4660" w:type="dxa"/>
            <w:vAlign w:val="bottom"/>
            <w:shd w:val="clear" w:color="auto" w:fill="D2EDFE"/>
          </w:tcPr>
          <w:p>
            <w:pPr>
              <w:ind w:left="20"/>
              <w:spacing w:after="0"/>
              <w:rPr>
                <w:sz w:val="20"/>
                <w:szCs w:val="20"/>
                <w:color w:val="auto"/>
              </w:rPr>
            </w:pPr>
            <w:r>
              <w:rPr>
                <w:rFonts w:ascii="Arial" w:cs="Arial" w:eastAsia="Arial" w:hAnsi="Arial"/>
                <w:sz w:val="18"/>
                <w:szCs w:val="18"/>
                <w:b w:val="1"/>
                <w:bCs w:val="1"/>
                <w:color w:val="auto"/>
              </w:rPr>
              <w:t>Net (loss)/income</w:t>
            </w:r>
          </w:p>
        </w:tc>
        <w:tc>
          <w:tcPr>
            <w:tcW w:w="380" w:type="dxa"/>
            <w:vAlign w:val="bottom"/>
            <w:shd w:val="clear" w:color="auto" w:fill="D2EDFE"/>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2EDFE"/>
          </w:tcPr>
          <w:p>
            <w:pPr>
              <w:jc w:val="right"/>
              <w:ind w:right="134"/>
              <w:spacing w:after="0"/>
              <w:rPr>
                <w:sz w:val="20"/>
                <w:szCs w:val="20"/>
                <w:color w:val="auto"/>
              </w:rPr>
            </w:pPr>
            <w:r>
              <w:rPr>
                <w:rFonts w:ascii="Arial" w:cs="Arial" w:eastAsia="Arial" w:hAnsi="Arial"/>
                <w:sz w:val="18"/>
                <w:szCs w:val="18"/>
                <w:color w:val="auto"/>
              </w:rPr>
              <w:t>(1,667)</w:t>
            </w:r>
          </w:p>
        </w:tc>
        <w:tc>
          <w:tcPr>
            <w:tcW w:w="80" w:type="dxa"/>
            <w:vAlign w:val="bottom"/>
            <w:shd w:val="clear" w:color="auto" w:fill="D2EDFE"/>
          </w:tcPr>
          <w:p>
            <w:pPr>
              <w:spacing w:after="0"/>
              <w:rPr>
                <w:sz w:val="19"/>
                <w:szCs w:val="19"/>
                <w:color w:val="auto"/>
              </w:rPr>
            </w:pPr>
          </w:p>
        </w:tc>
        <w:tc>
          <w:tcPr>
            <w:tcW w:w="620" w:type="dxa"/>
            <w:vAlign w:val="bottom"/>
            <w:shd w:val="clear" w:color="auto" w:fill="D2EDFE"/>
          </w:tcPr>
          <w:p>
            <w:pPr>
              <w:jc w:val="right"/>
              <w:ind w:right="4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D2EDFE"/>
          </w:tcPr>
          <w:p>
            <w:pPr>
              <w:jc w:val="right"/>
              <w:ind w:right="132"/>
              <w:spacing w:after="0"/>
              <w:rPr>
                <w:sz w:val="20"/>
                <w:szCs w:val="20"/>
                <w:color w:val="auto"/>
              </w:rPr>
            </w:pPr>
            <w:r>
              <w:rPr>
                <w:rFonts w:ascii="Arial" w:cs="Arial" w:eastAsia="Arial" w:hAnsi="Arial"/>
                <w:sz w:val="18"/>
                <w:szCs w:val="18"/>
                <w:color w:val="auto"/>
              </w:rPr>
              <w:t>(7,377)</w:t>
            </w:r>
          </w:p>
        </w:tc>
        <w:tc>
          <w:tcPr>
            <w:tcW w:w="80" w:type="dxa"/>
            <w:vAlign w:val="bottom"/>
            <w:shd w:val="clear" w:color="auto" w:fill="D2EDFE"/>
          </w:tcPr>
          <w:p>
            <w:pPr>
              <w:spacing w:after="0"/>
              <w:rPr>
                <w:sz w:val="19"/>
                <w:szCs w:val="19"/>
                <w:color w:val="auto"/>
              </w:rPr>
            </w:pPr>
          </w:p>
        </w:tc>
        <w:tc>
          <w:tcPr>
            <w:tcW w:w="380" w:type="dxa"/>
            <w:vAlign w:val="bottom"/>
            <w:shd w:val="clear" w:color="auto" w:fill="D2EDFE"/>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2EDFE"/>
          </w:tcPr>
          <w:p>
            <w:pPr>
              <w:jc w:val="right"/>
              <w:ind w:right="154"/>
              <w:spacing w:after="0"/>
              <w:rPr>
                <w:sz w:val="20"/>
                <w:szCs w:val="20"/>
                <w:color w:val="auto"/>
              </w:rPr>
            </w:pPr>
            <w:r>
              <w:rPr>
                <w:rFonts w:ascii="Arial" w:cs="Arial" w:eastAsia="Arial" w:hAnsi="Arial"/>
                <w:sz w:val="18"/>
                <w:szCs w:val="18"/>
                <w:color w:val="auto"/>
              </w:rPr>
              <w:t>95</w:t>
            </w:r>
          </w:p>
        </w:tc>
        <w:tc>
          <w:tcPr>
            <w:tcW w:w="100" w:type="dxa"/>
            <w:vAlign w:val="bottom"/>
            <w:shd w:val="clear" w:color="auto" w:fill="D2EDFE"/>
          </w:tcPr>
          <w:p>
            <w:pPr>
              <w:spacing w:after="0"/>
              <w:rPr>
                <w:sz w:val="19"/>
                <w:szCs w:val="19"/>
                <w:color w:val="auto"/>
              </w:rPr>
            </w:pPr>
          </w:p>
        </w:tc>
        <w:tc>
          <w:tcPr>
            <w:tcW w:w="600" w:type="dxa"/>
            <w:vAlign w:val="bottom"/>
            <w:shd w:val="clear" w:color="auto" w:fill="D2EDFE"/>
          </w:tcPr>
          <w:p>
            <w:pPr>
              <w:jc w:val="right"/>
              <w:ind w:right="4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D2EDFE"/>
          </w:tcPr>
          <w:p>
            <w:pPr>
              <w:jc w:val="right"/>
              <w:ind w:right="112"/>
              <w:spacing w:after="0"/>
              <w:rPr>
                <w:sz w:val="20"/>
                <w:szCs w:val="20"/>
                <w:color w:val="auto"/>
              </w:rPr>
            </w:pPr>
            <w:r>
              <w:rPr>
                <w:rFonts w:ascii="Arial" w:cs="Arial" w:eastAsia="Arial" w:hAnsi="Arial"/>
                <w:sz w:val="18"/>
                <w:szCs w:val="18"/>
                <w:color w:val="auto"/>
              </w:rPr>
              <w:t>(7,487)</w:t>
            </w: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i w:val="1"/>
                <w:iCs w:val="1"/>
                <w:color w:val="auto"/>
              </w:rPr>
              <w:t>Plus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4660" w:type="dxa"/>
            <w:vAlign w:val="bottom"/>
            <w:shd w:val="clear" w:color="auto" w:fill="D2EDFE"/>
          </w:tcPr>
          <w:p>
            <w:pPr>
              <w:ind w:left="140"/>
              <w:spacing w:after="0"/>
              <w:rPr>
                <w:sz w:val="20"/>
                <w:szCs w:val="20"/>
                <w:color w:val="auto"/>
              </w:rPr>
            </w:pPr>
            <w:r>
              <w:rPr>
                <w:rFonts w:ascii="Arial" w:cs="Arial" w:eastAsia="Arial" w:hAnsi="Arial"/>
                <w:sz w:val="18"/>
                <w:szCs w:val="18"/>
                <w:color w:val="auto"/>
              </w:rPr>
              <w:t>Equity-based compensation</w:t>
            </w:r>
          </w:p>
        </w:tc>
        <w:tc>
          <w:tcPr>
            <w:tcW w:w="380" w:type="dxa"/>
            <w:vAlign w:val="bottom"/>
            <w:shd w:val="clear" w:color="auto" w:fill="D2EDFE"/>
          </w:tcPr>
          <w:p>
            <w:pPr>
              <w:spacing w:after="0"/>
              <w:rPr>
                <w:sz w:val="19"/>
                <w:szCs w:val="19"/>
                <w:color w:val="auto"/>
              </w:rPr>
            </w:pPr>
          </w:p>
        </w:tc>
        <w:tc>
          <w:tcPr>
            <w:tcW w:w="1200" w:type="dxa"/>
            <w:vAlign w:val="bottom"/>
            <w:shd w:val="clear" w:color="auto" w:fill="D2EDFE"/>
          </w:tcPr>
          <w:p>
            <w:pPr>
              <w:jc w:val="right"/>
              <w:ind w:right="174"/>
              <w:spacing w:after="0"/>
              <w:rPr>
                <w:sz w:val="20"/>
                <w:szCs w:val="20"/>
                <w:color w:val="auto"/>
              </w:rPr>
            </w:pPr>
            <w:r>
              <w:rPr>
                <w:rFonts w:ascii="Arial" w:cs="Arial" w:eastAsia="Arial" w:hAnsi="Arial"/>
                <w:sz w:val="18"/>
                <w:szCs w:val="18"/>
                <w:color w:val="auto"/>
              </w:rPr>
              <w:t>4,492</w:t>
            </w:r>
          </w:p>
        </w:tc>
        <w:tc>
          <w:tcPr>
            <w:tcW w:w="80" w:type="dxa"/>
            <w:vAlign w:val="bottom"/>
            <w:shd w:val="clear" w:color="auto" w:fill="D2EDFE"/>
          </w:tcPr>
          <w:p>
            <w:pPr>
              <w:spacing w:after="0"/>
              <w:rPr>
                <w:sz w:val="19"/>
                <w:szCs w:val="19"/>
                <w:color w:val="auto"/>
              </w:rPr>
            </w:pPr>
          </w:p>
        </w:tc>
        <w:tc>
          <w:tcPr>
            <w:tcW w:w="620" w:type="dxa"/>
            <w:vAlign w:val="bottom"/>
            <w:shd w:val="clear" w:color="auto" w:fill="D2EDFE"/>
          </w:tcPr>
          <w:p>
            <w:pPr>
              <w:spacing w:after="0"/>
              <w:rPr>
                <w:sz w:val="19"/>
                <w:szCs w:val="19"/>
                <w:color w:val="auto"/>
              </w:rPr>
            </w:pPr>
          </w:p>
        </w:tc>
        <w:tc>
          <w:tcPr>
            <w:tcW w:w="960" w:type="dxa"/>
            <w:vAlign w:val="bottom"/>
            <w:shd w:val="clear" w:color="auto" w:fill="D2EDFE"/>
          </w:tcPr>
          <w:p>
            <w:pPr>
              <w:jc w:val="right"/>
              <w:ind w:right="172"/>
              <w:spacing w:after="0"/>
              <w:rPr>
                <w:sz w:val="20"/>
                <w:szCs w:val="20"/>
                <w:color w:val="auto"/>
              </w:rPr>
            </w:pPr>
            <w:r>
              <w:rPr>
                <w:rFonts w:ascii="Arial" w:cs="Arial" w:eastAsia="Arial" w:hAnsi="Arial"/>
                <w:sz w:val="18"/>
                <w:szCs w:val="18"/>
                <w:color w:val="auto"/>
              </w:rPr>
              <w:t>7,370</w:t>
            </w:r>
          </w:p>
        </w:tc>
        <w:tc>
          <w:tcPr>
            <w:tcW w:w="80" w:type="dxa"/>
            <w:vAlign w:val="bottom"/>
            <w:shd w:val="clear" w:color="auto" w:fill="D2EDFE"/>
          </w:tcPr>
          <w:p>
            <w:pPr>
              <w:spacing w:after="0"/>
              <w:rPr>
                <w:sz w:val="19"/>
                <w:szCs w:val="19"/>
                <w:color w:val="auto"/>
              </w:rPr>
            </w:pPr>
          </w:p>
        </w:tc>
        <w:tc>
          <w:tcPr>
            <w:tcW w:w="380" w:type="dxa"/>
            <w:vAlign w:val="bottom"/>
            <w:shd w:val="clear" w:color="auto" w:fill="D2EDFE"/>
          </w:tcPr>
          <w:p>
            <w:pPr>
              <w:spacing w:after="0"/>
              <w:rPr>
                <w:sz w:val="19"/>
                <w:szCs w:val="19"/>
                <w:color w:val="auto"/>
              </w:rPr>
            </w:pPr>
          </w:p>
        </w:tc>
        <w:tc>
          <w:tcPr>
            <w:tcW w:w="1200" w:type="dxa"/>
            <w:vAlign w:val="bottom"/>
            <w:shd w:val="clear" w:color="auto" w:fill="D2EDFE"/>
          </w:tcPr>
          <w:p>
            <w:pPr>
              <w:jc w:val="right"/>
              <w:ind w:right="154"/>
              <w:spacing w:after="0"/>
              <w:rPr>
                <w:sz w:val="20"/>
                <w:szCs w:val="20"/>
                <w:color w:val="auto"/>
              </w:rPr>
            </w:pPr>
            <w:r>
              <w:rPr>
                <w:rFonts w:ascii="Arial" w:cs="Arial" w:eastAsia="Arial" w:hAnsi="Arial"/>
                <w:sz w:val="18"/>
                <w:szCs w:val="18"/>
                <w:color w:val="auto"/>
              </w:rPr>
              <w:t>13,483</w:t>
            </w:r>
          </w:p>
        </w:tc>
        <w:tc>
          <w:tcPr>
            <w:tcW w:w="100" w:type="dxa"/>
            <w:vAlign w:val="bottom"/>
            <w:shd w:val="clear" w:color="auto" w:fill="D2EDFE"/>
          </w:tcPr>
          <w:p>
            <w:pPr>
              <w:spacing w:after="0"/>
              <w:rPr>
                <w:sz w:val="19"/>
                <w:szCs w:val="19"/>
                <w:color w:val="auto"/>
              </w:rPr>
            </w:pPr>
          </w:p>
        </w:tc>
        <w:tc>
          <w:tcPr>
            <w:tcW w:w="600" w:type="dxa"/>
            <w:vAlign w:val="bottom"/>
            <w:shd w:val="clear" w:color="auto" w:fill="D2EDFE"/>
          </w:tcPr>
          <w:p>
            <w:pPr>
              <w:spacing w:after="0"/>
              <w:rPr>
                <w:sz w:val="19"/>
                <w:szCs w:val="19"/>
                <w:color w:val="auto"/>
              </w:rPr>
            </w:pPr>
          </w:p>
        </w:tc>
        <w:tc>
          <w:tcPr>
            <w:tcW w:w="980" w:type="dxa"/>
            <w:vAlign w:val="bottom"/>
            <w:shd w:val="clear" w:color="auto" w:fill="D2EDFE"/>
          </w:tcPr>
          <w:p>
            <w:pPr>
              <w:jc w:val="right"/>
              <w:ind w:right="152"/>
              <w:spacing w:after="0"/>
              <w:rPr>
                <w:sz w:val="20"/>
                <w:szCs w:val="20"/>
                <w:color w:val="auto"/>
              </w:rPr>
            </w:pPr>
            <w:r>
              <w:rPr>
                <w:rFonts w:ascii="Arial" w:cs="Arial" w:eastAsia="Arial" w:hAnsi="Arial"/>
                <w:sz w:val="18"/>
                <w:szCs w:val="18"/>
                <w:color w:val="auto"/>
              </w:rPr>
              <w:t>21,961</w:t>
            </w:r>
          </w:p>
        </w:tc>
      </w:tr>
      <w:tr>
        <w:trPr>
          <w:trHeight w:val="229"/>
        </w:trPr>
        <w:tc>
          <w:tcPr>
            <w:tcW w:w="4660" w:type="dxa"/>
            <w:vAlign w:val="bottom"/>
          </w:tcPr>
          <w:p>
            <w:pPr>
              <w:ind w:left="140"/>
              <w:spacing w:after="0"/>
              <w:rPr>
                <w:sz w:val="20"/>
                <w:szCs w:val="20"/>
                <w:color w:val="auto"/>
              </w:rPr>
            </w:pPr>
            <w:r>
              <w:rPr>
                <w:rFonts w:ascii="Arial" w:cs="Arial" w:eastAsia="Arial" w:hAnsi="Arial"/>
                <w:sz w:val="18"/>
                <w:szCs w:val="18"/>
                <w:color w:val="auto"/>
              </w:rPr>
              <w:t>IPO related costs</w:t>
            </w:r>
          </w:p>
        </w:tc>
        <w:tc>
          <w:tcPr>
            <w:tcW w:w="380" w:type="dxa"/>
            <w:vAlign w:val="bottom"/>
          </w:tcPr>
          <w:p>
            <w:pPr>
              <w:spacing w:after="0"/>
              <w:rPr>
                <w:sz w:val="19"/>
                <w:szCs w:val="19"/>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980" w:type="dxa"/>
            <w:vAlign w:val="bottom"/>
          </w:tcPr>
          <w:p>
            <w:pPr>
              <w:jc w:val="right"/>
              <w:ind w:right="152"/>
              <w:spacing w:after="0"/>
              <w:rPr>
                <w:sz w:val="20"/>
                <w:szCs w:val="20"/>
                <w:color w:val="auto"/>
              </w:rPr>
            </w:pPr>
            <w:r>
              <w:rPr>
                <w:rFonts w:ascii="Arial" w:cs="Arial" w:eastAsia="Arial" w:hAnsi="Arial"/>
                <w:sz w:val="18"/>
                <w:szCs w:val="18"/>
                <w:color w:val="auto"/>
              </w:rPr>
              <w:t>731</w:t>
            </w:r>
          </w:p>
        </w:tc>
      </w:tr>
      <w:tr>
        <w:trPr>
          <w:trHeight w:val="229"/>
        </w:trPr>
        <w:tc>
          <w:tcPr>
            <w:tcW w:w="4660" w:type="dxa"/>
            <w:vAlign w:val="bottom"/>
            <w:shd w:val="clear" w:color="auto" w:fill="D2EDFE"/>
          </w:tcPr>
          <w:p>
            <w:pPr>
              <w:ind w:left="140"/>
              <w:spacing w:after="0"/>
              <w:rPr>
                <w:sz w:val="20"/>
                <w:szCs w:val="20"/>
                <w:color w:val="auto"/>
              </w:rPr>
            </w:pPr>
            <w:r>
              <w:rPr>
                <w:rFonts w:ascii="Arial" w:cs="Arial" w:eastAsia="Arial" w:hAnsi="Arial"/>
                <w:sz w:val="18"/>
                <w:szCs w:val="18"/>
                <w:color w:val="auto"/>
              </w:rPr>
              <w:t>Restructuring and related severance costs</w:t>
            </w:r>
          </w:p>
        </w:tc>
        <w:tc>
          <w:tcPr>
            <w:tcW w:w="380" w:type="dxa"/>
            <w:vAlign w:val="bottom"/>
            <w:shd w:val="clear" w:color="auto" w:fill="D2EDFE"/>
          </w:tcPr>
          <w:p>
            <w:pPr>
              <w:spacing w:after="0"/>
              <w:rPr>
                <w:sz w:val="19"/>
                <w:szCs w:val="19"/>
                <w:color w:val="auto"/>
              </w:rPr>
            </w:pPr>
          </w:p>
        </w:tc>
        <w:tc>
          <w:tcPr>
            <w:tcW w:w="1200" w:type="dxa"/>
            <w:vAlign w:val="bottom"/>
            <w:shd w:val="clear" w:color="auto" w:fill="D2EDFE"/>
          </w:tcPr>
          <w:p>
            <w:pPr>
              <w:jc w:val="right"/>
              <w:ind w:right="174"/>
              <w:spacing w:after="0"/>
              <w:rPr>
                <w:sz w:val="20"/>
                <w:szCs w:val="20"/>
                <w:color w:val="auto"/>
              </w:rPr>
            </w:pPr>
            <w:r>
              <w:rPr>
                <w:rFonts w:ascii="Arial" w:cs="Arial" w:eastAsia="Arial" w:hAnsi="Arial"/>
                <w:sz w:val="18"/>
                <w:szCs w:val="18"/>
                <w:color w:val="auto"/>
              </w:rPr>
              <w:t>995</w:t>
            </w:r>
          </w:p>
        </w:tc>
        <w:tc>
          <w:tcPr>
            <w:tcW w:w="80" w:type="dxa"/>
            <w:vAlign w:val="bottom"/>
            <w:shd w:val="clear" w:color="auto" w:fill="D2EDFE"/>
          </w:tcPr>
          <w:p>
            <w:pPr>
              <w:spacing w:after="0"/>
              <w:rPr>
                <w:sz w:val="19"/>
                <w:szCs w:val="19"/>
                <w:color w:val="auto"/>
              </w:rPr>
            </w:pPr>
          </w:p>
        </w:tc>
        <w:tc>
          <w:tcPr>
            <w:tcW w:w="620" w:type="dxa"/>
            <w:vAlign w:val="bottom"/>
            <w:shd w:val="clear" w:color="auto" w:fill="D2EDFE"/>
          </w:tcPr>
          <w:p>
            <w:pPr>
              <w:spacing w:after="0"/>
              <w:rPr>
                <w:sz w:val="19"/>
                <w:szCs w:val="19"/>
                <w:color w:val="auto"/>
              </w:rPr>
            </w:pPr>
          </w:p>
        </w:tc>
        <w:tc>
          <w:tcPr>
            <w:tcW w:w="960" w:type="dxa"/>
            <w:vAlign w:val="bottom"/>
            <w:shd w:val="clear" w:color="auto" w:fill="D2EDFE"/>
          </w:tcPr>
          <w:p>
            <w:pPr>
              <w:jc w:val="right"/>
              <w:ind w:right="172"/>
              <w:spacing w:after="0"/>
              <w:rPr>
                <w:sz w:val="20"/>
                <w:szCs w:val="20"/>
                <w:color w:val="auto"/>
              </w:rPr>
            </w:pPr>
            <w:r>
              <w:rPr>
                <w:rFonts w:ascii="Arial" w:cs="Arial" w:eastAsia="Arial" w:hAnsi="Arial"/>
                <w:sz w:val="18"/>
                <w:szCs w:val="18"/>
                <w:color w:val="auto"/>
              </w:rPr>
              <w:t>108</w:t>
            </w:r>
          </w:p>
        </w:tc>
        <w:tc>
          <w:tcPr>
            <w:tcW w:w="80" w:type="dxa"/>
            <w:vAlign w:val="bottom"/>
            <w:shd w:val="clear" w:color="auto" w:fill="D2EDFE"/>
          </w:tcPr>
          <w:p>
            <w:pPr>
              <w:spacing w:after="0"/>
              <w:rPr>
                <w:sz w:val="19"/>
                <w:szCs w:val="19"/>
                <w:color w:val="auto"/>
              </w:rPr>
            </w:pPr>
          </w:p>
        </w:tc>
        <w:tc>
          <w:tcPr>
            <w:tcW w:w="380" w:type="dxa"/>
            <w:vAlign w:val="bottom"/>
            <w:shd w:val="clear" w:color="auto" w:fill="D2EDFE"/>
          </w:tcPr>
          <w:p>
            <w:pPr>
              <w:spacing w:after="0"/>
              <w:rPr>
                <w:sz w:val="19"/>
                <w:szCs w:val="19"/>
                <w:color w:val="auto"/>
              </w:rPr>
            </w:pPr>
          </w:p>
        </w:tc>
        <w:tc>
          <w:tcPr>
            <w:tcW w:w="1200" w:type="dxa"/>
            <w:vAlign w:val="bottom"/>
            <w:shd w:val="clear" w:color="auto" w:fill="D2EDFE"/>
          </w:tcPr>
          <w:p>
            <w:pPr>
              <w:jc w:val="right"/>
              <w:ind w:right="154"/>
              <w:spacing w:after="0"/>
              <w:rPr>
                <w:sz w:val="20"/>
                <w:szCs w:val="20"/>
                <w:color w:val="auto"/>
              </w:rPr>
            </w:pPr>
            <w:r>
              <w:rPr>
                <w:rFonts w:ascii="Arial" w:cs="Arial" w:eastAsia="Arial" w:hAnsi="Arial"/>
                <w:sz w:val="18"/>
                <w:szCs w:val="18"/>
                <w:color w:val="auto"/>
              </w:rPr>
              <w:t>4,300</w:t>
            </w:r>
          </w:p>
        </w:tc>
        <w:tc>
          <w:tcPr>
            <w:tcW w:w="100" w:type="dxa"/>
            <w:vAlign w:val="bottom"/>
            <w:shd w:val="clear" w:color="auto" w:fill="D2EDFE"/>
          </w:tcPr>
          <w:p>
            <w:pPr>
              <w:spacing w:after="0"/>
              <w:rPr>
                <w:sz w:val="19"/>
                <w:szCs w:val="19"/>
                <w:color w:val="auto"/>
              </w:rPr>
            </w:pPr>
          </w:p>
        </w:tc>
        <w:tc>
          <w:tcPr>
            <w:tcW w:w="600" w:type="dxa"/>
            <w:vAlign w:val="bottom"/>
            <w:shd w:val="clear" w:color="auto" w:fill="D2EDFE"/>
          </w:tcPr>
          <w:p>
            <w:pPr>
              <w:spacing w:after="0"/>
              <w:rPr>
                <w:sz w:val="19"/>
                <w:szCs w:val="19"/>
                <w:color w:val="auto"/>
              </w:rPr>
            </w:pPr>
          </w:p>
        </w:tc>
        <w:tc>
          <w:tcPr>
            <w:tcW w:w="980" w:type="dxa"/>
            <w:vAlign w:val="bottom"/>
            <w:shd w:val="clear" w:color="auto" w:fill="D2EDFE"/>
          </w:tcPr>
          <w:p>
            <w:pPr>
              <w:jc w:val="right"/>
              <w:ind w:right="152"/>
              <w:spacing w:after="0"/>
              <w:rPr>
                <w:sz w:val="20"/>
                <w:szCs w:val="20"/>
                <w:color w:val="auto"/>
              </w:rPr>
            </w:pPr>
            <w:r>
              <w:rPr>
                <w:rFonts w:ascii="Arial" w:cs="Arial" w:eastAsia="Arial" w:hAnsi="Arial"/>
                <w:sz w:val="18"/>
                <w:szCs w:val="18"/>
                <w:color w:val="auto"/>
              </w:rPr>
              <w:t>838</w:t>
            </w:r>
          </w:p>
        </w:tc>
      </w:tr>
      <w:tr>
        <w:trPr>
          <w:trHeight w:val="230"/>
        </w:trPr>
        <w:tc>
          <w:tcPr>
            <w:tcW w:w="466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9"/>
                <w:szCs w:val="19"/>
                <w:color w:val="auto"/>
              </w:rPr>
            </w:pPr>
          </w:p>
        </w:tc>
        <w:tc>
          <w:tcPr>
            <w:tcW w:w="1200" w:type="dxa"/>
            <w:vAlign w:val="bottom"/>
          </w:tcPr>
          <w:p>
            <w:pPr>
              <w:jc w:val="right"/>
              <w:ind w:right="174"/>
              <w:spacing w:after="0"/>
              <w:rPr>
                <w:sz w:val="20"/>
                <w:szCs w:val="20"/>
                <w:color w:val="auto"/>
              </w:rPr>
            </w:pPr>
            <w:r>
              <w:rPr>
                <w:rFonts w:ascii="Arial" w:cs="Arial" w:eastAsia="Arial" w:hAnsi="Arial"/>
                <w:sz w:val="18"/>
                <w:szCs w:val="18"/>
                <w:color w:val="auto"/>
              </w:rPr>
              <w:t>2,629</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ind w:right="172"/>
              <w:spacing w:after="0"/>
              <w:rPr>
                <w:sz w:val="20"/>
                <w:szCs w:val="20"/>
                <w:color w:val="auto"/>
              </w:rPr>
            </w:pPr>
            <w:r>
              <w:rPr>
                <w:rFonts w:ascii="Arial" w:cs="Arial" w:eastAsia="Arial" w:hAnsi="Arial"/>
                <w:sz w:val="18"/>
                <w:szCs w:val="18"/>
                <w:color w:val="auto"/>
              </w:rPr>
              <w:t>1,994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154"/>
              <w:spacing w:after="0"/>
              <w:rPr>
                <w:sz w:val="20"/>
                <w:szCs w:val="20"/>
                <w:color w:val="auto"/>
              </w:rPr>
            </w:pPr>
            <w:r>
              <w:rPr>
                <w:rFonts w:ascii="Arial" w:cs="Arial" w:eastAsia="Arial" w:hAnsi="Arial"/>
                <w:sz w:val="18"/>
                <w:szCs w:val="18"/>
                <w:color w:val="auto"/>
              </w:rPr>
              <w:t>7,479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jc w:val="right"/>
              <w:ind w:right="152"/>
              <w:spacing w:after="0"/>
              <w:rPr>
                <w:sz w:val="20"/>
                <w:szCs w:val="20"/>
                <w:color w:val="auto"/>
              </w:rPr>
            </w:pPr>
            <w:r>
              <w:rPr>
                <w:rFonts w:ascii="Arial" w:cs="Arial" w:eastAsia="Arial" w:hAnsi="Arial"/>
                <w:sz w:val="18"/>
                <w:szCs w:val="18"/>
                <w:color w:val="auto"/>
              </w:rPr>
              <w:t>5,842</w:t>
            </w:r>
          </w:p>
        </w:tc>
      </w:tr>
      <w:tr>
        <w:trPr>
          <w:trHeight w:val="229"/>
        </w:trPr>
        <w:tc>
          <w:tcPr>
            <w:tcW w:w="4660" w:type="dxa"/>
            <w:vAlign w:val="bottom"/>
            <w:shd w:val="clear" w:color="auto" w:fill="D2EDFE"/>
          </w:tcPr>
          <w:p>
            <w:pPr>
              <w:ind w:left="140"/>
              <w:spacing w:after="0"/>
              <w:rPr>
                <w:sz w:val="20"/>
                <w:szCs w:val="20"/>
                <w:color w:val="auto"/>
              </w:rPr>
            </w:pPr>
            <w:r>
              <w:rPr>
                <w:rFonts w:ascii="Arial" w:cs="Arial" w:eastAsia="Arial" w:hAnsi="Arial"/>
                <w:sz w:val="18"/>
                <w:szCs w:val="18"/>
                <w:color w:val="auto"/>
              </w:rPr>
              <w:t>Loss/(gain) on disposal of long-lived assets</w:t>
            </w:r>
          </w:p>
        </w:tc>
        <w:tc>
          <w:tcPr>
            <w:tcW w:w="380" w:type="dxa"/>
            <w:vAlign w:val="bottom"/>
            <w:shd w:val="clear" w:color="auto" w:fill="D2EDFE"/>
          </w:tcPr>
          <w:p>
            <w:pPr>
              <w:spacing w:after="0"/>
              <w:rPr>
                <w:sz w:val="19"/>
                <w:szCs w:val="19"/>
                <w:color w:val="auto"/>
              </w:rPr>
            </w:pPr>
          </w:p>
        </w:tc>
        <w:tc>
          <w:tcPr>
            <w:tcW w:w="1200" w:type="dxa"/>
            <w:vAlign w:val="bottom"/>
            <w:shd w:val="clear" w:color="auto" w:fill="D2EDFE"/>
          </w:tcPr>
          <w:p>
            <w:pPr>
              <w:jc w:val="right"/>
              <w:ind w:right="174"/>
              <w:spacing w:after="0"/>
              <w:rPr>
                <w:sz w:val="20"/>
                <w:szCs w:val="20"/>
                <w:color w:val="auto"/>
              </w:rPr>
            </w:pPr>
            <w:r>
              <w:rPr>
                <w:rFonts w:ascii="Arial" w:cs="Arial" w:eastAsia="Arial" w:hAnsi="Arial"/>
                <w:sz w:val="18"/>
                <w:szCs w:val="18"/>
                <w:color w:val="auto"/>
              </w:rPr>
              <w:t>4</w:t>
            </w:r>
          </w:p>
        </w:tc>
        <w:tc>
          <w:tcPr>
            <w:tcW w:w="80" w:type="dxa"/>
            <w:vAlign w:val="bottom"/>
            <w:shd w:val="clear" w:color="auto" w:fill="D2EDFE"/>
          </w:tcPr>
          <w:p>
            <w:pPr>
              <w:spacing w:after="0"/>
              <w:rPr>
                <w:sz w:val="19"/>
                <w:szCs w:val="19"/>
                <w:color w:val="auto"/>
              </w:rPr>
            </w:pPr>
          </w:p>
        </w:tc>
        <w:tc>
          <w:tcPr>
            <w:tcW w:w="620" w:type="dxa"/>
            <w:vAlign w:val="bottom"/>
            <w:shd w:val="clear" w:color="auto" w:fill="D2EDFE"/>
          </w:tcPr>
          <w:p>
            <w:pPr>
              <w:spacing w:after="0"/>
              <w:rPr>
                <w:sz w:val="19"/>
                <w:szCs w:val="19"/>
                <w:color w:val="auto"/>
              </w:rPr>
            </w:pPr>
          </w:p>
        </w:tc>
        <w:tc>
          <w:tcPr>
            <w:tcW w:w="960" w:type="dxa"/>
            <w:vAlign w:val="bottom"/>
            <w:shd w:val="clear" w:color="auto" w:fill="D2EDFE"/>
          </w:tcPr>
          <w:p>
            <w:pPr>
              <w:jc w:val="right"/>
              <w:ind w:right="132"/>
              <w:spacing w:after="0"/>
              <w:rPr>
                <w:sz w:val="20"/>
                <w:szCs w:val="20"/>
                <w:color w:val="auto"/>
              </w:rPr>
            </w:pPr>
            <w:r>
              <w:rPr>
                <w:rFonts w:ascii="Arial" w:cs="Arial" w:eastAsia="Arial" w:hAnsi="Arial"/>
                <w:sz w:val="18"/>
                <w:szCs w:val="18"/>
                <w:color w:val="auto"/>
              </w:rPr>
              <w:t>(12)</w:t>
            </w:r>
          </w:p>
        </w:tc>
        <w:tc>
          <w:tcPr>
            <w:tcW w:w="80" w:type="dxa"/>
            <w:vAlign w:val="bottom"/>
            <w:shd w:val="clear" w:color="auto" w:fill="D2EDFE"/>
          </w:tcPr>
          <w:p>
            <w:pPr>
              <w:spacing w:after="0"/>
              <w:rPr>
                <w:sz w:val="19"/>
                <w:szCs w:val="19"/>
                <w:color w:val="auto"/>
              </w:rPr>
            </w:pPr>
          </w:p>
        </w:tc>
        <w:tc>
          <w:tcPr>
            <w:tcW w:w="380" w:type="dxa"/>
            <w:vAlign w:val="bottom"/>
            <w:shd w:val="clear" w:color="auto" w:fill="D2EDFE"/>
          </w:tcPr>
          <w:p>
            <w:pPr>
              <w:spacing w:after="0"/>
              <w:rPr>
                <w:sz w:val="19"/>
                <w:szCs w:val="19"/>
                <w:color w:val="auto"/>
              </w:rPr>
            </w:pPr>
          </w:p>
        </w:tc>
        <w:tc>
          <w:tcPr>
            <w:tcW w:w="1200" w:type="dxa"/>
            <w:vAlign w:val="bottom"/>
            <w:shd w:val="clear" w:color="auto" w:fill="D2EDFE"/>
          </w:tcPr>
          <w:p>
            <w:pPr>
              <w:jc w:val="right"/>
              <w:ind w:right="114"/>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D2EDFE"/>
          </w:tcPr>
          <w:p>
            <w:pPr>
              <w:spacing w:after="0"/>
              <w:rPr>
                <w:sz w:val="19"/>
                <w:szCs w:val="19"/>
                <w:color w:val="auto"/>
              </w:rPr>
            </w:pPr>
          </w:p>
        </w:tc>
        <w:tc>
          <w:tcPr>
            <w:tcW w:w="600" w:type="dxa"/>
            <w:vAlign w:val="bottom"/>
            <w:shd w:val="clear" w:color="auto" w:fill="D2EDFE"/>
          </w:tcPr>
          <w:p>
            <w:pPr>
              <w:spacing w:after="0"/>
              <w:rPr>
                <w:sz w:val="19"/>
                <w:szCs w:val="19"/>
                <w:color w:val="auto"/>
              </w:rPr>
            </w:pPr>
          </w:p>
        </w:tc>
        <w:tc>
          <w:tcPr>
            <w:tcW w:w="980" w:type="dxa"/>
            <w:vAlign w:val="bottom"/>
            <w:shd w:val="clear" w:color="auto" w:fill="D2EDFE"/>
          </w:tcPr>
          <w:p>
            <w:pPr>
              <w:jc w:val="right"/>
              <w:ind w:right="152"/>
              <w:spacing w:after="0"/>
              <w:rPr>
                <w:sz w:val="20"/>
                <w:szCs w:val="20"/>
                <w:color w:val="auto"/>
              </w:rPr>
            </w:pPr>
            <w:r>
              <w:rPr>
                <w:rFonts w:ascii="Arial" w:cs="Arial" w:eastAsia="Arial" w:hAnsi="Arial"/>
                <w:sz w:val="18"/>
                <w:szCs w:val="18"/>
                <w:color w:val="auto"/>
              </w:rPr>
              <w:t>215</w:t>
            </w:r>
          </w:p>
        </w:tc>
      </w:tr>
      <w:tr>
        <w:trPr>
          <w:trHeight w:val="230"/>
        </w:trPr>
        <w:tc>
          <w:tcPr>
            <w:tcW w:w="4660" w:type="dxa"/>
            <w:vAlign w:val="bottom"/>
          </w:tcPr>
          <w:p>
            <w:pPr>
              <w:ind w:left="140"/>
              <w:spacing w:after="0"/>
              <w:rPr>
                <w:sz w:val="20"/>
                <w:szCs w:val="20"/>
                <w:color w:val="auto"/>
              </w:rPr>
            </w:pPr>
            <w:r>
              <w:rPr>
                <w:rFonts w:ascii="Arial" w:cs="Arial" w:eastAsia="Arial" w:hAnsi="Arial"/>
                <w:sz w:val="18"/>
                <w:szCs w:val="18"/>
                <w:color w:val="auto"/>
              </w:rPr>
              <w:t>Interest expense, net</w:t>
            </w:r>
          </w:p>
        </w:tc>
        <w:tc>
          <w:tcPr>
            <w:tcW w:w="380" w:type="dxa"/>
            <w:vAlign w:val="bottom"/>
          </w:tcPr>
          <w:p>
            <w:pPr>
              <w:spacing w:after="0"/>
              <w:rPr>
                <w:sz w:val="19"/>
                <w:szCs w:val="19"/>
                <w:color w:val="auto"/>
              </w:rPr>
            </w:pPr>
          </w:p>
        </w:tc>
        <w:tc>
          <w:tcPr>
            <w:tcW w:w="1200" w:type="dxa"/>
            <w:vAlign w:val="bottom"/>
          </w:tcPr>
          <w:p>
            <w:pPr>
              <w:jc w:val="right"/>
              <w:ind w:right="174"/>
              <w:spacing w:after="0"/>
              <w:rPr>
                <w:sz w:val="20"/>
                <w:szCs w:val="20"/>
                <w:color w:val="auto"/>
              </w:rPr>
            </w:pPr>
            <w:r>
              <w:rPr>
                <w:rFonts w:ascii="Arial" w:cs="Arial" w:eastAsia="Arial" w:hAnsi="Arial"/>
                <w:sz w:val="18"/>
                <w:szCs w:val="18"/>
                <w:color w:val="auto"/>
              </w:rPr>
              <w:t>1,836</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ind w:right="172"/>
              <w:spacing w:after="0"/>
              <w:rPr>
                <w:sz w:val="20"/>
                <w:szCs w:val="20"/>
                <w:color w:val="auto"/>
              </w:rPr>
            </w:pPr>
            <w:r>
              <w:rPr>
                <w:rFonts w:ascii="Arial" w:cs="Arial" w:eastAsia="Arial" w:hAnsi="Arial"/>
                <w:sz w:val="18"/>
                <w:szCs w:val="18"/>
                <w:color w:val="auto"/>
              </w:rPr>
              <w:t>1,770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154"/>
              <w:spacing w:after="0"/>
              <w:rPr>
                <w:sz w:val="20"/>
                <w:szCs w:val="20"/>
                <w:color w:val="auto"/>
              </w:rPr>
            </w:pPr>
            <w:r>
              <w:rPr>
                <w:rFonts w:ascii="Arial" w:cs="Arial" w:eastAsia="Arial" w:hAnsi="Arial"/>
                <w:sz w:val="18"/>
                <w:szCs w:val="18"/>
                <w:color w:val="auto"/>
              </w:rPr>
              <w:t>5,462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jc w:val="right"/>
              <w:ind w:right="152"/>
              <w:spacing w:after="0"/>
              <w:rPr>
                <w:sz w:val="20"/>
                <w:szCs w:val="20"/>
                <w:color w:val="auto"/>
              </w:rPr>
            </w:pPr>
            <w:r>
              <w:rPr>
                <w:rFonts w:ascii="Arial" w:cs="Arial" w:eastAsia="Arial" w:hAnsi="Arial"/>
                <w:sz w:val="18"/>
                <w:szCs w:val="18"/>
                <w:color w:val="auto"/>
              </w:rPr>
              <w:t>4,821</w:t>
            </w:r>
          </w:p>
        </w:tc>
      </w:tr>
      <w:tr>
        <w:trPr>
          <w:trHeight w:val="229"/>
        </w:trPr>
        <w:tc>
          <w:tcPr>
            <w:tcW w:w="4660" w:type="dxa"/>
            <w:vAlign w:val="bottom"/>
            <w:shd w:val="clear" w:color="auto" w:fill="D2EDFE"/>
          </w:tcPr>
          <w:p>
            <w:pPr>
              <w:ind w:left="140"/>
              <w:spacing w:after="0"/>
              <w:rPr>
                <w:sz w:val="20"/>
                <w:szCs w:val="20"/>
                <w:color w:val="auto"/>
              </w:rPr>
            </w:pPr>
            <w:r>
              <w:rPr>
                <w:rFonts w:ascii="Arial" w:cs="Arial" w:eastAsia="Arial" w:hAnsi="Arial"/>
                <w:sz w:val="18"/>
                <w:szCs w:val="18"/>
                <w:color w:val="auto"/>
              </w:rPr>
              <w:t>Income tax expense</w:t>
            </w:r>
          </w:p>
        </w:tc>
        <w:tc>
          <w:tcPr>
            <w:tcW w:w="380" w:type="dxa"/>
            <w:vAlign w:val="bottom"/>
            <w:tcBorders>
              <w:bottom w:val="single" w:sz="8" w:color="auto"/>
            </w:tcBorders>
            <w:shd w:val="clear" w:color="auto" w:fill="D2EDFE"/>
          </w:tcPr>
          <w:p>
            <w:pPr>
              <w:spacing w:after="0"/>
              <w:rPr>
                <w:sz w:val="19"/>
                <w:szCs w:val="19"/>
                <w:color w:val="auto"/>
              </w:rPr>
            </w:pPr>
          </w:p>
        </w:tc>
        <w:tc>
          <w:tcPr>
            <w:tcW w:w="1200" w:type="dxa"/>
            <w:vAlign w:val="bottom"/>
            <w:tcBorders>
              <w:bottom w:val="single" w:sz="8" w:color="auto"/>
            </w:tcBorders>
            <w:shd w:val="clear" w:color="auto" w:fill="D2EDFE"/>
          </w:tcPr>
          <w:p>
            <w:pPr>
              <w:jc w:val="right"/>
              <w:ind w:right="174"/>
              <w:spacing w:after="0"/>
              <w:rPr>
                <w:sz w:val="20"/>
                <w:szCs w:val="20"/>
                <w:color w:val="auto"/>
              </w:rPr>
            </w:pPr>
            <w:r>
              <w:rPr>
                <w:rFonts w:ascii="Arial" w:cs="Arial" w:eastAsia="Arial" w:hAnsi="Arial"/>
                <w:sz w:val="18"/>
                <w:szCs w:val="18"/>
                <w:color w:val="auto"/>
              </w:rPr>
              <w:t>786</w:t>
            </w:r>
          </w:p>
        </w:tc>
        <w:tc>
          <w:tcPr>
            <w:tcW w:w="80" w:type="dxa"/>
            <w:vAlign w:val="bottom"/>
            <w:shd w:val="clear" w:color="auto" w:fill="D2EDFE"/>
          </w:tcPr>
          <w:p>
            <w:pPr>
              <w:spacing w:after="0"/>
              <w:rPr>
                <w:sz w:val="19"/>
                <w:szCs w:val="19"/>
                <w:color w:val="auto"/>
              </w:rPr>
            </w:pPr>
          </w:p>
        </w:tc>
        <w:tc>
          <w:tcPr>
            <w:tcW w:w="620" w:type="dxa"/>
            <w:vAlign w:val="bottom"/>
            <w:tcBorders>
              <w:bottom w:val="single" w:sz="8" w:color="auto"/>
            </w:tcBorders>
            <w:shd w:val="clear" w:color="auto" w:fill="D2EDFE"/>
          </w:tcPr>
          <w:p>
            <w:pPr>
              <w:spacing w:after="0"/>
              <w:rPr>
                <w:sz w:val="19"/>
                <w:szCs w:val="19"/>
                <w:color w:val="auto"/>
              </w:rPr>
            </w:pPr>
          </w:p>
        </w:tc>
        <w:tc>
          <w:tcPr>
            <w:tcW w:w="960" w:type="dxa"/>
            <w:vAlign w:val="bottom"/>
            <w:tcBorders>
              <w:bottom w:val="single" w:sz="8" w:color="auto"/>
            </w:tcBorders>
            <w:shd w:val="clear" w:color="auto" w:fill="D2EDFE"/>
          </w:tcPr>
          <w:p>
            <w:pPr>
              <w:jc w:val="right"/>
              <w:ind w:right="172"/>
              <w:spacing w:after="0"/>
              <w:rPr>
                <w:sz w:val="20"/>
                <w:szCs w:val="20"/>
                <w:color w:val="auto"/>
              </w:rPr>
            </w:pPr>
            <w:r>
              <w:rPr>
                <w:rFonts w:ascii="Arial" w:cs="Arial" w:eastAsia="Arial" w:hAnsi="Arial"/>
                <w:sz w:val="18"/>
                <w:szCs w:val="18"/>
                <w:color w:val="auto"/>
              </w:rPr>
              <w:t>4,232</w:t>
            </w:r>
          </w:p>
        </w:tc>
        <w:tc>
          <w:tcPr>
            <w:tcW w:w="80" w:type="dxa"/>
            <w:vAlign w:val="bottom"/>
            <w:shd w:val="clear" w:color="auto" w:fill="D2EDFE"/>
          </w:tcPr>
          <w:p>
            <w:pPr>
              <w:spacing w:after="0"/>
              <w:rPr>
                <w:sz w:val="19"/>
                <w:szCs w:val="19"/>
                <w:color w:val="auto"/>
              </w:rPr>
            </w:pPr>
          </w:p>
        </w:tc>
        <w:tc>
          <w:tcPr>
            <w:tcW w:w="380" w:type="dxa"/>
            <w:vAlign w:val="bottom"/>
            <w:tcBorders>
              <w:bottom w:val="single" w:sz="8" w:color="auto"/>
            </w:tcBorders>
            <w:shd w:val="clear" w:color="auto" w:fill="D2EDFE"/>
          </w:tcPr>
          <w:p>
            <w:pPr>
              <w:spacing w:after="0"/>
              <w:rPr>
                <w:sz w:val="19"/>
                <w:szCs w:val="19"/>
                <w:color w:val="auto"/>
              </w:rPr>
            </w:pPr>
          </w:p>
        </w:tc>
        <w:tc>
          <w:tcPr>
            <w:tcW w:w="1200" w:type="dxa"/>
            <w:vAlign w:val="bottom"/>
            <w:tcBorders>
              <w:bottom w:val="single" w:sz="8" w:color="auto"/>
            </w:tcBorders>
            <w:shd w:val="clear" w:color="auto" w:fill="D2EDFE"/>
          </w:tcPr>
          <w:p>
            <w:pPr>
              <w:jc w:val="right"/>
              <w:ind w:right="154"/>
              <w:spacing w:after="0"/>
              <w:rPr>
                <w:sz w:val="20"/>
                <w:szCs w:val="20"/>
                <w:color w:val="auto"/>
              </w:rPr>
            </w:pPr>
            <w:r>
              <w:rPr>
                <w:rFonts w:ascii="Arial" w:cs="Arial" w:eastAsia="Arial" w:hAnsi="Arial"/>
                <w:sz w:val="18"/>
                <w:szCs w:val="18"/>
                <w:color w:val="auto"/>
              </w:rPr>
              <w:t>2,522</w:t>
            </w:r>
          </w:p>
        </w:tc>
        <w:tc>
          <w:tcPr>
            <w:tcW w:w="100" w:type="dxa"/>
            <w:vAlign w:val="bottom"/>
            <w:shd w:val="clear" w:color="auto" w:fill="D2EDFE"/>
          </w:tcPr>
          <w:p>
            <w:pPr>
              <w:spacing w:after="0"/>
              <w:rPr>
                <w:sz w:val="19"/>
                <w:szCs w:val="19"/>
                <w:color w:val="auto"/>
              </w:rPr>
            </w:pPr>
          </w:p>
        </w:tc>
        <w:tc>
          <w:tcPr>
            <w:tcW w:w="600" w:type="dxa"/>
            <w:vAlign w:val="bottom"/>
            <w:tcBorders>
              <w:bottom w:val="single" w:sz="8" w:color="auto"/>
            </w:tcBorders>
            <w:shd w:val="clear" w:color="auto" w:fill="D2EDFE"/>
          </w:tcPr>
          <w:p>
            <w:pPr>
              <w:spacing w:after="0"/>
              <w:rPr>
                <w:sz w:val="19"/>
                <w:szCs w:val="19"/>
                <w:color w:val="auto"/>
              </w:rPr>
            </w:pPr>
          </w:p>
        </w:tc>
        <w:tc>
          <w:tcPr>
            <w:tcW w:w="980" w:type="dxa"/>
            <w:vAlign w:val="bottom"/>
            <w:tcBorders>
              <w:bottom w:val="single" w:sz="8" w:color="auto"/>
            </w:tcBorders>
            <w:shd w:val="clear" w:color="auto" w:fill="D2EDFE"/>
          </w:tcPr>
          <w:p>
            <w:pPr>
              <w:jc w:val="right"/>
              <w:ind w:right="152"/>
              <w:spacing w:after="0"/>
              <w:rPr>
                <w:sz w:val="20"/>
                <w:szCs w:val="20"/>
                <w:color w:val="auto"/>
              </w:rPr>
            </w:pPr>
            <w:r>
              <w:rPr>
                <w:rFonts w:ascii="Arial" w:cs="Arial" w:eastAsia="Arial" w:hAnsi="Arial"/>
                <w:sz w:val="18"/>
                <w:szCs w:val="18"/>
                <w:color w:val="auto"/>
              </w:rPr>
              <w:t>4,083</w:t>
            </w:r>
          </w:p>
        </w:tc>
      </w:tr>
      <w:tr>
        <w:trPr>
          <w:trHeight w:val="223"/>
        </w:trPr>
        <w:tc>
          <w:tcPr>
            <w:tcW w:w="4660" w:type="dxa"/>
            <w:vAlign w:val="bottom"/>
            <w:tcBorders>
              <w:bottom w:val="single" w:sz="8" w:color="D2EDFE"/>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b w:val="1"/>
                <w:bCs w:val="1"/>
                <w:color w:val="auto"/>
              </w:rPr>
              <w:t>9,075</w:t>
            </w:r>
          </w:p>
        </w:tc>
        <w:tc>
          <w:tcPr>
            <w:tcW w:w="80" w:type="dxa"/>
            <w:vAlign w:val="bottom"/>
            <w:tcBorders>
              <w:bottom w:val="single" w:sz="8" w:color="D2EDFE"/>
            </w:tcBorders>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8,085</w:t>
            </w:r>
          </w:p>
        </w:tc>
        <w:tc>
          <w:tcPr>
            <w:tcW w:w="80" w:type="dxa"/>
            <w:vAlign w:val="bottom"/>
            <w:tcBorders>
              <w:bottom w:val="single" w:sz="8" w:color="D2EDFE"/>
            </w:tcBorders>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b w:val="1"/>
                <w:bCs w:val="1"/>
                <w:color w:val="auto"/>
              </w:rPr>
              <w:t>33,143</w:t>
            </w:r>
          </w:p>
        </w:tc>
        <w:tc>
          <w:tcPr>
            <w:tcW w:w="100" w:type="dxa"/>
            <w:vAlign w:val="bottom"/>
            <w:tcBorders>
              <w:bottom w:val="single" w:sz="8" w:color="D2EDFE"/>
            </w:tcBorders>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31,004</w:t>
            </w:r>
          </w:p>
        </w:tc>
      </w:tr>
      <w:tr>
        <w:trPr>
          <w:trHeight w:val="223"/>
        </w:trPr>
        <w:tc>
          <w:tcPr>
            <w:tcW w:w="4660" w:type="dxa"/>
            <w:vAlign w:val="bottom"/>
            <w:shd w:val="clear" w:color="auto" w:fill="D2EDFE"/>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380" w:type="dxa"/>
            <w:vAlign w:val="bottom"/>
            <w:shd w:val="clear" w:color="auto" w:fill="D2EDFE"/>
          </w:tcPr>
          <w:p>
            <w:pPr>
              <w:spacing w:after="0"/>
              <w:rPr>
                <w:sz w:val="19"/>
                <w:szCs w:val="19"/>
                <w:color w:val="auto"/>
              </w:rPr>
            </w:pPr>
          </w:p>
        </w:tc>
        <w:tc>
          <w:tcPr>
            <w:tcW w:w="1200" w:type="dxa"/>
            <w:vAlign w:val="bottom"/>
            <w:shd w:val="clear" w:color="auto" w:fill="D2EDFE"/>
          </w:tcPr>
          <w:p>
            <w:pPr>
              <w:jc w:val="right"/>
              <w:spacing w:after="0"/>
              <w:rPr>
                <w:sz w:val="20"/>
                <w:szCs w:val="20"/>
                <w:color w:val="auto"/>
              </w:rPr>
            </w:pPr>
            <w:r>
              <w:rPr>
                <w:rFonts w:ascii="Arial" w:cs="Arial" w:eastAsia="Arial" w:hAnsi="Arial"/>
                <w:sz w:val="18"/>
                <w:szCs w:val="18"/>
                <w:b w:val="1"/>
                <w:bCs w:val="1"/>
                <w:color w:val="auto"/>
              </w:rPr>
              <w:t>19.4 %</w:t>
            </w:r>
          </w:p>
        </w:tc>
        <w:tc>
          <w:tcPr>
            <w:tcW w:w="80" w:type="dxa"/>
            <w:vAlign w:val="bottom"/>
            <w:shd w:val="clear" w:color="auto" w:fill="D2EDFE"/>
          </w:tcPr>
          <w:p>
            <w:pPr>
              <w:spacing w:after="0"/>
              <w:rPr>
                <w:sz w:val="19"/>
                <w:szCs w:val="19"/>
                <w:color w:val="auto"/>
              </w:rPr>
            </w:pPr>
          </w:p>
        </w:tc>
        <w:tc>
          <w:tcPr>
            <w:tcW w:w="620" w:type="dxa"/>
            <w:vAlign w:val="bottom"/>
            <w:shd w:val="clear" w:color="auto" w:fill="D2EDFE"/>
          </w:tcPr>
          <w:p>
            <w:pPr>
              <w:spacing w:after="0"/>
              <w:rPr>
                <w:sz w:val="19"/>
                <w:szCs w:val="19"/>
                <w:color w:val="auto"/>
              </w:rPr>
            </w:pPr>
          </w:p>
        </w:tc>
        <w:tc>
          <w:tcPr>
            <w:tcW w:w="960" w:type="dxa"/>
            <w:vAlign w:val="bottom"/>
            <w:shd w:val="clear" w:color="auto" w:fill="D2EDFE"/>
          </w:tcPr>
          <w:p>
            <w:pPr>
              <w:jc w:val="right"/>
              <w:spacing w:after="0"/>
              <w:rPr>
                <w:sz w:val="20"/>
                <w:szCs w:val="20"/>
                <w:color w:val="auto"/>
              </w:rPr>
            </w:pPr>
            <w:r>
              <w:rPr>
                <w:rFonts w:ascii="Arial" w:cs="Arial" w:eastAsia="Arial" w:hAnsi="Arial"/>
                <w:sz w:val="18"/>
                <w:szCs w:val="18"/>
                <w:b w:val="1"/>
                <w:bCs w:val="1"/>
                <w:color w:val="auto"/>
              </w:rPr>
              <w:t>20.8 %</w:t>
            </w:r>
          </w:p>
        </w:tc>
        <w:tc>
          <w:tcPr>
            <w:tcW w:w="80" w:type="dxa"/>
            <w:vAlign w:val="bottom"/>
            <w:shd w:val="clear" w:color="auto" w:fill="D2EDFE"/>
          </w:tcPr>
          <w:p>
            <w:pPr>
              <w:spacing w:after="0"/>
              <w:rPr>
                <w:sz w:val="19"/>
                <w:szCs w:val="19"/>
                <w:color w:val="auto"/>
              </w:rPr>
            </w:pPr>
          </w:p>
        </w:tc>
        <w:tc>
          <w:tcPr>
            <w:tcW w:w="380" w:type="dxa"/>
            <w:vAlign w:val="bottom"/>
            <w:shd w:val="clear" w:color="auto" w:fill="D2EDFE"/>
          </w:tcPr>
          <w:p>
            <w:pPr>
              <w:spacing w:after="0"/>
              <w:rPr>
                <w:sz w:val="19"/>
                <w:szCs w:val="19"/>
                <w:color w:val="auto"/>
              </w:rPr>
            </w:pPr>
          </w:p>
        </w:tc>
        <w:tc>
          <w:tcPr>
            <w:tcW w:w="1200" w:type="dxa"/>
            <w:vAlign w:val="bottom"/>
            <w:shd w:val="clear" w:color="auto" w:fill="D2EDFE"/>
          </w:tcPr>
          <w:p>
            <w:pPr>
              <w:jc w:val="right"/>
              <w:spacing w:after="0"/>
              <w:rPr>
                <w:sz w:val="20"/>
                <w:szCs w:val="20"/>
                <w:color w:val="auto"/>
              </w:rPr>
            </w:pPr>
            <w:r>
              <w:rPr>
                <w:rFonts w:ascii="Arial" w:cs="Arial" w:eastAsia="Arial" w:hAnsi="Arial"/>
                <w:sz w:val="18"/>
                <w:szCs w:val="18"/>
                <w:b w:val="1"/>
                <w:bCs w:val="1"/>
                <w:color w:val="auto"/>
              </w:rPr>
              <w:t>22.3 %</w:t>
            </w:r>
          </w:p>
        </w:tc>
        <w:tc>
          <w:tcPr>
            <w:tcW w:w="100" w:type="dxa"/>
            <w:vAlign w:val="bottom"/>
            <w:shd w:val="clear" w:color="auto" w:fill="D2EDFE"/>
          </w:tcPr>
          <w:p>
            <w:pPr>
              <w:spacing w:after="0"/>
              <w:rPr>
                <w:sz w:val="19"/>
                <w:szCs w:val="19"/>
                <w:color w:val="auto"/>
              </w:rPr>
            </w:pPr>
          </w:p>
        </w:tc>
        <w:tc>
          <w:tcPr>
            <w:tcW w:w="600" w:type="dxa"/>
            <w:vAlign w:val="bottom"/>
            <w:shd w:val="clear" w:color="auto" w:fill="D2EDFE"/>
          </w:tcPr>
          <w:p>
            <w:pPr>
              <w:spacing w:after="0"/>
              <w:rPr>
                <w:sz w:val="19"/>
                <w:szCs w:val="19"/>
                <w:color w:val="auto"/>
              </w:rPr>
            </w:pPr>
          </w:p>
        </w:tc>
        <w:tc>
          <w:tcPr>
            <w:tcW w:w="980" w:type="dxa"/>
            <w:vAlign w:val="bottom"/>
            <w:shd w:val="clear" w:color="auto" w:fill="D2EDFE"/>
          </w:tcPr>
          <w:p>
            <w:pPr>
              <w:jc w:val="right"/>
              <w:spacing w:after="0"/>
              <w:rPr>
                <w:sz w:val="20"/>
                <w:szCs w:val="20"/>
                <w:color w:val="auto"/>
              </w:rPr>
            </w:pPr>
            <w:r>
              <w:rPr>
                <w:rFonts w:ascii="Arial" w:cs="Arial" w:eastAsia="Arial" w:hAnsi="Arial"/>
                <w:sz w:val="18"/>
                <w:szCs w:val="18"/>
                <w:b w:val="1"/>
                <w:bCs w:val="1"/>
                <w:color w:val="auto"/>
              </w:rPr>
              <w:t>24.2 %</w:t>
            </w:r>
          </w:p>
        </w:tc>
      </w:tr>
    </w:tbl>
    <w:p>
      <w:pPr>
        <w:spacing w:after="0" w:line="21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the three months ended September 30, 2023 and 2022, pre-opening de novo and relocation costs were $0.5 million and $1.1 million, respectively. For the nine months ended September 30, 2023 and 2022, pre-opening de novo and relocation costs were $3.3 million and $3.2 million, respectively.</w:t>
      </w:r>
    </w:p>
    <w:p>
      <w:pPr>
        <w:spacing w:after="0" w:line="5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reconciles Adjusted Net Income and Adjusted Net Income per Share to net loss, the most directly comparable GAAP financial measure: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20" w:type="dxa"/>
            <w:vAlign w:val="bottom"/>
            <w:gridSpan w:val="5"/>
          </w:tcPr>
          <w:p>
            <w:pPr>
              <w:ind w:left="54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4"/>
                <w:szCs w:val="14"/>
                <w:color w:val="auto"/>
              </w:rPr>
            </w:pPr>
          </w:p>
        </w:tc>
      </w:tr>
      <w:tr>
        <w:trPr>
          <w:trHeight w:val="192"/>
        </w:trPr>
        <w:tc>
          <w:tcPr>
            <w:tcW w:w="50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195"/>
        </w:trPr>
        <w:tc>
          <w:tcPr>
            <w:tcW w:w="5020" w:type="dxa"/>
            <w:vAlign w:val="bottom"/>
            <w:tcBorders>
              <w:bottom w:val="single" w:sz="8" w:color="D2EDFE"/>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D2EDFE"/>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D2EDFE"/>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D2EDFE"/>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9"/>
              </w:rPr>
              <w:t>2022</w:t>
            </w:r>
          </w:p>
        </w:tc>
      </w:tr>
      <w:tr>
        <w:trPr>
          <w:trHeight w:val="230"/>
        </w:trPr>
        <w:tc>
          <w:tcPr>
            <w:tcW w:w="5020" w:type="dxa"/>
            <w:vAlign w:val="bottom"/>
            <w:shd w:val="clear" w:color="auto" w:fill="D2EDFE"/>
          </w:tcPr>
          <w:p>
            <w:pPr>
              <w:ind w:left="20"/>
              <w:spacing w:after="0"/>
              <w:rPr>
                <w:sz w:val="20"/>
                <w:szCs w:val="20"/>
                <w:color w:val="auto"/>
              </w:rPr>
            </w:pPr>
            <w:r>
              <w:rPr>
                <w:rFonts w:ascii="Arial" w:cs="Arial" w:eastAsia="Arial" w:hAnsi="Arial"/>
                <w:sz w:val="18"/>
                <w:szCs w:val="18"/>
                <w:b w:val="1"/>
                <w:bCs w:val="1"/>
                <w:color w:val="auto"/>
              </w:rPr>
              <w:t>Net (loss)/income</w:t>
            </w:r>
          </w:p>
        </w:tc>
        <w:tc>
          <w:tcPr>
            <w:tcW w:w="340" w:type="dxa"/>
            <w:vAlign w:val="bottom"/>
            <w:shd w:val="clear" w:color="auto" w:fill="D2EDFE"/>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(1,667)</w:t>
            </w:r>
          </w:p>
        </w:tc>
        <w:tc>
          <w:tcPr>
            <w:tcW w:w="100" w:type="dxa"/>
            <w:vAlign w:val="bottom"/>
            <w:shd w:val="clear" w:color="auto" w:fill="D2EDFE"/>
          </w:tcPr>
          <w:p>
            <w:pPr>
              <w:spacing w:after="0"/>
              <w:rPr>
                <w:sz w:val="19"/>
                <w:szCs w:val="19"/>
                <w:color w:val="auto"/>
              </w:rPr>
            </w:pPr>
          </w:p>
        </w:tc>
        <w:tc>
          <w:tcPr>
            <w:tcW w:w="500" w:type="dxa"/>
            <w:vAlign w:val="bottom"/>
            <w:shd w:val="clear" w:color="auto" w:fill="D2EDFE"/>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D2EDFE"/>
          </w:tcPr>
          <w:p>
            <w:pPr>
              <w:jc w:val="right"/>
              <w:spacing w:after="0"/>
              <w:rPr>
                <w:sz w:val="20"/>
                <w:szCs w:val="20"/>
                <w:color w:val="auto"/>
              </w:rPr>
            </w:pPr>
            <w:r>
              <w:rPr>
                <w:rFonts w:ascii="Arial" w:cs="Arial" w:eastAsia="Arial" w:hAnsi="Arial"/>
                <w:sz w:val="18"/>
                <w:szCs w:val="18"/>
                <w:color w:val="auto"/>
              </w:rPr>
              <w:t>(7,377)</w:t>
            </w:r>
          </w:p>
        </w:tc>
        <w:tc>
          <w:tcPr>
            <w:tcW w:w="100" w:type="dxa"/>
            <w:vAlign w:val="bottom"/>
            <w:shd w:val="clear" w:color="auto" w:fill="D2EDFE"/>
          </w:tcPr>
          <w:p>
            <w:pPr>
              <w:spacing w:after="0"/>
              <w:rPr>
                <w:sz w:val="19"/>
                <w:szCs w:val="19"/>
                <w:color w:val="auto"/>
              </w:rPr>
            </w:pPr>
          </w:p>
        </w:tc>
        <w:tc>
          <w:tcPr>
            <w:tcW w:w="340" w:type="dxa"/>
            <w:vAlign w:val="bottom"/>
            <w:shd w:val="clear" w:color="auto" w:fill="D2EDFE"/>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D2EDFE"/>
          </w:tcPr>
          <w:p>
            <w:pPr>
              <w:spacing w:after="0"/>
              <w:rPr>
                <w:sz w:val="19"/>
                <w:szCs w:val="19"/>
                <w:color w:val="auto"/>
              </w:rPr>
            </w:pPr>
          </w:p>
        </w:tc>
        <w:tc>
          <w:tcPr>
            <w:tcW w:w="580" w:type="dxa"/>
            <w:vAlign w:val="bottom"/>
            <w:shd w:val="clear" w:color="auto" w:fill="D2EDFE"/>
          </w:tcPr>
          <w:p>
            <w:pPr>
              <w:jc w:val="right"/>
              <w:ind w:right="3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(7,487)</w:t>
            </w: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i w:val="1"/>
                <w:iCs w:val="1"/>
                <w:color w:val="auto"/>
              </w:rPr>
              <w:t>Plus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5020" w:type="dxa"/>
            <w:vAlign w:val="bottom"/>
            <w:shd w:val="clear" w:color="auto" w:fill="D2EDFE"/>
          </w:tcPr>
          <w:p>
            <w:pPr>
              <w:ind w:left="140"/>
              <w:spacing w:after="0"/>
              <w:rPr>
                <w:sz w:val="20"/>
                <w:szCs w:val="20"/>
                <w:color w:val="auto"/>
              </w:rPr>
            </w:pPr>
            <w:r>
              <w:rPr>
                <w:rFonts w:ascii="Arial" w:cs="Arial" w:eastAsia="Arial" w:hAnsi="Arial"/>
                <w:sz w:val="18"/>
                <w:szCs w:val="18"/>
                <w:color w:val="auto"/>
              </w:rPr>
              <w:t>Equity-based compensation</w:t>
            </w:r>
          </w:p>
        </w:tc>
        <w:tc>
          <w:tcPr>
            <w:tcW w:w="340" w:type="dxa"/>
            <w:vAlign w:val="bottom"/>
            <w:shd w:val="clear" w:color="auto" w:fill="D2EDFE"/>
          </w:tcPr>
          <w:p>
            <w:pPr>
              <w:spacing w:after="0"/>
              <w:rPr>
                <w:sz w:val="19"/>
                <w:szCs w:val="19"/>
                <w:color w:val="auto"/>
              </w:rPr>
            </w:pPr>
          </w:p>
        </w:tc>
        <w:tc>
          <w:tcPr>
            <w:tcW w:w="11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4,492</w:t>
            </w:r>
          </w:p>
        </w:tc>
        <w:tc>
          <w:tcPr>
            <w:tcW w:w="100" w:type="dxa"/>
            <w:vAlign w:val="bottom"/>
            <w:shd w:val="clear" w:color="auto" w:fill="D2EDFE"/>
          </w:tcPr>
          <w:p>
            <w:pPr>
              <w:spacing w:after="0"/>
              <w:rPr>
                <w:sz w:val="19"/>
                <w:szCs w:val="19"/>
                <w:color w:val="auto"/>
              </w:rPr>
            </w:pPr>
          </w:p>
        </w:tc>
        <w:tc>
          <w:tcPr>
            <w:tcW w:w="500" w:type="dxa"/>
            <w:vAlign w:val="bottom"/>
            <w:shd w:val="clear" w:color="auto" w:fill="D2EDFE"/>
          </w:tcPr>
          <w:p>
            <w:pPr>
              <w:spacing w:after="0"/>
              <w:rPr>
                <w:sz w:val="19"/>
                <w:szCs w:val="19"/>
                <w:color w:val="auto"/>
              </w:rPr>
            </w:pPr>
          </w:p>
        </w:tc>
        <w:tc>
          <w:tcPr>
            <w:tcW w:w="980" w:type="dxa"/>
            <w:vAlign w:val="bottom"/>
            <w:shd w:val="clear" w:color="auto" w:fill="D2EDFE"/>
          </w:tcPr>
          <w:p>
            <w:pPr>
              <w:jc w:val="right"/>
              <w:spacing w:after="0"/>
              <w:rPr>
                <w:sz w:val="20"/>
                <w:szCs w:val="20"/>
                <w:color w:val="auto"/>
              </w:rPr>
            </w:pPr>
            <w:r>
              <w:rPr>
                <w:rFonts w:ascii="Arial" w:cs="Arial" w:eastAsia="Arial" w:hAnsi="Arial"/>
                <w:sz w:val="18"/>
                <w:szCs w:val="18"/>
                <w:color w:val="auto"/>
              </w:rPr>
              <w:t>7,370</w:t>
            </w:r>
          </w:p>
        </w:tc>
        <w:tc>
          <w:tcPr>
            <w:tcW w:w="100" w:type="dxa"/>
            <w:vAlign w:val="bottom"/>
            <w:shd w:val="clear" w:color="auto" w:fill="D2EDFE"/>
          </w:tcPr>
          <w:p>
            <w:pPr>
              <w:spacing w:after="0"/>
              <w:rPr>
                <w:sz w:val="19"/>
                <w:szCs w:val="19"/>
                <w:color w:val="auto"/>
              </w:rPr>
            </w:pPr>
          </w:p>
        </w:tc>
        <w:tc>
          <w:tcPr>
            <w:tcW w:w="340" w:type="dxa"/>
            <w:vAlign w:val="bottom"/>
            <w:shd w:val="clear" w:color="auto" w:fill="D2EDFE"/>
          </w:tcPr>
          <w:p>
            <w:pPr>
              <w:spacing w:after="0"/>
              <w:rPr>
                <w:sz w:val="19"/>
                <w:szCs w:val="19"/>
                <w:color w:val="auto"/>
              </w:rPr>
            </w:pPr>
          </w:p>
        </w:tc>
        <w:tc>
          <w:tcPr>
            <w:tcW w:w="11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13,483</w:t>
            </w:r>
          </w:p>
        </w:tc>
        <w:tc>
          <w:tcPr>
            <w:tcW w:w="100" w:type="dxa"/>
            <w:vAlign w:val="bottom"/>
            <w:shd w:val="clear" w:color="auto" w:fill="D2EDFE"/>
          </w:tcPr>
          <w:p>
            <w:pPr>
              <w:spacing w:after="0"/>
              <w:rPr>
                <w:sz w:val="19"/>
                <w:szCs w:val="19"/>
                <w:color w:val="auto"/>
              </w:rPr>
            </w:pPr>
          </w:p>
        </w:tc>
        <w:tc>
          <w:tcPr>
            <w:tcW w:w="580" w:type="dxa"/>
            <w:vAlign w:val="bottom"/>
            <w:shd w:val="clear" w:color="auto" w:fill="D2EDFE"/>
          </w:tcPr>
          <w:p>
            <w:pPr>
              <w:spacing w:after="0"/>
              <w:rPr>
                <w:sz w:val="19"/>
                <w:szCs w:val="19"/>
                <w:color w:val="auto"/>
              </w:rPr>
            </w:pPr>
          </w:p>
        </w:tc>
        <w:tc>
          <w:tcPr>
            <w:tcW w:w="9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21,961</w:t>
            </w:r>
          </w:p>
        </w:tc>
      </w:tr>
      <w:tr>
        <w:trPr>
          <w:trHeight w:val="230"/>
        </w:trPr>
        <w:tc>
          <w:tcPr>
            <w:tcW w:w="5020" w:type="dxa"/>
            <w:vAlign w:val="bottom"/>
          </w:tcPr>
          <w:p>
            <w:pPr>
              <w:ind w:left="140"/>
              <w:spacing w:after="0"/>
              <w:rPr>
                <w:sz w:val="20"/>
                <w:szCs w:val="20"/>
                <w:color w:val="auto"/>
              </w:rPr>
            </w:pPr>
            <w:r>
              <w:rPr>
                <w:rFonts w:ascii="Arial" w:cs="Arial" w:eastAsia="Arial" w:hAnsi="Arial"/>
                <w:sz w:val="18"/>
                <w:szCs w:val="18"/>
                <w:color w:val="auto"/>
              </w:rPr>
              <w:t>IPO related costs</w:t>
            </w: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731</w:t>
            </w:r>
          </w:p>
        </w:tc>
      </w:tr>
      <w:tr>
        <w:trPr>
          <w:trHeight w:val="230"/>
        </w:trPr>
        <w:tc>
          <w:tcPr>
            <w:tcW w:w="5020" w:type="dxa"/>
            <w:vAlign w:val="bottom"/>
            <w:shd w:val="clear" w:color="auto" w:fill="D2EDFE"/>
          </w:tcPr>
          <w:p>
            <w:pPr>
              <w:ind w:left="140"/>
              <w:spacing w:after="0"/>
              <w:rPr>
                <w:sz w:val="20"/>
                <w:szCs w:val="20"/>
                <w:color w:val="auto"/>
              </w:rPr>
            </w:pPr>
            <w:r>
              <w:rPr>
                <w:rFonts w:ascii="Arial" w:cs="Arial" w:eastAsia="Arial" w:hAnsi="Arial"/>
                <w:sz w:val="18"/>
                <w:szCs w:val="18"/>
                <w:color w:val="auto"/>
              </w:rPr>
              <w:t>Restructuring and related severance costs</w:t>
            </w:r>
          </w:p>
        </w:tc>
        <w:tc>
          <w:tcPr>
            <w:tcW w:w="340" w:type="dxa"/>
            <w:vAlign w:val="bottom"/>
            <w:shd w:val="clear" w:color="auto" w:fill="D2EDFE"/>
          </w:tcPr>
          <w:p>
            <w:pPr>
              <w:spacing w:after="0"/>
              <w:rPr>
                <w:sz w:val="19"/>
                <w:szCs w:val="19"/>
                <w:color w:val="auto"/>
              </w:rPr>
            </w:pPr>
          </w:p>
        </w:tc>
        <w:tc>
          <w:tcPr>
            <w:tcW w:w="11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995</w:t>
            </w:r>
          </w:p>
        </w:tc>
        <w:tc>
          <w:tcPr>
            <w:tcW w:w="100" w:type="dxa"/>
            <w:vAlign w:val="bottom"/>
            <w:shd w:val="clear" w:color="auto" w:fill="D2EDFE"/>
          </w:tcPr>
          <w:p>
            <w:pPr>
              <w:spacing w:after="0"/>
              <w:rPr>
                <w:sz w:val="19"/>
                <w:szCs w:val="19"/>
                <w:color w:val="auto"/>
              </w:rPr>
            </w:pPr>
          </w:p>
        </w:tc>
        <w:tc>
          <w:tcPr>
            <w:tcW w:w="500" w:type="dxa"/>
            <w:vAlign w:val="bottom"/>
            <w:shd w:val="clear" w:color="auto" w:fill="D2EDFE"/>
          </w:tcPr>
          <w:p>
            <w:pPr>
              <w:spacing w:after="0"/>
              <w:rPr>
                <w:sz w:val="19"/>
                <w:szCs w:val="19"/>
                <w:color w:val="auto"/>
              </w:rPr>
            </w:pPr>
          </w:p>
        </w:tc>
        <w:tc>
          <w:tcPr>
            <w:tcW w:w="98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D2EDFE"/>
          </w:tcPr>
          <w:p>
            <w:pPr>
              <w:spacing w:after="0"/>
              <w:rPr>
                <w:sz w:val="19"/>
                <w:szCs w:val="19"/>
                <w:color w:val="auto"/>
              </w:rPr>
            </w:pPr>
          </w:p>
        </w:tc>
        <w:tc>
          <w:tcPr>
            <w:tcW w:w="340" w:type="dxa"/>
            <w:vAlign w:val="bottom"/>
            <w:shd w:val="clear" w:color="auto" w:fill="D2EDFE"/>
          </w:tcPr>
          <w:p>
            <w:pPr>
              <w:spacing w:after="0"/>
              <w:rPr>
                <w:sz w:val="19"/>
                <w:szCs w:val="19"/>
                <w:color w:val="auto"/>
              </w:rPr>
            </w:pPr>
          </w:p>
        </w:tc>
        <w:tc>
          <w:tcPr>
            <w:tcW w:w="11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4,300</w:t>
            </w:r>
          </w:p>
        </w:tc>
        <w:tc>
          <w:tcPr>
            <w:tcW w:w="100" w:type="dxa"/>
            <w:vAlign w:val="bottom"/>
            <w:shd w:val="clear" w:color="auto" w:fill="D2EDFE"/>
          </w:tcPr>
          <w:p>
            <w:pPr>
              <w:spacing w:after="0"/>
              <w:rPr>
                <w:sz w:val="19"/>
                <w:szCs w:val="19"/>
                <w:color w:val="auto"/>
              </w:rPr>
            </w:pPr>
          </w:p>
        </w:tc>
        <w:tc>
          <w:tcPr>
            <w:tcW w:w="580" w:type="dxa"/>
            <w:vAlign w:val="bottom"/>
            <w:shd w:val="clear" w:color="auto" w:fill="D2EDFE"/>
          </w:tcPr>
          <w:p>
            <w:pPr>
              <w:spacing w:after="0"/>
              <w:rPr>
                <w:sz w:val="19"/>
                <w:szCs w:val="19"/>
                <w:color w:val="auto"/>
              </w:rPr>
            </w:pPr>
          </w:p>
        </w:tc>
        <w:tc>
          <w:tcPr>
            <w:tcW w:w="9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838</w:t>
            </w:r>
          </w:p>
        </w:tc>
      </w:tr>
      <w:tr>
        <w:trPr>
          <w:trHeight w:val="229"/>
        </w:trPr>
        <w:tc>
          <w:tcPr>
            <w:tcW w:w="5020" w:type="dxa"/>
            <w:vAlign w:val="bottom"/>
          </w:tcPr>
          <w:p>
            <w:pPr>
              <w:ind w:left="140"/>
              <w:spacing w:after="0"/>
              <w:rPr>
                <w:sz w:val="20"/>
                <w:szCs w:val="20"/>
                <w:color w:val="auto"/>
              </w:rPr>
            </w:pPr>
            <w:r>
              <w:rPr>
                <w:rFonts w:ascii="Arial" w:cs="Arial" w:eastAsia="Arial" w:hAnsi="Arial"/>
                <w:sz w:val="18"/>
                <w:szCs w:val="18"/>
                <w:color w:val="auto"/>
              </w:rPr>
              <w:t>Loss/(gain) on disposal of long-lived assets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215</w:t>
            </w:r>
          </w:p>
        </w:tc>
      </w:tr>
      <w:tr>
        <w:trPr>
          <w:trHeight w:val="230"/>
        </w:trPr>
        <w:tc>
          <w:tcPr>
            <w:tcW w:w="5020" w:type="dxa"/>
            <w:vAlign w:val="bottom"/>
            <w:shd w:val="clear" w:color="auto" w:fill="D2EDFE"/>
          </w:tcPr>
          <w:p>
            <w:pPr>
              <w:ind w:left="140"/>
              <w:spacing w:after="0"/>
              <w:rPr>
                <w:sz w:val="20"/>
                <w:szCs w:val="20"/>
                <w:color w:val="auto"/>
              </w:rPr>
            </w:pPr>
            <w:r>
              <w:rPr>
                <w:rFonts w:ascii="Arial" w:cs="Arial" w:eastAsia="Arial" w:hAnsi="Arial"/>
                <w:sz w:val="18"/>
                <w:szCs w:val="18"/>
                <w:color w:val="auto"/>
              </w:rPr>
              <w:t>Tax effect of adjustments</w:t>
            </w:r>
          </w:p>
        </w:tc>
        <w:tc>
          <w:tcPr>
            <w:tcW w:w="340" w:type="dxa"/>
            <w:vAlign w:val="bottom"/>
            <w:tcBorders>
              <w:bottom w:val="single" w:sz="8" w:color="auto"/>
            </w:tcBorders>
            <w:shd w:val="clear" w:color="auto" w:fill="D2EDFE"/>
          </w:tcPr>
          <w:p>
            <w:pPr>
              <w:spacing w:after="0"/>
              <w:rPr>
                <w:sz w:val="19"/>
                <w:szCs w:val="19"/>
                <w:color w:val="auto"/>
              </w:rPr>
            </w:pPr>
          </w:p>
        </w:tc>
        <w:tc>
          <w:tcPr>
            <w:tcW w:w="114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(751)</w:t>
            </w:r>
          </w:p>
        </w:tc>
        <w:tc>
          <w:tcPr>
            <w:tcW w:w="100" w:type="dxa"/>
            <w:vAlign w:val="bottom"/>
            <w:shd w:val="clear" w:color="auto" w:fill="D2EDFE"/>
          </w:tcPr>
          <w:p>
            <w:pPr>
              <w:spacing w:after="0"/>
              <w:rPr>
                <w:sz w:val="19"/>
                <w:szCs w:val="19"/>
                <w:color w:val="auto"/>
              </w:rPr>
            </w:pPr>
          </w:p>
        </w:tc>
        <w:tc>
          <w:tcPr>
            <w:tcW w:w="500" w:type="dxa"/>
            <w:vAlign w:val="bottom"/>
            <w:tcBorders>
              <w:bottom w:val="single" w:sz="8" w:color="auto"/>
            </w:tcBorders>
            <w:shd w:val="clear" w:color="auto" w:fill="D2EDFE"/>
          </w:tcPr>
          <w:p>
            <w:pPr>
              <w:spacing w:after="0"/>
              <w:rPr>
                <w:sz w:val="19"/>
                <w:szCs w:val="19"/>
                <w:color w:val="auto"/>
              </w:rPr>
            </w:pPr>
          </w:p>
        </w:tc>
        <w:tc>
          <w:tcPr>
            <w:tcW w:w="98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(770)</w:t>
            </w:r>
          </w:p>
        </w:tc>
        <w:tc>
          <w:tcPr>
            <w:tcW w:w="100" w:type="dxa"/>
            <w:vAlign w:val="bottom"/>
            <w:shd w:val="clear" w:color="auto" w:fill="D2EDFE"/>
          </w:tcPr>
          <w:p>
            <w:pPr>
              <w:spacing w:after="0"/>
              <w:rPr>
                <w:sz w:val="19"/>
                <w:szCs w:val="19"/>
                <w:color w:val="auto"/>
              </w:rPr>
            </w:pPr>
          </w:p>
        </w:tc>
        <w:tc>
          <w:tcPr>
            <w:tcW w:w="340" w:type="dxa"/>
            <w:vAlign w:val="bottom"/>
            <w:tcBorders>
              <w:bottom w:val="single" w:sz="8" w:color="auto"/>
            </w:tcBorders>
            <w:shd w:val="clear" w:color="auto" w:fill="D2EDFE"/>
          </w:tcPr>
          <w:p>
            <w:pPr>
              <w:spacing w:after="0"/>
              <w:rPr>
                <w:sz w:val="19"/>
                <w:szCs w:val="19"/>
                <w:color w:val="auto"/>
              </w:rPr>
            </w:pPr>
          </w:p>
        </w:tc>
        <w:tc>
          <w:tcPr>
            <w:tcW w:w="114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(2,079)</w:t>
            </w:r>
          </w:p>
        </w:tc>
        <w:tc>
          <w:tcPr>
            <w:tcW w:w="100" w:type="dxa"/>
            <w:vAlign w:val="bottom"/>
            <w:shd w:val="clear" w:color="auto" w:fill="D2EDFE"/>
          </w:tcPr>
          <w:p>
            <w:pPr>
              <w:spacing w:after="0"/>
              <w:rPr>
                <w:sz w:val="19"/>
                <w:szCs w:val="19"/>
                <w:color w:val="auto"/>
              </w:rPr>
            </w:pPr>
          </w:p>
        </w:tc>
        <w:tc>
          <w:tcPr>
            <w:tcW w:w="580" w:type="dxa"/>
            <w:vAlign w:val="bottom"/>
            <w:tcBorders>
              <w:bottom w:val="single" w:sz="8" w:color="auto"/>
            </w:tcBorders>
            <w:shd w:val="clear" w:color="auto" w:fill="D2EDFE"/>
          </w:tcPr>
          <w:p>
            <w:pPr>
              <w:spacing w:after="0"/>
              <w:rPr>
                <w:sz w:val="19"/>
                <w:szCs w:val="19"/>
                <w:color w:val="auto"/>
              </w:rPr>
            </w:pPr>
          </w:p>
        </w:tc>
        <w:tc>
          <w:tcPr>
            <w:tcW w:w="90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(1,770)</w:t>
            </w:r>
          </w:p>
        </w:tc>
      </w:tr>
      <w:tr>
        <w:trPr>
          <w:trHeight w:val="223"/>
        </w:trPr>
        <w:tc>
          <w:tcPr>
            <w:tcW w:w="5020" w:type="dxa"/>
            <w:vAlign w:val="bottom"/>
            <w:tcBorders>
              <w:bottom w:val="single" w:sz="8" w:color="D2EDFE"/>
            </w:tcBorders>
          </w:tcPr>
          <w:p>
            <w:pPr>
              <w:ind w:left="20"/>
              <w:spacing w:after="0"/>
              <w:rPr>
                <w:sz w:val="20"/>
                <w:szCs w:val="20"/>
                <w:color w:val="auto"/>
              </w:rPr>
            </w:pPr>
            <w:r>
              <w:rPr>
                <w:rFonts w:ascii="Arial" w:cs="Arial" w:eastAsia="Arial" w:hAnsi="Arial"/>
                <w:sz w:val="18"/>
                <w:szCs w:val="18"/>
                <w:b w:val="1"/>
                <w:bCs w:val="1"/>
                <w:color w:val="auto"/>
              </w:rPr>
              <w:t>Adjusted net income</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3,073</w:t>
            </w:r>
          </w:p>
        </w:tc>
        <w:tc>
          <w:tcPr>
            <w:tcW w:w="100" w:type="dxa"/>
            <w:vAlign w:val="bottom"/>
            <w:tcBorders>
              <w:bottom w:val="single" w:sz="8" w:color="D2EDFE"/>
            </w:tcBorders>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(681)</w:t>
            </w:r>
          </w:p>
        </w:tc>
        <w:tc>
          <w:tcPr>
            <w:tcW w:w="100" w:type="dxa"/>
            <w:vAlign w:val="bottom"/>
            <w:tcBorders>
              <w:bottom w:val="single" w:sz="8" w:color="D2EDFE"/>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15,601</w:t>
            </w:r>
          </w:p>
        </w:tc>
        <w:tc>
          <w:tcPr>
            <w:tcW w:w="100" w:type="dxa"/>
            <w:vAlign w:val="bottom"/>
            <w:tcBorders>
              <w:bottom w:val="single" w:sz="8" w:color="D2EDFE"/>
            </w:tcBorders>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14,488</w:t>
            </w:r>
          </w:p>
        </w:tc>
      </w:tr>
      <w:tr>
        <w:trPr>
          <w:trHeight w:val="250"/>
        </w:trPr>
        <w:tc>
          <w:tcPr>
            <w:tcW w:w="5020" w:type="dxa"/>
            <w:vAlign w:val="bottom"/>
            <w:shd w:val="clear" w:color="auto" w:fill="D2EDFE"/>
          </w:tcPr>
          <w:p>
            <w:pPr>
              <w:spacing w:after="0"/>
              <w:rPr>
                <w:sz w:val="21"/>
                <w:szCs w:val="21"/>
                <w:color w:val="auto"/>
              </w:rPr>
            </w:pPr>
          </w:p>
        </w:tc>
        <w:tc>
          <w:tcPr>
            <w:tcW w:w="340" w:type="dxa"/>
            <w:vAlign w:val="bottom"/>
            <w:shd w:val="clear" w:color="auto" w:fill="D2EDFE"/>
          </w:tcPr>
          <w:p>
            <w:pPr>
              <w:spacing w:after="0"/>
              <w:rPr>
                <w:sz w:val="21"/>
                <w:szCs w:val="21"/>
                <w:color w:val="auto"/>
              </w:rPr>
            </w:pPr>
          </w:p>
        </w:tc>
        <w:tc>
          <w:tcPr>
            <w:tcW w:w="1140" w:type="dxa"/>
            <w:vAlign w:val="bottom"/>
            <w:shd w:val="clear" w:color="auto" w:fill="D2EDFE"/>
          </w:tcPr>
          <w:p>
            <w:pPr>
              <w:spacing w:after="0"/>
              <w:rPr>
                <w:sz w:val="21"/>
                <w:szCs w:val="21"/>
                <w:color w:val="auto"/>
              </w:rPr>
            </w:pPr>
          </w:p>
        </w:tc>
        <w:tc>
          <w:tcPr>
            <w:tcW w:w="100" w:type="dxa"/>
            <w:vAlign w:val="bottom"/>
            <w:shd w:val="clear" w:color="auto" w:fill="D2EDFE"/>
          </w:tcPr>
          <w:p>
            <w:pPr>
              <w:spacing w:after="0"/>
              <w:rPr>
                <w:sz w:val="21"/>
                <w:szCs w:val="21"/>
                <w:color w:val="auto"/>
              </w:rPr>
            </w:pPr>
          </w:p>
        </w:tc>
        <w:tc>
          <w:tcPr>
            <w:tcW w:w="500" w:type="dxa"/>
            <w:vAlign w:val="bottom"/>
            <w:shd w:val="clear" w:color="auto" w:fill="D2EDFE"/>
          </w:tcPr>
          <w:p>
            <w:pPr>
              <w:spacing w:after="0"/>
              <w:rPr>
                <w:sz w:val="21"/>
                <w:szCs w:val="21"/>
                <w:color w:val="auto"/>
              </w:rPr>
            </w:pPr>
          </w:p>
        </w:tc>
        <w:tc>
          <w:tcPr>
            <w:tcW w:w="980" w:type="dxa"/>
            <w:vAlign w:val="bottom"/>
            <w:shd w:val="clear" w:color="auto" w:fill="D2EDFE"/>
          </w:tcPr>
          <w:p>
            <w:pPr>
              <w:spacing w:after="0"/>
              <w:rPr>
                <w:sz w:val="21"/>
                <w:szCs w:val="21"/>
                <w:color w:val="auto"/>
              </w:rPr>
            </w:pPr>
          </w:p>
        </w:tc>
        <w:tc>
          <w:tcPr>
            <w:tcW w:w="100" w:type="dxa"/>
            <w:vAlign w:val="bottom"/>
            <w:shd w:val="clear" w:color="auto" w:fill="D2EDFE"/>
          </w:tcPr>
          <w:p>
            <w:pPr>
              <w:spacing w:after="0"/>
              <w:rPr>
                <w:sz w:val="21"/>
                <w:szCs w:val="21"/>
                <w:color w:val="auto"/>
              </w:rPr>
            </w:pPr>
          </w:p>
        </w:tc>
        <w:tc>
          <w:tcPr>
            <w:tcW w:w="340" w:type="dxa"/>
            <w:vAlign w:val="bottom"/>
            <w:shd w:val="clear" w:color="auto" w:fill="D2EDFE"/>
          </w:tcPr>
          <w:p>
            <w:pPr>
              <w:spacing w:after="0"/>
              <w:rPr>
                <w:sz w:val="21"/>
                <w:szCs w:val="21"/>
                <w:color w:val="auto"/>
              </w:rPr>
            </w:pPr>
          </w:p>
        </w:tc>
        <w:tc>
          <w:tcPr>
            <w:tcW w:w="1140" w:type="dxa"/>
            <w:vAlign w:val="bottom"/>
            <w:shd w:val="clear" w:color="auto" w:fill="D2EDFE"/>
          </w:tcPr>
          <w:p>
            <w:pPr>
              <w:spacing w:after="0"/>
              <w:rPr>
                <w:sz w:val="21"/>
                <w:szCs w:val="21"/>
                <w:color w:val="auto"/>
              </w:rPr>
            </w:pPr>
          </w:p>
        </w:tc>
        <w:tc>
          <w:tcPr>
            <w:tcW w:w="100" w:type="dxa"/>
            <w:vAlign w:val="bottom"/>
            <w:shd w:val="clear" w:color="auto" w:fill="D2EDFE"/>
          </w:tcPr>
          <w:p>
            <w:pPr>
              <w:spacing w:after="0"/>
              <w:rPr>
                <w:sz w:val="21"/>
                <w:szCs w:val="21"/>
                <w:color w:val="auto"/>
              </w:rPr>
            </w:pPr>
          </w:p>
        </w:tc>
        <w:tc>
          <w:tcPr>
            <w:tcW w:w="580" w:type="dxa"/>
            <w:vAlign w:val="bottom"/>
            <w:shd w:val="clear" w:color="auto" w:fill="D2EDFE"/>
          </w:tcPr>
          <w:p>
            <w:pPr>
              <w:spacing w:after="0"/>
              <w:rPr>
                <w:sz w:val="21"/>
                <w:szCs w:val="21"/>
                <w:color w:val="auto"/>
              </w:rPr>
            </w:pPr>
          </w:p>
        </w:tc>
        <w:tc>
          <w:tcPr>
            <w:tcW w:w="900" w:type="dxa"/>
            <w:vAlign w:val="bottom"/>
            <w:shd w:val="clear" w:color="auto" w:fill="D2EDFE"/>
          </w:tcPr>
          <w:p>
            <w:pPr>
              <w:spacing w:after="0"/>
              <w:rPr>
                <w:sz w:val="21"/>
                <w:szCs w:val="21"/>
                <w:color w:val="auto"/>
              </w:rPr>
            </w:pPr>
          </w:p>
        </w:tc>
      </w:tr>
      <w:tr>
        <w:trPr>
          <w:trHeight w:val="270"/>
        </w:trPr>
        <w:tc>
          <w:tcPr>
            <w:tcW w:w="5020" w:type="dxa"/>
            <w:vAlign w:val="bottom"/>
          </w:tcPr>
          <w:p>
            <w:pPr>
              <w:ind w:left="20"/>
              <w:spacing w:after="0"/>
              <w:rPr>
                <w:sz w:val="20"/>
                <w:szCs w:val="20"/>
                <w:color w:val="auto"/>
              </w:rPr>
            </w:pPr>
            <w:r>
              <w:rPr>
                <w:rFonts w:ascii="Arial" w:cs="Arial" w:eastAsia="Arial" w:hAnsi="Arial"/>
                <w:sz w:val="18"/>
                <w:szCs w:val="18"/>
                <w:color w:val="auto"/>
              </w:rPr>
              <w:t xml:space="preserve">Adjusted net income/(loss) per share of common stock </w:t>
            </w:r>
            <w:r>
              <w:rPr>
                <w:rFonts w:ascii="Arial" w:cs="Arial" w:eastAsia="Arial" w:hAnsi="Arial"/>
                <w:sz w:val="23"/>
                <w:szCs w:val="23"/>
                <w:color w:val="auto"/>
                <w:vertAlign w:val="superscript"/>
              </w:rPr>
              <w:t>(1)</w:t>
            </w: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70"/>
        </w:trPr>
        <w:tc>
          <w:tcPr>
            <w:tcW w:w="5020" w:type="dxa"/>
            <w:vAlign w:val="bottom"/>
            <w:shd w:val="clear" w:color="auto" w:fill="D2EDFE"/>
          </w:tcPr>
          <w:p>
            <w:pPr>
              <w:ind w:left="24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D2EDFE"/>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D2EDFE"/>
          </w:tcPr>
          <w:p>
            <w:pPr>
              <w:spacing w:after="0"/>
              <w:rPr>
                <w:sz w:val="23"/>
                <w:szCs w:val="23"/>
                <w:color w:val="auto"/>
              </w:rPr>
            </w:pPr>
          </w:p>
        </w:tc>
        <w:tc>
          <w:tcPr>
            <w:tcW w:w="500" w:type="dxa"/>
            <w:vAlign w:val="bottom"/>
            <w:shd w:val="clear" w:color="auto" w:fill="D2EDFE"/>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D2EDFE"/>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D2EDFE"/>
          </w:tcPr>
          <w:p>
            <w:pPr>
              <w:spacing w:after="0"/>
              <w:rPr>
                <w:sz w:val="23"/>
                <w:szCs w:val="23"/>
                <w:color w:val="auto"/>
              </w:rPr>
            </w:pPr>
          </w:p>
        </w:tc>
        <w:tc>
          <w:tcPr>
            <w:tcW w:w="340" w:type="dxa"/>
            <w:vAlign w:val="bottom"/>
            <w:shd w:val="clear" w:color="auto" w:fill="D2EDFE"/>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D2EDFE"/>
          </w:tcPr>
          <w:p>
            <w:pPr>
              <w:spacing w:after="0"/>
              <w:rPr>
                <w:sz w:val="23"/>
                <w:szCs w:val="23"/>
                <w:color w:val="auto"/>
              </w:rPr>
            </w:pPr>
          </w:p>
        </w:tc>
        <w:tc>
          <w:tcPr>
            <w:tcW w:w="580" w:type="dxa"/>
            <w:vAlign w:val="bottom"/>
            <w:shd w:val="clear" w:color="auto" w:fill="D2EDFE"/>
          </w:tcPr>
          <w:p>
            <w:pPr>
              <w:jc w:val="right"/>
              <w:ind w:right="3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0.26</w:t>
            </w:r>
          </w:p>
        </w:tc>
      </w:tr>
      <w:tr>
        <w:trPr>
          <w:trHeight w:val="263"/>
        </w:trPr>
        <w:tc>
          <w:tcPr>
            <w:tcW w:w="5020" w:type="dxa"/>
            <w:vAlign w:val="bottom"/>
          </w:tcPr>
          <w:p>
            <w:pPr>
              <w:ind w:left="240"/>
              <w:spacing w:after="0"/>
              <w:rPr>
                <w:sz w:val="20"/>
                <w:szCs w:val="20"/>
                <w:color w:val="auto"/>
              </w:rPr>
            </w:pPr>
            <w:r>
              <w:rPr>
                <w:rFonts w:ascii="Arial" w:cs="Arial" w:eastAsia="Arial" w:hAnsi="Arial"/>
                <w:sz w:val="18"/>
                <w:szCs w:val="18"/>
                <w:color w:val="auto"/>
              </w:rPr>
              <w:t>Diluted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2"/>
                <w:szCs w:val="22"/>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22"/>
                <w:szCs w:val="22"/>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0.26</w:t>
            </w:r>
          </w:p>
        </w:tc>
      </w:tr>
      <w:tr>
        <w:trPr>
          <w:trHeight w:val="257"/>
        </w:trPr>
        <w:tc>
          <w:tcPr>
            <w:tcW w:w="5020" w:type="dxa"/>
            <w:vAlign w:val="bottom"/>
            <w:tcBorders>
              <w:bottom w:val="single" w:sz="8" w:color="D2EDFE"/>
            </w:tcBorders>
            <w:shd w:val="clear" w:color="auto" w:fill="D2EDFE"/>
          </w:tcPr>
          <w:p>
            <w:pPr>
              <w:ind w:left="20"/>
              <w:spacing w:after="0"/>
              <w:rPr>
                <w:sz w:val="20"/>
                <w:szCs w:val="20"/>
                <w:color w:val="auto"/>
              </w:rPr>
            </w:pPr>
            <w:r>
              <w:rPr>
                <w:rFonts w:ascii="Arial" w:cs="Arial" w:eastAsia="Arial" w:hAnsi="Arial"/>
                <w:sz w:val="18"/>
                <w:szCs w:val="18"/>
                <w:color w:val="auto"/>
              </w:rPr>
              <w:t>Weighted average shares outstanding</w:t>
            </w:r>
          </w:p>
        </w:tc>
        <w:tc>
          <w:tcPr>
            <w:tcW w:w="340" w:type="dxa"/>
            <w:vAlign w:val="bottom"/>
            <w:tcBorders>
              <w:bottom w:val="single" w:sz="8" w:color="D2EDFE"/>
            </w:tcBorders>
            <w:shd w:val="clear" w:color="auto" w:fill="D2EDFE"/>
          </w:tcPr>
          <w:p>
            <w:pPr>
              <w:spacing w:after="0"/>
              <w:rPr>
                <w:sz w:val="22"/>
                <w:szCs w:val="22"/>
                <w:color w:val="auto"/>
              </w:rPr>
            </w:pPr>
          </w:p>
        </w:tc>
        <w:tc>
          <w:tcPr>
            <w:tcW w:w="1140" w:type="dxa"/>
            <w:vAlign w:val="bottom"/>
            <w:tcBorders>
              <w:bottom w:val="single" w:sz="8" w:color="D2EDFE"/>
            </w:tcBorders>
            <w:shd w:val="clear" w:color="auto" w:fill="D2EDFE"/>
          </w:tcPr>
          <w:p>
            <w:pPr>
              <w:spacing w:after="0"/>
              <w:rPr>
                <w:sz w:val="22"/>
                <w:szCs w:val="22"/>
                <w:color w:val="auto"/>
              </w:rPr>
            </w:pPr>
          </w:p>
        </w:tc>
        <w:tc>
          <w:tcPr>
            <w:tcW w:w="100" w:type="dxa"/>
            <w:vAlign w:val="bottom"/>
            <w:tcBorders>
              <w:bottom w:val="single" w:sz="8" w:color="D2EDFE"/>
            </w:tcBorders>
            <w:shd w:val="clear" w:color="auto" w:fill="D2EDFE"/>
          </w:tcPr>
          <w:p>
            <w:pPr>
              <w:spacing w:after="0"/>
              <w:rPr>
                <w:sz w:val="22"/>
                <w:szCs w:val="22"/>
                <w:color w:val="auto"/>
              </w:rPr>
            </w:pPr>
          </w:p>
        </w:tc>
        <w:tc>
          <w:tcPr>
            <w:tcW w:w="500" w:type="dxa"/>
            <w:vAlign w:val="bottom"/>
            <w:tcBorders>
              <w:bottom w:val="single" w:sz="8" w:color="D2EDFE"/>
            </w:tcBorders>
            <w:shd w:val="clear" w:color="auto" w:fill="D2EDFE"/>
          </w:tcPr>
          <w:p>
            <w:pPr>
              <w:spacing w:after="0"/>
              <w:rPr>
                <w:sz w:val="22"/>
                <w:szCs w:val="22"/>
                <w:color w:val="auto"/>
              </w:rPr>
            </w:pPr>
          </w:p>
        </w:tc>
        <w:tc>
          <w:tcPr>
            <w:tcW w:w="980" w:type="dxa"/>
            <w:vAlign w:val="bottom"/>
            <w:tcBorders>
              <w:bottom w:val="single" w:sz="8" w:color="D2EDFE"/>
            </w:tcBorders>
            <w:shd w:val="clear" w:color="auto" w:fill="D2EDFE"/>
          </w:tcPr>
          <w:p>
            <w:pPr>
              <w:spacing w:after="0"/>
              <w:rPr>
                <w:sz w:val="22"/>
                <w:szCs w:val="22"/>
                <w:color w:val="auto"/>
              </w:rPr>
            </w:pPr>
          </w:p>
        </w:tc>
        <w:tc>
          <w:tcPr>
            <w:tcW w:w="100" w:type="dxa"/>
            <w:vAlign w:val="bottom"/>
            <w:tcBorders>
              <w:bottom w:val="single" w:sz="8" w:color="D2EDFE"/>
            </w:tcBorders>
            <w:shd w:val="clear" w:color="auto" w:fill="D2EDFE"/>
          </w:tcPr>
          <w:p>
            <w:pPr>
              <w:spacing w:after="0"/>
              <w:rPr>
                <w:sz w:val="22"/>
                <w:szCs w:val="22"/>
                <w:color w:val="auto"/>
              </w:rPr>
            </w:pPr>
          </w:p>
        </w:tc>
        <w:tc>
          <w:tcPr>
            <w:tcW w:w="340" w:type="dxa"/>
            <w:vAlign w:val="bottom"/>
            <w:tcBorders>
              <w:bottom w:val="single" w:sz="8" w:color="D2EDFE"/>
            </w:tcBorders>
            <w:shd w:val="clear" w:color="auto" w:fill="D2EDFE"/>
          </w:tcPr>
          <w:p>
            <w:pPr>
              <w:spacing w:after="0"/>
              <w:rPr>
                <w:sz w:val="22"/>
                <w:szCs w:val="22"/>
                <w:color w:val="auto"/>
              </w:rPr>
            </w:pPr>
          </w:p>
        </w:tc>
        <w:tc>
          <w:tcPr>
            <w:tcW w:w="1140" w:type="dxa"/>
            <w:vAlign w:val="bottom"/>
            <w:tcBorders>
              <w:bottom w:val="single" w:sz="8" w:color="D2EDFE"/>
            </w:tcBorders>
            <w:shd w:val="clear" w:color="auto" w:fill="D2EDFE"/>
          </w:tcPr>
          <w:p>
            <w:pPr>
              <w:spacing w:after="0"/>
              <w:rPr>
                <w:sz w:val="22"/>
                <w:szCs w:val="22"/>
                <w:color w:val="auto"/>
              </w:rPr>
            </w:pPr>
          </w:p>
        </w:tc>
        <w:tc>
          <w:tcPr>
            <w:tcW w:w="100" w:type="dxa"/>
            <w:vAlign w:val="bottom"/>
            <w:tcBorders>
              <w:bottom w:val="single" w:sz="8" w:color="D2EDFE"/>
            </w:tcBorders>
            <w:shd w:val="clear" w:color="auto" w:fill="D2EDFE"/>
          </w:tcPr>
          <w:p>
            <w:pPr>
              <w:spacing w:after="0"/>
              <w:rPr>
                <w:sz w:val="22"/>
                <w:szCs w:val="22"/>
                <w:color w:val="auto"/>
              </w:rPr>
            </w:pPr>
          </w:p>
        </w:tc>
        <w:tc>
          <w:tcPr>
            <w:tcW w:w="580" w:type="dxa"/>
            <w:vAlign w:val="bottom"/>
            <w:tcBorders>
              <w:bottom w:val="single" w:sz="8" w:color="D2EDFE"/>
            </w:tcBorders>
            <w:shd w:val="clear" w:color="auto" w:fill="D2EDFE"/>
          </w:tcPr>
          <w:p>
            <w:pPr>
              <w:spacing w:after="0"/>
              <w:rPr>
                <w:sz w:val="22"/>
                <w:szCs w:val="22"/>
                <w:color w:val="auto"/>
              </w:rPr>
            </w:pPr>
          </w:p>
        </w:tc>
        <w:tc>
          <w:tcPr>
            <w:tcW w:w="900" w:type="dxa"/>
            <w:vAlign w:val="bottom"/>
            <w:tcBorders>
              <w:bottom w:val="single" w:sz="8" w:color="D2EDFE"/>
            </w:tcBorders>
            <w:shd w:val="clear" w:color="auto" w:fill="D2EDFE"/>
          </w:tcPr>
          <w:p>
            <w:pPr>
              <w:spacing w:after="0"/>
              <w:rPr>
                <w:sz w:val="22"/>
                <w:szCs w:val="22"/>
                <w:color w:val="auto"/>
              </w:rPr>
            </w:pPr>
          </w:p>
        </w:tc>
      </w:tr>
      <w:tr>
        <w:trPr>
          <w:trHeight w:val="263"/>
        </w:trPr>
        <w:tc>
          <w:tcPr>
            <w:tcW w:w="5020" w:type="dxa"/>
            <w:vAlign w:val="bottom"/>
          </w:tcPr>
          <w:p>
            <w:pPr>
              <w:ind w:left="240"/>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56,785,087</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7"/>
              </w:rPr>
              <w:t>55,640,154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56,661,903</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8"/>
              </w:rPr>
              <w:t>55,640,154</w:t>
            </w:r>
          </w:p>
        </w:tc>
      </w:tr>
      <w:tr>
        <w:trPr>
          <w:trHeight w:val="277"/>
        </w:trPr>
        <w:tc>
          <w:tcPr>
            <w:tcW w:w="5020" w:type="dxa"/>
            <w:vAlign w:val="bottom"/>
            <w:shd w:val="clear" w:color="auto" w:fill="D2EDFE"/>
          </w:tcPr>
          <w:p>
            <w:pPr>
              <w:ind w:left="240"/>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D2EDFE"/>
          </w:tcPr>
          <w:p>
            <w:pPr>
              <w:spacing w:after="0"/>
              <w:rPr>
                <w:sz w:val="24"/>
                <w:szCs w:val="24"/>
                <w:color w:val="auto"/>
              </w:rPr>
            </w:pPr>
          </w:p>
        </w:tc>
        <w:tc>
          <w:tcPr>
            <w:tcW w:w="11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58,954,829</w:t>
            </w:r>
          </w:p>
        </w:tc>
        <w:tc>
          <w:tcPr>
            <w:tcW w:w="100" w:type="dxa"/>
            <w:vAlign w:val="bottom"/>
            <w:shd w:val="clear" w:color="auto" w:fill="D2EDFE"/>
          </w:tcPr>
          <w:p>
            <w:pPr>
              <w:spacing w:after="0"/>
              <w:rPr>
                <w:sz w:val="24"/>
                <w:szCs w:val="24"/>
                <w:color w:val="auto"/>
              </w:rPr>
            </w:pPr>
          </w:p>
        </w:tc>
        <w:tc>
          <w:tcPr>
            <w:tcW w:w="500" w:type="dxa"/>
            <w:vAlign w:val="bottom"/>
            <w:shd w:val="clear" w:color="auto" w:fill="D2EDFE"/>
          </w:tcPr>
          <w:p>
            <w:pPr>
              <w:spacing w:after="0"/>
              <w:rPr>
                <w:sz w:val="24"/>
                <w:szCs w:val="24"/>
                <w:color w:val="auto"/>
              </w:rPr>
            </w:pPr>
          </w:p>
        </w:tc>
        <w:tc>
          <w:tcPr>
            <w:tcW w:w="980" w:type="dxa"/>
            <w:vAlign w:val="bottom"/>
            <w:shd w:val="clear" w:color="auto" w:fill="D2EDFE"/>
          </w:tcPr>
          <w:p>
            <w:pPr>
              <w:jc w:val="right"/>
              <w:spacing w:after="0"/>
              <w:rPr>
                <w:sz w:val="20"/>
                <w:szCs w:val="20"/>
                <w:color w:val="auto"/>
              </w:rPr>
            </w:pPr>
            <w:r>
              <w:rPr>
                <w:rFonts w:ascii="Arial" w:cs="Arial" w:eastAsia="Arial" w:hAnsi="Arial"/>
                <w:sz w:val="18"/>
                <w:szCs w:val="18"/>
                <w:color w:val="auto"/>
                <w:w w:val="97"/>
              </w:rPr>
              <w:t>55,640,154</w:t>
            </w:r>
          </w:p>
        </w:tc>
        <w:tc>
          <w:tcPr>
            <w:tcW w:w="100" w:type="dxa"/>
            <w:vAlign w:val="bottom"/>
            <w:shd w:val="clear" w:color="auto" w:fill="D2EDFE"/>
          </w:tcPr>
          <w:p>
            <w:pPr>
              <w:spacing w:after="0"/>
              <w:rPr>
                <w:sz w:val="24"/>
                <w:szCs w:val="24"/>
                <w:color w:val="auto"/>
              </w:rPr>
            </w:pPr>
          </w:p>
        </w:tc>
        <w:tc>
          <w:tcPr>
            <w:tcW w:w="340" w:type="dxa"/>
            <w:vAlign w:val="bottom"/>
            <w:shd w:val="clear" w:color="auto" w:fill="D2EDFE"/>
          </w:tcPr>
          <w:p>
            <w:pPr>
              <w:spacing w:after="0"/>
              <w:rPr>
                <w:sz w:val="24"/>
                <w:szCs w:val="24"/>
                <w:color w:val="auto"/>
              </w:rPr>
            </w:pPr>
          </w:p>
        </w:tc>
        <w:tc>
          <w:tcPr>
            <w:tcW w:w="11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58,329,685</w:t>
            </w:r>
          </w:p>
        </w:tc>
        <w:tc>
          <w:tcPr>
            <w:tcW w:w="100" w:type="dxa"/>
            <w:vAlign w:val="bottom"/>
            <w:shd w:val="clear" w:color="auto" w:fill="D2EDFE"/>
          </w:tcPr>
          <w:p>
            <w:pPr>
              <w:spacing w:after="0"/>
              <w:rPr>
                <w:sz w:val="24"/>
                <w:szCs w:val="24"/>
                <w:color w:val="auto"/>
              </w:rPr>
            </w:pPr>
          </w:p>
        </w:tc>
        <w:tc>
          <w:tcPr>
            <w:tcW w:w="580" w:type="dxa"/>
            <w:vAlign w:val="bottom"/>
            <w:shd w:val="clear" w:color="auto" w:fill="D2EDFE"/>
          </w:tcPr>
          <w:p>
            <w:pPr>
              <w:spacing w:after="0"/>
              <w:rPr>
                <w:sz w:val="24"/>
                <w:szCs w:val="24"/>
                <w:color w:val="auto"/>
              </w:rPr>
            </w:pPr>
          </w:p>
        </w:tc>
        <w:tc>
          <w:tcPr>
            <w:tcW w:w="900" w:type="dxa"/>
            <w:vAlign w:val="bottom"/>
            <w:shd w:val="clear" w:color="auto" w:fill="D2EDFE"/>
          </w:tcPr>
          <w:p>
            <w:pPr>
              <w:jc w:val="right"/>
              <w:spacing w:after="0"/>
              <w:rPr>
                <w:sz w:val="20"/>
                <w:szCs w:val="20"/>
                <w:color w:val="auto"/>
              </w:rPr>
            </w:pPr>
            <w:r>
              <w:rPr>
                <w:rFonts w:ascii="Arial" w:cs="Arial" w:eastAsia="Arial" w:hAnsi="Arial"/>
                <w:sz w:val="18"/>
                <w:szCs w:val="18"/>
                <w:color w:val="auto"/>
                <w:w w:val="88"/>
              </w:rPr>
              <w:t>55,744,603</w:t>
            </w:r>
          </w:p>
        </w:tc>
      </w:tr>
    </w:tbl>
    <w:p>
      <w:pPr>
        <w:spacing w:after="0" w:line="292" w:lineRule="exact"/>
        <w:rPr>
          <w:sz w:val="20"/>
          <w:szCs w:val="20"/>
          <w:color w:val="auto"/>
        </w:rPr>
      </w:pPr>
    </w:p>
    <w:p>
      <w:pPr>
        <w:ind w:left="660" w:hanging="652"/>
        <w:spacing w:after="0" w:line="293" w:lineRule="auto"/>
        <w:tabs>
          <w:tab w:leader="none" w:pos="327" w:val="left"/>
        </w:tabs>
        <w:numPr>
          <w:ilvl w:val="0"/>
          <w:numId w:val="3"/>
        </w:numPr>
        <w:rPr>
          <w:rFonts w:ascii="Arial" w:cs="Arial" w:eastAsia="Arial" w:hAnsi="Arial"/>
          <w:sz w:val="14"/>
          <w:szCs w:val="14"/>
          <w:color w:val="auto"/>
        </w:rPr>
      </w:pPr>
      <w:r>
        <w:rPr>
          <w:rFonts w:ascii="Arial" w:cs="Arial" w:eastAsia="Arial" w:hAnsi="Arial"/>
          <w:sz w:val="14"/>
          <w:szCs w:val="14"/>
          <w:color w:val="auto"/>
        </w:rPr>
        <w:t>Diluted Adjusted Net Income Per Share is computed by dividing adjusted net income by the weighted-average number of shares of common stock outstanding adjusted for the dilutive effect of all potential shares of common stock.</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2023 Compared to Three Months Ended September 30, 2022</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and notes summarize certain results from the statements of operations for each of the periods indicated and the changes between periods. The table also shows the percentage relationship to revenue for the periods indicated:</w:t>
      </w:r>
    </w:p>
    <w:p>
      <w:pPr>
        <w:spacing w:after="0" w:line="192" w:lineRule="exact"/>
        <w:rPr>
          <w:sz w:val="20"/>
          <w:szCs w:val="20"/>
          <w:color w:val="auto"/>
        </w:rPr>
      </w:pPr>
    </w:p>
    <w:p>
      <w:pPr>
        <w:jc w:val="center"/>
        <w:ind w:left="4860"/>
        <w:spacing w:after="0"/>
        <w:rPr>
          <w:sz w:val="20"/>
          <w:szCs w:val="20"/>
          <w:color w:val="auto"/>
        </w:rPr>
      </w:pPr>
      <w:r>
        <w:rPr>
          <w:rFonts w:ascii="Arial" w:cs="Arial" w:eastAsia="Arial" w:hAnsi="Arial"/>
          <w:sz w:val="14"/>
          <w:szCs w:val="14"/>
          <w:b w:val="1"/>
          <w:bCs w:val="1"/>
          <w:color w:val="auto"/>
        </w:rPr>
        <w:t>Three Months Ended</w:t>
      </w:r>
    </w:p>
    <w:p>
      <w:pPr>
        <w:jc w:val="center"/>
        <w:ind w:left="4860"/>
        <w:spacing w:after="0"/>
        <w:rPr>
          <w:sz w:val="20"/>
          <w:szCs w:val="20"/>
          <w:color w:val="auto"/>
        </w:rPr>
      </w:pPr>
      <w:r>
        <w:rPr>
          <w:rFonts w:ascii="Arial" w:cs="Arial" w:eastAsia="Arial" w:hAnsi="Arial"/>
          <w:sz w:val="14"/>
          <w:szCs w:val="14"/>
          <w:b w:val="1"/>
          <w:bCs w:val="1"/>
          <w:color w:val="auto"/>
        </w:rPr>
        <w:t>September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8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gridSpan w:val="3"/>
          </w:tcPr>
          <w:p>
            <w:pPr>
              <w:jc w:val="right"/>
              <w:ind w:right="1335"/>
              <w:spacing w:after="0"/>
              <w:rPr>
                <w:sz w:val="20"/>
                <w:szCs w:val="20"/>
                <w:color w:val="auto"/>
              </w:rPr>
            </w:pPr>
            <w:r>
              <w:rPr>
                <w:rFonts w:ascii="Arial" w:cs="Arial" w:eastAsia="Arial" w:hAnsi="Arial"/>
                <w:sz w:val="14"/>
                <w:szCs w:val="14"/>
                <w:b w:val="1"/>
                <w:bCs w:val="1"/>
                <w:color w:val="auto"/>
                <w:w w:val="89"/>
              </w:rPr>
              <w:t>2023</w:t>
            </w:r>
          </w:p>
        </w:tc>
        <w:tc>
          <w:tcPr>
            <w:tcW w:w="8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gridSpan w:val="3"/>
          </w:tcPr>
          <w:p>
            <w:pPr>
              <w:jc w:val="right"/>
              <w:ind w:right="1335"/>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135"/>
        </w:trPr>
        <w:tc>
          <w:tcPr>
            <w:tcW w:w="4880" w:type="dxa"/>
            <w:vAlign w:val="bottom"/>
            <w:vMerge w:val="restart"/>
          </w:tcPr>
          <w:p>
            <w:pPr>
              <w:ind w:left="20"/>
              <w:spacing w:after="0"/>
              <w:rPr>
                <w:sz w:val="20"/>
                <w:szCs w:val="20"/>
                <w:color w:val="auto"/>
              </w:rPr>
            </w:pPr>
            <w:r>
              <w:rPr>
                <w:rFonts w:ascii="Arial" w:cs="Arial" w:eastAsia="Arial" w:hAnsi="Arial"/>
                <w:sz w:val="14"/>
                <w:szCs w:val="14"/>
                <w:color w:val="auto"/>
              </w:rPr>
              <w:t>($ in thousands)</w:t>
            </w:r>
          </w:p>
        </w:tc>
        <w:tc>
          <w:tcPr>
            <w:tcW w:w="300" w:type="dxa"/>
            <w:vAlign w:val="bottom"/>
          </w:tcPr>
          <w:p>
            <w:pPr>
              <w:spacing w:after="0"/>
              <w:rPr>
                <w:sz w:val="11"/>
                <w:szCs w:val="11"/>
                <w:color w:val="auto"/>
              </w:rPr>
            </w:pPr>
          </w:p>
        </w:tc>
        <w:tc>
          <w:tcPr>
            <w:tcW w:w="112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 of</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tcPr>
          <w:p>
            <w:pPr>
              <w:jc w:val="right"/>
              <w:ind w:right="575"/>
              <w:spacing w:after="0" w:line="135"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6"/>
        </w:trPr>
        <w:tc>
          <w:tcPr>
            <w:tcW w:w="48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Revenue</w:t>
            </w:r>
          </w:p>
        </w:tc>
        <w:tc>
          <w:tcPr>
            <w:tcW w:w="30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tcPr>
          <w:p>
            <w:pPr>
              <w:jc w:val="right"/>
              <w:ind w:right="455"/>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230"/>
        </w:trPr>
        <w:tc>
          <w:tcPr>
            <w:tcW w:w="4880" w:type="dxa"/>
            <w:vAlign w:val="bottom"/>
            <w:tcBorders>
              <w:top w:val="single" w:sz="8" w:color="D2EDFE"/>
            </w:tcBorders>
            <w:shd w:val="clear" w:color="auto" w:fill="D2EDFE"/>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Borders>
              <w:top w:val="single" w:sz="8" w:color="auto"/>
            </w:tcBorders>
            <w:shd w:val="clear" w:color="auto" w:fill="D2EDFE"/>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46,793</w:t>
            </w:r>
          </w:p>
        </w:tc>
        <w:tc>
          <w:tcPr>
            <w:tcW w:w="20" w:type="dxa"/>
            <w:vAlign w:val="bottom"/>
            <w:tcBorders>
              <w:top w:val="single" w:sz="8" w:color="auto"/>
            </w:tcBorders>
            <w:shd w:val="clear" w:color="auto" w:fill="D2EDFE"/>
          </w:tcPr>
          <w:p>
            <w:pPr>
              <w:spacing w:after="0"/>
              <w:rPr>
                <w:sz w:val="19"/>
                <w:szCs w:val="19"/>
                <w:color w:val="auto"/>
              </w:rPr>
            </w:pPr>
          </w:p>
        </w:tc>
        <w:tc>
          <w:tcPr>
            <w:tcW w:w="100" w:type="dxa"/>
            <w:vAlign w:val="bottom"/>
            <w:tcBorders>
              <w:top w:val="single" w:sz="8" w:color="D2EDFE"/>
            </w:tcBorders>
            <w:shd w:val="clear" w:color="auto" w:fill="D2EDFE"/>
          </w:tcPr>
          <w:p>
            <w:pPr>
              <w:spacing w:after="0"/>
              <w:rPr>
                <w:sz w:val="19"/>
                <w:szCs w:val="19"/>
                <w:color w:val="auto"/>
              </w:rPr>
            </w:pPr>
          </w:p>
        </w:tc>
        <w:tc>
          <w:tcPr>
            <w:tcW w:w="1600" w:type="dxa"/>
            <w:vAlign w:val="bottom"/>
            <w:tcBorders>
              <w:top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100.0 %</w:t>
            </w:r>
          </w:p>
        </w:tc>
        <w:tc>
          <w:tcPr>
            <w:tcW w:w="80" w:type="dxa"/>
            <w:vAlign w:val="bottom"/>
            <w:tcBorders>
              <w:top w:val="single" w:sz="8" w:color="D2EDFE"/>
            </w:tcBorders>
            <w:shd w:val="clear" w:color="auto" w:fill="D2EDFE"/>
          </w:tcPr>
          <w:p>
            <w:pPr>
              <w:spacing w:after="0"/>
              <w:rPr>
                <w:sz w:val="19"/>
                <w:szCs w:val="19"/>
                <w:color w:val="auto"/>
              </w:rPr>
            </w:pPr>
          </w:p>
        </w:tc>
        <w:tc>
          <w:tcPr>
            <w:tcW w:w="300" w:type="dxa"/>
            <w:vAlign w:val="bottom"/>
            <w:tcBorders>
              <w:top w:val="single" w:sz="8" w:color="auto"/>
            </w:tcBorders>
            <w:shd w:val="clear" w:color="auto" w:fill="D2EDFE"/>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38,892</w:t>
            </w:r>
          </w:p>
        </w:tc>
        <w:tc>
          <w:tcPr>
            <w:tcW w:w="40" w:type="dxa"/>
            <w:vAlign w:val="bottom"/>
            <w:tcBorders>
              <w:top w:val="single" w:sz="8" w:color="auto"/>
            </w:tcBorders>
            <w:shd w:val="clear" w:color="auto" w:fill="D2EDFE"/>
          </w:tcPr>
          <w:p>
            <w:pPr>
              <w:spacing w:after="0"/>
              <w:rPr>
                <w:sz w:val="19"/>
                <w:szCs w:val="19"/>
                <w:color w:val="auto"/>
              </w:rPr>
            </w:pPr>
          </w:p>
        </w:tc>
        <w:tc>
          <w:tcPr>
            <w:tcW w:w="80" w:type="dxa"/>
            <w:vAlign w:val="bottom"/>
            <w:tcBorders>
              <w:top w:val="single" w:sz="8" w:color="D2EDFE"/>
            </w:tcBorders>
            <w:shd w:val="clear" w:color="auto" w:fill="D2EDFE"/>
          </w:tcPr>
          <w:p>
            <w:pPr>
              <w:spacing w:after="0"/>
              <w:rPr>
                <w:sz w:val="19"/>
                <w:szCs w:val="19"/>
                <w:color w:val="auto"/>
              </w:rPr>
            </w:pPr>
          </w:p>
        </w:tc>
        <w:tc>
          <w:tcPr>
            <w:tcW w:w="1600" w:type="dxa"/>
            <w:vAlign w:val="bottom"/>
            <w:tcBorders>
              <w:top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29"/>
        </w:trPr>
        <w:tc>
          <w:tcPr>
            <w:tcW w:w="48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D2EDFE"/>
          </w:tcPr>
          <w:p>
            <w:pPr>
              <w:ind w:left="140"/>
              <w:spacing w:after="0"/>
              <w:rPr>
                <w:sz w:val="20"/>
                <w:szCs w:val="20"/>
                <w:color w:val="auto"/>
              </w:rPr>
            </w:pPr>
            <w:r>
              <w:rPr>
                <w:rFonts w:ascii="Arial" w:cs="Arial" w:eastAsia="Arial" w:hAnsi="Arial"/>
                <w:sz w:val="18"/>
                <w:szCs w:val="18"/>
                <w:color w:val="auto"/>
              </w:rPr>
              <w:t>Cost of service</w:t>
            </w:r>
          </w:p>
        </w:tc>
        <w:tc>
          <w:tcPr>
            <w:tcW w:w="300" w:type="dxa"/>
            <w:vAlign w:val="bottom"/>
            <w:shd w:val="clear" w:color="auto" w:fill="D2EDFE"/>
          </w:tcPr>
          <w:p>
            <w:pPr>
              <w:spacing w:after="0"/>
              <w:rPr>
                <w:sz w:val="19"/>
                <w:szCs w:val="19"/>
                <w:color w:val="auto"/>
              </w:rPr>
            </w:pPr>
          </w:p>
        </w:tc>
        <w:tc>
          <w:tcPr>
            <w:tcW w:w="112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18,175</w:t>
            </w:r>
          </w:p>
        </w:tc>
        <w:tc>
          <w:tcPr>
            <w:tcW w:w="1720" w:type="dxa"/>
            <w:vAlign w:val="bottom"/>
            <w:gridSpan w:val="3"/>
            <w:shd w:val="clear" w:color="auto" w:fill="D2EDFE"/>
          </w:tcPr>
          <w:p>
            <w:pPr>
              <w:jc w:val="right"/>
              <w:spacing w:after="0"/>
              <w:rPr>
                <w:sz w:val="20"/>
                <w:szCs w:val="20"/>
                <w:color w:val="auto"/>
              </w:rPr>
            </w:pPr>
            <w:r>
              <w:rPr>
                <w:rFonts w:ascii="Arial" w:cs="Arial" w:eastAsia="Arial" w:hAnsi="Arial"/>
                <w:sz w:val="18"/>
                <w:szCs w:val="18"/>
                <w:color w:val="auto"/>
              </w:rPr>
              <w:t>38.8 %</w:t>
            </w:r>
          </w:p>
        </w:tc>
        <w:tc>
          <w:tcPr>
            <w:tcW w:w="80" w:type="dxa"/>
            <w:vAlign w:val="bottom"/>
            <w:shd w:val="clear" w:color="auto" w:fill="D2EDFE"/>
          </w:tcPr>
          <w:p>
            <w:pPr>
              <w:spacing w:after="0"/>
              <w:rPr>
                <w:sz w:val="19"/>
                <w:szCs w:val="19"/>
                <w:color w:val="auto"/>
              </w:rPr>
            </w:pPr>
          </w:p>
        </w:tc>
        <w:tc>
          <w:tcPr>
            <w:tcW w:w="300" w:type="dxa"/>
            <w:vAlign w:val="bottom"/>
            <w:shd w:val="clear" w:color="auto" w:fill="D2EDFE"/>
          </w:tcPr>
          <w:p>
            <w:pPr>
              <w:spacing w:after="0"/>
              <w:rPr>
                <w:sz w:val="19"/>
                <w:szCs w:val="19"/>
                <w:color w:val="auto"/>
              </w:rPr>
            </w:pPr>
          </w:p>
        </w:tc>
        <w:tc>
          <w:tcPr>
            <w:tcW w:w="112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14,888</w:t>
            </w:r>
          </w:p>
        </w:tc>
        <w:tc>
          <w:tcPr>
            <w:tcW w:w="1720" w:type="dxa"/>
            <w:vAlign w:val="bottom"/>
            <w:gridSpan w:val="3"/>
            <w:shd w:val="clear" w:color="auto" w:fill="D2EDFE"/>
          </w:tcPr>
          <w:p>
            <w:pPr>
              <w:jc w:val="right"/>
              <w:spacing w:after="0"/>
              <w:rPr>
                <w:sz w:val="20"/>
                <w:szCs w:val="20"/>
                <w:color w:val="auto"/>
              </w:rPr>
            </w:pPr>
            <w:r>
              <w:rPr>
                <w:rFonts w:ascii="Arial" w:cs="Arial" w:eastAsia="Arial" w:hAnsi="Arial"/>
                <w:sz w:val="18"/>
                <w:szCs w:val="18"/>
                <w:color w:val="auto"/>
              </w:rPr>
              <w:t>38.3 %</w:t>
            </w:r>
          </w:p>
        </w:tc>
        <w:tc>
          <w:tcPr>
            <w:tcW w:w="0" w:type="dxa"/>
            <w:vAlign w:val="bottom"/>
          </w:tcPr>
          <w:p>
            <w:pPr>
              <w:spacing w:after="0"/>
              <w:rPr>
                <w:sz w:val="1"/>
                <w:szCs w:val="1"/>
                <w:color w:val="auto"/>
              </w:rPr>
            </w:pPr>
          </w:p>
        </w:tc>
      </w:tr>
      <w:tr>
        <w:trPr>
          <w:trHeight w:val="229"/>
        </w:trPr>
        <w:tc>
          <w:tcPr>
            <w:tcW w:w="488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25,030</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53.5 %</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23,397</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60.2 %</w:t>
            </w:r>
          </w:p>
        </w:tc>
        <w:tc>
          <w:tcPr>
            <w:tcW w:w="0" w:type="dxa"/>
            <w:vAlign w:val="bottom"/>
          </w:tcPr>
          <w:p>
            <w:pPr>
              <w:spacing w:after="0"/>
              <w:rPr>
                <w:sz w:val="1"/>
                <w:szCs w:val="1"/>
                <w:color w:val="auto"/>
              </w:rPr>
            </w:pPr>
          </w:p>
        </w:tc>
      </w:tr>
      <w:tr>
        <w:trPr>
          <w:trHeight w:val="229"/>
        </w:trPr>
        <w:tc>
          <w:tcPr>
            <w:tcW w:w="4880" w:type="dxa"/>
            <w:vAlign w:val="bottom"/>
            <w:shd w:val="clear" w:color="auto" w:fill="D2EDFE"/>
          </w:tcPr>
          <w:p>
            <w:pPr>
              <w:ind w:left="14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D2EDFE"/>
          </w:tcPr>
          <w:p>
            <w:pPr>
              <w:spacing w:after="0"/>
              <w:rPr>
                <w:sz w:val="19"/>
                <w:szCs w:val="19"/>
                <w:color w:val="auto"/>
              </w:rPr>
            </w:pPr>
          </w:p>
        </w:tc>
        <w:tc>
          <w:tcPr>
            <w:tcW w:w="1120" w:type="dxa"/>
            <w:vAlign w:val="bottom"/>
            <w:shd w:val="clear" w:color="auto" w:fill="D2EDFE"/>
          </w:tcPr>
          <w:p>
            <w:pPr>
              <w:jc w:val="right"/>
              <w:spacing w:after="0"/>
              <w:rPr>
                <w:sz w:val="20"/>
                <w:szCs w:val="20"/>
                <w:color w:val="auto"/>
              </w:rPr>
            </w:pPr>
            <w:r>
              <w:rPr>
                <w:rFonts w:ascii="Arial" w:cs="Arial" w:eastAsia="Arial" w:hAnsi="Arial"/>
                <w:sz w:val="18"/>
                <w:szCs w:val="18"/>
                <w:color w:val="auto"/>
              </w:rPr>
              <w:t>2,629</w:t>
            </w:r>
          </w:p>
        </w:tc>
        <w:tc>
          <w:tcPr>
            <w:tcW w:w="1720" w:type="dxa"/>
            <w:vAlign w:val="bottom"/>
            <w:gridSpan w:val="3"/>
            <w:shd w:val="clear" w:color="auto" w:fill="D2EDFE"/>
          </w:tcPr>
          <w:p>
            <w:pPr>
              <w:jc w:val="right"/>
              <w:spacing w:after="0"/>
              <w:rPr>
                <w:sz w:val="20"/>
                <w:szCs w:val="20"/>
                <w:color w:val="auto"/>
              </w:rPr>
            </w:pPr>
            <w:r>
              <w:rPr>
                <w:rFonts w:ascii="Arial" w:cs="Arial" w:eastAsia="Arial" w:hAnsi="Arial"/>
                <w:sz w:val="18"/>
                <w:szCs w:val="18"/>
                <w:color w:val="auto"/>
              </w:rPr>
              <w:t>5.6 %</w:t>
            </w:r>
          </w:p>
        </w:tc>
        <w:tc>
          <w:tcPr>
            <w:tcW w:w="80" w:type="dxa"/>
            <w:vAlign w:val="bottom"/>
            <w:shd w:val="clear" w:color="auto" w:fill="D2EDFE"/>
          </w:tcPr>
          <w:p>
            <w:pPr>
              <w:spacing w:after="0"/>
              <w:rPr>
                <w:sz w:val="19"/>
                <w:szCs w:val="19"/>
                <w:color w:val="auto"/>
              </w:rPr>
            </w:pPr>
          </w:p>
        </w:tc>
        <w:tc>
          <w:tcPr>
            <w:tcW w:w="300" w:type="dxa"/>
            <w:vAlign w:val="bottom"/>
            <w:shd w:val="clear" w:color="auto" w:fill="D2EDFE"/>
          </w:tcPr>
          <w:p>
            <w:pPr>
              <w:spacing w:after="0"/>
              <w:rPr>
                <w:sz w:val="19"/>
                <w:szCs w:val="19"/>
                <w:color w:val="auto"/>
              </w:rPr>
            </w:pPr>
          </w:p>
        </w:tc>
        <w:tc>
          <w:tcPr>
            <w:tcW w:w="112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1,994</w:t>
            </w:r>
          </w:p>
        </w:tc>
        <w:tc>
          <w:tcPr>
            <w:tcW w:w="1720" w:type="dxa"/>
            <w:vAlign w:val="bottom"/>
            <w:gridSpan w:val="3"/>
            <w:shd w:val="clear" w:color="auto" w:fill="D2EDFE"/>
          </w:tcPr>
          <w:p>
            <w:pPr>
              <w:jc w:val="right"/>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230"/>
        </w:trPr>
        <w:tc>
          <w:tcPr>
            <w:tcW w:w="4880" w:type="dxa"/>
            <w:vAlign w:val="bottom"/>
          </w:tcPr>
          <w:p>
            <w:pPr>
              <w:ind w:left="140"/>
              <w:spacing w:after="0"/>
              <w:rPr>
                <w:sz w:val="20"/>
                <w:szCs w:val="20"/>
                <w:color w:val="auto"/>
              </w:rPr>
            </w:pPr>
            <w:r>
              <w:rPr>
                <w:rFonts w:ascii="Arial" w:cs="Arial" w:eastAsia="Arial" w:hAnsi="Arial"/>
                <w:sz w:val="18"/>
                <w:szCs w:val="18"/>
                <w:color w:val="auto"/>
              </w:rPr>
              <w:t>Loss/(gain) on disposal of long-lived assets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3"/>
        </w:trPr>
        <w:tc>
          <w:tcPr>
            <w:tcW w:w="4880" w:type="dxa"/>
            <w:vAlign w:val="bottom"/>
            <w:tcBorders>
              <w:top w:val="single" w:sz="8" w:color="D2EDFE"/>
            </w:tcBorders>
            <w:shd w:val="clear" w:color="auto" w:fill="D2EDFE"/>
          </w:tcPr>
          <w:p>
            <w:pPr>
              <w:ind w:left="14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bottom w:val="single" w:sz="8" w:color="auto"/>
            </w:tcBorders>
            <w:shd w:val="clear" w:color="auto" w:fill="D2EDFE"/>
          </w:tcPr>
          <w:p>
            <w:pPr>
              <w:spacing w:after="0"/>
              <w:rPr>
                <w:sz w:val="19"/>
                <w:szCs w:val="19"/>
                <w:color w:val="auto"/>
              </w:rPr>
            </w:pPr>
          </w:p>
        </w:tc>
        <w:tc>
          <w:tcPr>
            <w:tcW w:w="1120" w:type="dxa"/>
            <w:vAlign w:val="bottom"/>
            <w:tcBorders>
              <w:top w:val="single" w:sz="8" w:color="auto"/>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45,838</w:t>
            </w:r>
          </w:p>
        </w:tc>
        <w:tc>
          <w:tcPr>
            <w:tcW w:w="20" w:type="dxa"/>
            <w:vAlign w:val="bottom"/>
            <w:tcBorders>
              <w:top w:val="single" w:sz="8" w:color="auto"/>
              <w:bottom w:val="single" w:sz="8" w:color="auto"/>
            </w:tcBorders>
            <w:shd w:val="clear" w:color="auto" w:fill="D2EDFE"/>
          </w:tcPr>
          <w:p>
            <w:pPr>
              <w:spacing w:after="0"/>
              <w:rPr>
                <w:sz w:val="19"/>
                <w:szCs w:val="19"/>
                <w:color w:val="auto"/>
              </w:rPr>
            </w:pPr>
          </w:p>
        </w:tc>
        <w:tc>
          <w:tcPr>
            <w:tcW w:w="100" w:type="dxa"/>
            <w:vAlign w:val="bottom"/>
            <w:tcBorders>
              <w:top w:val="single" w:sz="8" w:color="D2EDFE"/>
            </w:tcBorders>
            <w:shd w:val="clear" w:color="auto" w:fill="D2EDFE"/>
          </w:tcPr>
          <w:p>
            <w:pPr>
              <w:spacing w:after="0"/>
              <w:rPr>
                <w:sz w:val="19"/>
                <w:szCs w:val="19"/>
                <w:color w:val="auto"/>
              </w:rPr>
            </w:pPr>
          </w:p>
        </w:tc>
        <w:tc>
          <w:tcPr>
            <w:tcW w:w="1600" w:type="dxa"/>
            <w:vAlign w:val="bottom"/>
            <w:tcBorders>
              <w:top w:val="single" w:sz="8" w:color="auto"/>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98.0 %</w:t>
            </w:r>
          </w:p>
        </w:tc>
        <w:tc>
          <w:tcPr>
            <w:tcW w:w="80" w:type="dxa"/>
            <w:vAlign w:val="bottom"/>
            <w:tcBorders>
              <w:top w:val="single" w:sz="8" w:color="D2EDFE"/>
            </w:tcBorders>
            <w:shd w:val="clear" w:color="auto" w:fill="D2EDFE"/>
          </w:tcPr>
          <w:p>
            <w:pPr>
              <w:spacing w:after="0"/>
              <w:rPr>
                <w:sz w:val="19"/>
                <w:szCs w:val="19"/>
                <w:color w:val="auto"/>
              </w:rPr>
            </w:pPr>
          </w:p>
        </w:tc>
        <w:tc>
          <w:tcPr>
            <w:tcW w:w="300" w:type="dxa"/>
            <w:vAlign w:val="bottom"/>
            <w:tcBorders>
              <w:top w:val="single" w:sz="8" w:color="auto"/>
              <w:bottom w:val="single" w:sz="8" w:color="auto"/>
            </w:tcBorders>
            <w:shd w:val="clear" w:color="auto" w:fill="D2EDFE"/>
          </w:tcPr>
          <w:p>
            <w:pPr>
              <w:spacing w:after="0"/>
              <w:rPr>
                <w:sz w:val="19"/>
                <w:szCs w:val="19"/>
                <w:color w:val="auto"/>
              </w:rPr>
            </w:pPr>
          </w:p>
        </w:tc>
        <w:tc>
          <w:tcPr>
            <w:tcW w:w="1120" w:type="dxa"/>
            <w:vAlign w:val="bottom"/>
            <w:tcBorders>
              <w:top w:val="single" w:sz="8" w:color="auto"/>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40,267</w:t>
            </w:r>
          </w:p>
        </w:tc>
        <w:tc>
          <w:tcPr>
            <w:tcW w:w="40" w:type="dxa"/>
            <w:vAlign w:val="bottom"/>
            <w:tcBorders>
              <w:top w:val="single" w:sz="8" w:color="auto"/>
              <w:bottom w:val="single" w:sz="8" w:color="auto"/>
            </w:tcBorders>
            <w:shd w:val="clear" w:color="auto" w:fill="D2EDFE"/>
          </w:tcPr>
          <w:p>
            <w:pPr>
              <w:spacing w:after="0"/>
              <w:rPr>
                <w:sz w:val="19"/>
                <w:szCs w:val="19"/>
                <w:color w:val="auto"/>
              </w:rPr>
            </w:pPr>
          </w:p>
        </w:tc>
        <w:tc>
          <w:tcPr>
            <w:tcW w:w="80" w:type="dxa"/>
            <w:vAlign w:val="bottom"/>
            <w:tcBorders>
              <w:top w:val="single" w:sz="8" w:color="D2EDFE"/>
            </w:tcBorders>
            <w:shd w:val="clear" w:color="auto" w:fill="D2EDFE"/>
          </w:tcPr>
          <w:p>
            <w:pPr>
              <w:spacing w:after="0"/>
              <w:rPr>
                <w:sz w:val="19"/>
                <w:szCs w:val="19"/>
                <w:color w:val="auto"/>
              </w:rPr>
            </w:pPr>
          </w:p>
        </w:tc>
        <w:tc>
          <w:tcPr>
            <w:tcW w:w="1600" w:type="dxa"/>
            <w:vAlign w:val="bottom"/>
            <w:tcBorders>
              <w:top w:val="single" w:sz="8" w:color="auto"/>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103.5 %</w:t>
            </w:r>
          </w:p>
        </w:tc>
        <w:tc>
          <w:tcPr>
            <w:tcW w:w="0" w:type="dxa"/>
            <w:vAlign w:val="bottom"/>
          </w:tcPr>
          <w:p>
            <w:pPr>
              <w:spacing w:after="0"/>
              <w:rPr>
                <w:sz w:val="1"/>
                <w:szCs w:val="1"/>
                <w:color w:val="auto"/>
              </w:rPr>
            </w:pPr>
          </w:p>
        </w:tc>
      </w:tr>
      <w:tr>
        <w:trPr>
          <w:trHeight w:val="223"/>
        </w:trPr>
        <w:tc>
          <w:tcPr>
            <w:tcW w:w="4880" w:type="dxa"/>
            <w:vAlign w:val="bottom"/>
          </w:tcPr>
          <w:p>
            <w:pPr>
              <w:ind w:left="140"/>
              <w:spacing w:after="0"/>
              <w:rPr>
                <w:sz w:val="20"/>
                <w:szCs w:val="20"/>
                <w:color w:val="auto"/>
              </w:rPr>
            </w:pPr>
            <w:r>
              <w:rPr>
                <w:rFonts w:ascii="Arial" w:cs="Arial" w:eastAsia="Arial" w:hAnsi="Arial"/>
                <w:sz w:val="18"/>
                <w:szCs w:val="18"/>
                <w:color w:val="auto"/>
              </w:rPr>
              <w:t>Income/(loss) from operations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2.0 %</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(1,375)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9"/>
        </w:trPr>
        <w:tc>
          <w:tcPr>
            <w:tcW w:w="4880" w:type="dxa"/>
            <w:vAlign w:val="bottom"/>
            <w:shd w:val="clear" w:color="auto" w:fill="D2EDFE"/>
          </w:tcPr>
          <w:p>
            <w:pPr>
              <w:ind w:left="20"/>
              <w:spacing w:after="0"/>
              <w:rPr>
                <w:sz w:val="20"/>
                <w:szCs w:val="20"/>
                <w:color w:val="auto"/>
              </w:rPr>
            </w:pPr>
            <w:r>
              <w:rPr>
                <w:rFonts w:ascii="Arial" w:cs="Arial" w:eastAsia="Arial" w:hAnsi="Arial"/>
                <w:sz w:val="18"/>
                <w:szCs w:val="18"/>
                <w:color w:val="auto"/>
              </w:rPr>
              <w:t>Interest expense, net</w:t>
            </w:r>
          </w:p>
        </w:tc>
        <w:tc>
          <w:tcPr>
            <w:tcW w:w="300" w:type="dxa"/>
            <w:vAlign w:val="bottom"/>
            <w:shd w:val="clear" w:color="auto" w:fill="D2EDFE"/>
          </w:tcPr>
          <w:p>
            <w:pPr>
              <w:spacing w:after="0"/>
              <w:rPr>
                <w:sz w:val="19"/>
                <w:szCs w:val="19"/>
                <w:color w:val="auto"/>
              </w:rPr>
            </w:pPr>
          </w:p>
        </w:tc>
        <w:tc>
          <w:tcPr>
            <w:tcW w:w="112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1,836</w:t>
            </w:r>
          </w:p>
        </w:tc>
        <w:tc>
          <w:tcPr>
            <w:tcW w:w="1720" w:type="dxa"/>
            <w:vAlign w:val="bottom"/>
            <w:gridSpan w:val="3"/>
            <w:shd w:val="clear" w:color="auto" w:fill="D2EDFE"/>
          </w:tcPr>
          <w:p>
            <w:pPr>
              <w:jc w:val="right"/>
              <w:spacing w:after="0"/>
              <w:rPr>
                <w:sz w:val="20"/>
                <w:szCs w:val="20"/>
                <w:color w:val="auto"/>
              </w:rPr>
            </w:pPr>
            <w:r>
              <w:rPr>
                <w:rFonts w:ascii="Arial" w:cs="Arial" w:eastAsia="Arial" w:hAnsi="Arial"/>
                <w:sz w:val="18"/>
                <w:szCs w:val="18"/>
                <w:color w:val="auto"/>
              </w:rPr>
              <w:t>3.9 %</w:t>
            </w:r>
          </w:p>
        </w:tc>
        <w:tc>
          <w:tcPr>
            <w:tcW w:w="80" w:type="dxa"/>
            <w:vAlign w:val="bottom"/>
            <w:shd w:val="clear" w:color="auto" w:fill="D2EDFE"/>
          </w:tcPr>
          <w:p>
            <w:pPr>
              <w:spacing w:after="0"/>
              <w:rPr>
                <w:sz w:val="19"/>
                <w:szCs w:val="19"/>
                <w:color w:val="auto"/>
              </w:rPr>
            </w:pPr>
          </w:p>
        </w:tc>
        <w:tc>
          <w:tcPr>
            <w:tcW w:w="300" w:type="dxa"/>
            <w:vAlign w:val="bottom"/>
            <w:shd w:val="clear" w:color="auto" w:fill="D2EDFE"/>
          </w:tcPr>
          <w:p>
            <w:pPr>
              <w:spacing w:after="0"/>
              <w:rPr>
                <w:sz w:val="19"/>
                <w:szCs w:val="19"/>
                <w:color w:val="auto"/>
              </w:rPr>
            </w:pPr>
          </w:p>
        </w:tc>
        <w:tc>
          <w:tcPr>
            <w:tcW w:w="112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1,770</w:t>
            </w:r>
          </w:p>
        </w:tc>
        <w:tc>
          <w:tcPr>
            <w:tcW w:w="1720" w:type="dxa"/>
            <w:vAlign w:val="bottom"/>
            <w:gridSpan w:val="3"/>
            <w:shd w:val="clear" w:color="auto" w:fill="D2EDFE"/>
          </w:tcPr>
          <w:p>
            <w:pPr>
              <w:jc w:val="right"/>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23"/>
        </w:trPr>
        <w:tc>
          <w:tcPr>
            <w:tcW w:w="4880" w:type="dxa"/>
            <w:vAlign w:val="bottom"/>
          </w:tcPr>
          <w:p>
            <w:pPr>
              <w:ind w:left="140"/>
              <w:spacing w:after="0"/>
              <w:rPr>
                <w:sz w:val="20"/>
                <w:szCs w:val="20"/>
                <w:color w:val="auto"/>
              </w:rPr>
            </w:pPr>
            <w:r>
              <w:rPr>
                <w:rFonts w:ascii="Arial" w:cs="Arial" w:eastAsia="Arial" w:hAnsi="Arial"/>
                <w:sz w:val="18"/>
                <w:szCs w:val="18"/>
                <w:color w:val="auto"/>
              </w:rPr>
              <w:t>Pre-tax net loss</w:t>
            </w:r>
          </w:p>
        </w:tc>
        <w:tc>
          <w:tcPr>
            <w:tcW w:w="3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(881)</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(3,145)</w:t>
            </w:r>
          </w:p>
        </w:tc>
        <w:tc>
          <w:tcPr>
            <w:tcW w:w="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9"/>
        </w:trPr>
        <w:tc>
          <w:tcPr>
            <w:tcW w:w="4880" w:type="dxa"/>
            <w:vAlign w:val="bottom"/>
            <w:shd w:val="clear" w:color="auto" w:fill="D2EDFE"/>
          </w:tcPr>
          <w:p>
            <w:pPr>
              <w:ind w:left="20"/>
              <w:spacing w:after="0"/>
              <w:rPr>
                <w:sz w:val="20"/>
                <w:szCs w:val="20"/>
                <w:color w:val="auto"/>
              </w:rPr>
            </w:pPr>
            <w:r>
              <w:rPr>
                <w:rFonts w:ascii="Arial" w:cs="Arial" w:eastAsia="Arial" w:hAnsi="Arial"/>
                <w:sz w:val="18"/>
                <w:szCs w:val="18"/>
                <w:color w:val="auto"/>
              </w:rPr>
              <w:t>Income tax expense</w:t>
            </w:r>
          </w:p>
        </w:tc>
        <w:tc>
          <w:tcPr>
            <w:tcW w:w="300" w:type="dxa"/>
            <w:vAlign w:val="bottom"/>
            <w:shd w:val="clear" w:color="auto" w:fill="D2EDFE"/>
          </w:tcPr>
          <w:p>
            <w:pPr>
              <w:spacing w:after="0"/>
              <w:rPr>
                <w:sz w:val="19"/>
                <w:szCs w:val="19"/>
                <w:color w:val="auto"/>
              </w:rPr>
            </w:pPr>
          </w:p>
        </w:tc>
        <w:tc>
          <w:tcPr>
            <w:tcW w:w="1120" w:type="dxa"/>
            <w:vAlign w:val="bottom"/>
            <w:shd w:val="clear" w:color="auto" w:fill="D2EDFE"/>
          </w:tcPr>
          <w:p>
            <w:pPr>
              <w:jc w:val="right"/>
              <w:spacing w:after="0"/>
              <w:rPr>
                <w:sz w:val="20"/>
                <w:szCs w:val="20"/>
                <w:color w:val="auto"/>
              </w:rPr>
            </w:pPr>
            <w:r>
              <w:rPr>
                <w:rFonts w:ascii="Arial" w:cs="Arial" w:eastAsia="Arial" w:hAnsi="Arial"/>
                <w:sz w:val="18"/>
                <w:szCs w:val="18"/>
                <w:color w:val="auto"/>
              </w:rPr>
              <w:t>786</w:t>
            </w:r>
          </w:p>
        </w:tc>
        <w:tc>
          <w:tcPr>
            <w:tcW w:w="1720" w:type="dxa"/>
            <w:vAlign w:val="bottom"/>
            <w:gridSpan w:val="3"/>
            <w:shd w:val="clear" w:color="auto" w:fill="D2EDFE"/>
          </w:tcPr>
          <w:p>
            <w:pPr>
              <w:jc w:val="right"/>
              <w:spacing w:after="0"/>
              <w:rPr>
                <w:sz w:val="20"/>
                <w:szCs w:val="20"/>
                <w:color w:val="auto"/>
              </w:rPr>
            </w:pPr>
            <w:r>
              <w:rPr>
                <w:rFonts w:ascii="Arial" w:cs="Arial" w:eastAsia="Arial" w:hAnsi="Arial"/>
                <w:sz w:val="18"/>
                <w:szCs w:val="18"/>
                <w:color w:val="auto"/>
              </w:rPr>
              <w:t>1.7 %</w:t>
            </w:r>
          </w:p>
        </w:tc>
        <w:tc>
          <w:tcPr>
            <w:tcW w:w="80" w:type="dxa"/>
            <w:vAlign w:val="bottom"/>
            <w:shd w:val="clear" w:color="auto" w:fill="D2EDFE"/>
          </w:tcPr>
          <w:p>
            <w:pPr>
              <w:spacing w:after="0"/>
              <w:rPr>
                <w:sz w:val="19"/>
                <w:szCs w:val="19"/>
                <w:color w:val="auto"/>
              </w:rPr>
            </w:pPr>
          </w:p>
        </w:tc>
        <w:tc>
          <w:tcPr>
            <w:tcW w:w="300" w:type="dxa"/>
            <w:vAlign w:val="bottom"/>
            <w:shd w:val="clear" w:color="auto" w:fill="D2EDFE"/>
          </w:tcPr>
          <w:p>
            <w:pPr>
              <w:spacing w:after="0"/>
              <w:rPr>
                <w:sz w:val="19"/>
                <w:szCs w:val="19"/>
                <w:color w:val="auto"/>
              </w:rPr>
            </w:pPr>
          </w:p>
        </w:tc>
        <w:tc>
          <w:tcPr>
            <w:tcW w:w="1120" w:type="dxa"/>
            <w:vAlign w:val="bottom"/>
            <w:shd w:val="clear" w:color="auto" w:fill="D2EDFE"/>
          </w:tcPr>
          <w:p>
            <w:pPr>
              <w:jc w:val="right"/>
              <w:spacing w:after="0"/>
              <w:rPr>
                <w:sz w:val="20"/>
                <w:szCs w:val="20"/>
                <w:color w:val="auto"/>
              </w:rPr>
            </w:pPr>
            <w:r>
              <w:rPr>
                <w:rFonts w:ascii="Arial" w:cs="Arial" w:eastAsia="Arial" w:hAnsi="Arial"/>
                <w:sz w:val="18"/>
                <w:szCs w:val="18"/>
                <w:color w:val="auto"/>
              </w:rPr>
              <w:t>4,232</w:t>
            </w:r>
          </w:p>
        </w:tc>
        <w:tc>
          <w:tcPr>
            <w:tcW w:w="1720" w:type="dxa"/>
            <w:vAlign w:val="bottom"/>
            <w:gridSpan w:val="3"/>
            <w:shd w:val="clear" w:color="auto" w:fill="D2EDFE"/>
          </w:tcPr>
          <w:p>
            <w:pPr>
              <w:jc w:val="right"/>
              <w:spacing w:after="0"/>
              <w:rPr>
                <w:sz w:val="20"/>
                <w:szCs w:val="20"/>
                <w:color w:val="auto"/>
              </w:rPr>
            </w:pPr>
            <w:r>
              <w:rPr>
                <w:rFonts w:ascii="Arial" w:cs="Arial" w:eastAsia="Arial" w:hAnsi="Arial"/>
                <w:sz w:val="18"/>
                <w:szCs w:val="18"/>
                <w:color w:val="auto"/>
              </w:rPr>
              <w:t>10.9 %</w:t>
            </w:r>
          </w:p>
        </w:tc>
        <w:tc>
          <w:tcPr>
            <w:tcW w:w="0" w:type="dxa"/>
            <w:vAlign w:val="bottom"/>
          </w:tcPr>
          <w:p>
            <w:pPr>
              <w:spacing w:after="0"/>
              <w:rPr>
                <w:sz w:val="1"/>
                <w:szCs w:val="1"/>
                <w:color w:val="auto"/>
              </w:rPr>
            </w:pPr>
          </w:p>
        </w:tc>
      </w:tr>
      <w:tr>
        <w:trPr>
          <w:trHeight w:val="223"/>
        </w:trPr>
        <w:tc>
          <w:tcPr>
            <w:tcW w:w="4880" w:type="dxa"/>
            <w:vAlign w:val="bottom"/>
          </w:tcPr>
          <w:p>
            <w:pPr>
              <w:ind w:left="140"/>
              <w:spacing w:after="0"/>
              <w:rPr>
                <w:sz w:val="20"/>
                <w:szCs w:val="20"/>
                <w:color w:val="auto"/>
              </w:rPr>
            </w:pPr>
            <w:r>
              <w:rPr>
                <w:rFonts w:ascii="Arial" w:cs="Arial" w:eastAsia="Arial" w:hAnsi="Arial"/>
                <w:sz w:val="18"/>
                <w:szCs w:val="18"/>
                <w:color w:val="auto"/>
              </w:rPr>
              <w:t>Net loss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(1,667)</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(7,377)</w:t>
            </w: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Overview—</w:t>
      </w:r>
      <w:r>
        <w:rPr>
          <w:rFonts w:ascii="Arial" w:cs="Arial" w:eastAsia="Arial" w:hAnsi="Arial"/>
          <w:sz w:val="18"/>
          <w:szCs w:val="18"/>
          <w:color w:val="auto"/>
        </w:rPr>
        <w:t>Our financial results for the three months ended September 30, 2023 compared to the three months ended September 30, 2022 reflect the</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 of seven de novo centers which increased our procedure rooms by 14.</w:t>
      </w:r>
    </w:p>
    <w:p>
      <w:pPr>
        <w:spacing w:after="0" w:line="1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i w:val="1"/>
          <w:iCs w:val="1"/>
          <w:color w:val="auto"/>
        </w:rPr>
        <w:t>Revenue—</w:t>
      </w:r>
      <w:r>
        <w:rPr>
          <w:rFonts w:ascii="Arial" w:cs="Arial" w:eastAsia="Arial" w:hAnsi="Arial"/>
          <w:sz w:val="18"/>
          <w:szCs w:val="18"/>
          <w:color w:val="auto"/>
        </w:rPr>
        <w:t>Our revenue increased $7.9 million, or 20.3%, compared to the same period in 2022. The increase is the result of adding seven de novo centers</w:t>
      </w:r>
      <w:r>
        <w:rPr>
          <w:rFonts w:ascii="Arial" w:cs="Arial" w:eastAsia="Arial" w:hAnsi="Arial"/>
          <w:sz w:val="18"/>
          <w:szCs w:val="18"/>
          <w:i w:val="1"/>
          <w:iCs w:val="1"/>
          <w:color w:val="auto"/>
        </w:rPr>
        <w:t xml:space="preserve"> </w:t>
      </w:r>
      <w:r>
        <w:rPr>
          <w:rFonts w:ascii="Arial" w:cs="Arial" w:eastAsia="Arial" w:hAnsi="Arial"/>
          <w:sz w:val="18"/>
          <w:szCs w:val="18"/>
          <w:color w:val="auto"/>
        </w:rPr>
        <w:t>which expanded our footprint from 20 centers to 27 centers and our number of procedure rooms from 43 to 57 as of September 30, 2023 and 5.3% same-center revenue growth.</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Cost of Service—</w:t>
      </w:r>
      <w:r>
        <w:rPr>
          <w:rFonts w:ascii="Arial" w:cs="Arial" w:eastAsia="Arial" w:hAnsi="Arial"/>
          <w:sz w:val="18"/>
          <w:szCs w:val="18"/>
          <w:color w:val="auto"/>
        </w:rPr>
        <w:t>Our cost of services increased $3.3 million, or 22.1%, compared to the three months ended September 30, 2022. This increase is</w:t>
      </w:r>
      <w:r>
        <w:rPr>
          <w:rFonts w:ascii="Arial" w:cs="Arial" w:eastAsia="Arial" w:hAnsi="Arial"/>
          <w:sz w:val="18"/>
          <w:szCs w:val="18"/>
          <w:i w:val="1"/>
          <w:iCs w:val="1"/>
          <w:color w:val="auto"/>
        </w:rPr>
        <w:t xml:space="preserve"> </w:t>
      </w:r>
      <w:r>
        <w:rPr>
          <w:rFonts w:ascii="Arial" w:cs="Arial" w:eastAsia="Arial" w:hAnsi="Arial"/>
          <w:sz w:val="18"/>
          <w:szCs w:val="18"/>
          <w:color w:val="auto"/>
        </w:rPr>
        <w:t>attributable to opening seven centers since the 2022 period. Cost of service was 38.8% and 38.3% as a percentage of revenue for the three months ended September 30, 2023 and 2022, respectively. Cost of service as a percent of revenue was in line year over year.</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Selling, General and Administrative Expenses—</w:t>
      </w:r>
      <w:r>
        <w:rPr>
          <w:rFonts w:ascii="Arial" w:cs="Arial" w:eastAsia="Arial" w:hAnsi="Arial"/>
          <w:sz w:val="18"/>
          <w:szCs w:val="18"/>
          <w:color w:val="auto"/>
        </w:rPr>
        <w:t>Selling, general and administrative expenses increased $1.6 million, or 7.0%,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2023 compared to the same period in 2022. This increase is related to additional expenses we incurred for marketing and corporate support as we grow our center count through de novo expansion and providing support for our centers, offset by a decrease in our equity-based compensation expense. We expect our marketing and corporate support costs to continue to increase as we open de novo centers and expand the support we provide to our centers. Selling, general and administrative expenses as a percent of revenue was at 53.5% and 60.2% for the three months ended September 30, 2023 and 2022, respectively.</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Selling expenses consist of advertising costs for social, digital and traditional marketing and sales and marketing personnel. Total selling expenses were approximately $9.4 million and $7.6 million for the three months ended September 30, 2023 and 2022, respectively. Our customer acquisition costs were approximately $2,750 and $2,650 per customer in the three months ended September 30, 2023 and 2022, respectively. We intend to continue investing in our sales and marketing capabilities as we add new centers and further increase our brand awareness, which will also drive further same-center growth. As a result, we expect these costs to increase on an absolute dollar basis. Additionally, selling expenses as a percentage of revenue may fluctuate from quarter to quarter based on the timing and scope of our initiatives and the related impact to our revenue.</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General and administrative expenses include employee-related expenses, including salaries and related costs (excluding physician and clinical cost included in cost of service), equity-based compensation, technology, operations, finance, legal, corporate office rent and human resources. General and administrative expenses were approximately $15.6 million and $15.8 million for the three months ended September 30, 2023 and 2022, respectively. We expect to continue to expand our corporate team to support the opening of new centers and growth at existing facilities.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Depreciation and amortization increased to approximately $2.6 million for the three months ended September 30, 2023</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$2.0 million for the same period in 2022. This increase is the result of having seven additional de novo centers during the three months ended September 30, 2023 as compared to the 2022 period.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Loss on disposal of long-lived assets—</w:t>
      </w:r>
      <w:r>
        <w:rPr>
          <w:rFonts w:ascii="Arial" w:cs="Arial" w:eastAsia="Arial" w:hAnsi="Arial"/>
          <w:sz w:val="18"/>
          <w:szCs w:val="18"/>
          <w:color w:val="auto"/>
        </w:rPr>
        <w:t>We recognized a $4.0 thousand loss related to the disposal of previous long-lived assets as a result of relocations to</w:t>
      </w:r>
      <w:r>
        <w:rPr>
          <w:rFonts w:ascii="Arial" w:cs="Arial" w:eastAsia="Arial" w:hAnsi="Arial"/>
          <w:sz w:val="18"/>
          <w:szCs w:val="18"/>
          <w:i w:val="1"/>
          <w:iCs w:val="1"/>
          <w:color w:val="auto"/>
        </w:rPr>
        <w:t xml:space="preserve"> </w:t>
      </w:r>
      <w:r>
        <w:rPr>
          <w:rFonts w:ascii="Arial" w:cs="Arial" w:eastAsia="Arial" w:hAnsi="Arial"/>
          <w:sz w:val="18"/>
          <w:szCs w:val="18"/>
          <w:color w:val="auto"/>
        </w:rPr>
        <w:t>expand certain centers.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Expense, net—</w:t>
      </w:r>
      <w:r>
        <w:rPr>
          <w:rFonts w:ascii="Arial" w:cs="Arial" w:eastAsia="Arial" w:hAnsi="Arial"/>
          <w:sz w:val="16"/>
          <w:szCs w:val="16"/>
          <w:color w:val="auto"/>
        </w:rPr>
        <w:t>Interest expense was flat at $1.8 million and $1.8 million for the three months ended September 30, 2023 and 2022, respectively.</w:t>
      </w:r>
    </w:p>
    <w:p>
      <w:pPr>
        <w:spacing w:after="0" w:line="2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Income Tax Expense/(Benefit)— </w:t>
      </w:r>
      <w:r>
        <w:rPr>
          <w:rFonts w:ascii="Arial" w:cs="Arial" w:eastAsia="Arial" w:hAnsi="Arial"/>
          <w:sz w:val="18"/>
          <w:szCs w:val="18"/>
          <w:color w:val="auto"/>
        </w:rPr>
        <w:t>Our effective tax rate is (89.2)% and (134.6)% for the three months ended September 30, 2023 and 2022, respectively. The</w:t>
      </w:r>
      <w:r>
        <w:rPr>
          <w:rFonts w:ascii="Arial" w:cs="Arial" w:eastAsia="Arial" w:hAnsi="Arial"/>
          <w:sz w:val="18"/>
          <w:szCs w:val="18"/>
          <w:i w:val="1"/>
          <w:iCs w:val="1"/>
          <w:color w:val="auto"/>
        </w:rPr>
        <w:t xml:space="preserve"> </w:t>
      </w:r>
      <w:r>
        <w:rPr>
          <w:rFonts w:ascii="Arial" w:cs="Arial" w:eastAsia="Arial" w:hAnsi="Arial"/>
          <w:sz w:val="18"/>
          <w:szCs w:val="18"/>
          <w:color w:val="auto"/>
        </w:rPr>
        <w:t>main driver of the difference between the effective and statutory rate is non-deductible executive compensation under Section 162(m) of the Internal Revenue Code.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2023 Compared to Nine Months Ended September 30, 2022</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and notes summarize certain results from the statements of operations for each of the periods indicated and the changes between periods. The table also show the percentage relationship to revenue for the periods indicated:</w:t>
      </w:r>
    </w:p>
    <w:p>
      <w:pPr>
        <w:spacing w:after="0" w:line="192" w:lineRule="exact"/>
        <w:rPr>
          <w:sz w:val="20"/>
          <w:szCs w:val="20"/>
          <w:color w:val="auto"/>
        </w:rPr>
      </w:pPr>
    </w:p>
    <w:p>
      <w:pPr>
        <w:jc w:val="center"/>
        <w:ind w:left="6600"/>
        <w:spacing w:after="0"/>
        <w:rPr>
          <w:sz w:val="20"/>
          <w:szCs w:val="20"/>
          <w:color w:val="auto"/>
        </w:rPr>
      </w:pPr>
      <w:r>
        <w:rPr>
          <w:rFonts w:ascii="Arial" w:cs="Arial" w:eastAsia="Arial" w:hAnsi="Arial"/>
          <w:sz w:val="14"/>
          <w:szCs w:val="14"/>
          <w:b w:val="1"/>
          <w:bCs w:val="1"/>
          <w:color w:val="auto"/>
        </w:rPr>
        <w:t>Nine Months Ended</w:t>
      </w:r>
    </w:p>
    <w:p>
      <w:pPr>
        <w:jc w:val="center"/>
        <w:ind w:left="6600"/>
        <w:spacing w:after="0"/>
        <w:rPr>
          <w:sz w:val="20"/>
          <w:szCs w:val="20"/>
          <w:color w:val="auto"/>
        </w:rPr>
      </w:pPr>
      <w:r>
        <w:rPr>
          <w:rFonts w:ascii="Arial" w:cs="Arial" w:eastAsia="Arial" w:hAnsi="Arial"/>
          <w:sz w:val="14"/>
          <w:szCs w:val="14"/>
          <w:b w:val="1"/>
          <w:bCs w:val="1"/>
          <w:color w:val="auto"/>
        </w:rPr>
        <w:t>September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6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2023</w:t>
            </w:r>
          </w:p>
        </w:tc>
        <w:tc>
          <w:tcPr>
            <w:tcW w:w="9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gridSpan w:val="3"/>
          </w:tcPr>
          <w:p>
            <w:pPr>
              <w:jc w:val="right"/>
              <w:ind w:right="915"/>
              <w:spacing w:after="0"/>
              <w:rPr>
                <w:sz w:val="20"/>
                <w:szCs w:val="20"/>
                <w:color w:val="auto"/>
              </w:rPr>
            </w:pPr>
            <w:r>
              <w:rPr>
                <w:rFonts w:ascii="Arial" w:cs="Arial" w:eastAsia="Arial" w:hAnsi="Arial"/>
                <w:sz w:val="14"/>
                <w:szCs w:val="14"/>
                <w:b w:val="1"/>
                <w:bCs w:val="1"/>
                <w:color w:val="auto"/>
                <w:w w:val="83"/>
              </w:rPr>
              <w:t>2022</w:t>
            </w:r>
          </w:p>
        </w:tc>
        <w:tc>
          <w:tcPr>
            <w:tcW w:w="0" w:type="dxa"/>
            <w:vAlign w:val="bottom"/>
          </w:tcPr>
          <w:p>
            <w:pPr>
              <w:spacing w:after="0"/>
              <w:rPr>
                <w:sz w:val="1"/>
                <w:szCs w:val="1"/>
                <w:color w:val="auto"/>
              </w:rPr>
            </w:pPr>
          </w:p>
        </w:tc>
      </w:tr>
      <w:tr>
        <w:trPr>
          <w:trHeight w:val="135"/>
        </w:trPr>
        <w:tc>
          <w:tcPr>
            <w:tcW w:w="6620" w:type="dxa"/>
            <w:vAlign w:val="bottom"/>
            <w:vMerge w:val="restart"/>
          </w:tcPr>
          <w:p>
            <w:pPr>
              <w:ind w:left="20"/>
              <w:spacing w:after="0"/>
              <w:rPr>
                <w:sz w:val="20"/>
                <w:szCs w:val="20"/>
                <w:color w:val="auto"/>
              </w:rPr>
            </w:pPr>
            <w:r>
              <w:rPr>
                <w:rFonts w:ascii="Arial" w:cs="Arial" w:eastAsia="Arial" w:hAnsi="Arial"/>
                <w:sz w:val="14"/>
                <w:szCs w:val="14"/>
                <w:color w:val="auto"/>
              </w:rPr>
              <w:t>($ in thousands)</w:t>
            </w:r>
          </w:p>
        </w:tc>
        <w:tc>
          <w:tcPr>
            <w:tcW w:w="180" w:type="dxa"/>
            <w:vAlign w:val="bottom"/>
          </w:tcPr>
          <w:p>
            <w:pPr>
              <w:spacing w:after="0"/>
              <w:rPr>
                <w:sz w:val="11"/>
                <w:szCs w:val="11"/>
                <w:color w:val="auto"/>
              </w:rPr>
            </w:pPr>
          </w:p>
        </w:tc>
        <w:tc>
          <w:tcPr>
            <w:tcW w:w="1160" w:type="dxa"/>
            <w:vAlign w:val="bottom"/>
            <w:gridSpan w:val="3"/>
            <w:vMerge w:val="restart"/>
          </w:tcPr>
          <w:p>
            <w:pPr>
              <w:jc w:val="right"/>
              <w:ind w:right="580"/>
              <w:spacing w:after="0"/>
              <w:rPr>
                <w:sz w:val="20"/>
                <w:szCs w:val="20"/>
                <w:color w:val="auto"/>
              </w:rPr>
            </w:pPr>
            <w:r>
              <w:rPr>
                <w:rFonts w:ascii="Arial" w:cs="Arial" w:eastAsia="Arial" w:hAnsi="Arial"/>
                <w:sz w:val="14"/>
                <w:szCs w:val="14"/>
                <w:b w:val="1"/>
                <w:bCs w:val="1"/>
                <w:color w:val="auto"/>
              </w:rPr>
              <w:t>Amount</w:t>
            </w:r>
          </w:p>
        </w:tc>
        <w:tc>
          <w:tcPr>
            <w:tcW w:w="920" w:type="dxa"/>
            <w:vAlign w:val="bottom"/>
          </w:tcPr>
          <w:p>
            <w:pPr>
              <w:jc w:val="center"/>
              <w:ind w:right="173"/>
              <w:spacing w:after="0" w:line="135"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ind w:right="355"/>
              <w:spacing w:after="0" w:line="135"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6"/>
        </w:trPr>
        <w:tc>
          <w:tcPr>
            <w:tcW w:w="66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3"/>
            <w:vMerge w:val="continue"/>
          </w:tcPr>
          <w:p>
            <w:pPr>
              <w:spacing w:after="0"/>
              <w:rPr>
                <w:sz w:val="17"/>
                <w:szCs w:val="17"/>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Revenue</w:t>
            </w:r>
          </w:p>
        </w:tc>
        <w:tc>
          <w:tcPr>
            <w:tcW w:w="18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235"/>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230"/>
        </w:trPr>
        <w:tc>
          <w:tcPr>
            <w:tcW w:w="6620" w:type="dxa"/>
            <w:vAlign w:val="bottom"/>
            <w:tcBorders>
              <w:top w:val="single" w:sz="8" w:color="D2EDFE"/>
            </w:tcBorders>
            <w:shd w:val="clear" w:color="auto" w:fill="D2EDFE"/>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tcBorders>
              <w:top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148,309</w:t>
            </w:r>
          </w:p>
        </w:tc>
        <w:tc>
          <w:tcPr>
            <w:tcW w:w="80" w:type="dxa"/>
            <w:vAlign w:val="bottom"/>
            <w:tcBorders>
              <w:top w:val="single" w:sz="8" w:color="D2EDFE"/>
            </w:tcBorders>
            <w:shd w:val="clear" w:color="auto" w:fill="D2EDFE"/>
          </w:tcPr>
          <w:p>
            <w:pPr>
              <w:spacing w:after="0"/>
              <w:rPr>
                <w:sz w:val="19"/>
                <w:szCs w:val="19"/>
                <w:color w:val="auto"/>
              </w:rPr>
            </w:pPr>
          </w:p>
        </w:tc>
        <w:tc>
          <w:tcPr>
            <w:tcW w:w="240" w:type="dxa"/>
            <w:vAlign w:val="bottom"/>
            <w:tcBorders>
              <w:top w:val="single" w:sz="8" w:color="auto"/>
            </w:tcBorders>
            <w:shd w:val="clear" w:color="auto" w:fill="D2EDFE"/>
          </w:tcPr>
          <w:p>
            <w:pPr>
              <w:spacing w:after="0"/>
              <w:rPr>
                <w:sz w:val="19"/>
                <w:szCs w:val="19"/>
                <w:color w:val="auto"/>
              </w:rPr>
            </w:pPr>
          </w:p>
        </w:tc>
        <w:tc>
          <w:tcPr>
            <w:tcW w:w="920" w:type="dxa"/>
            <w:vAlign w:val="bottom"/>
            <w:tcBorders>
              <w:top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D2EDFE"/>
            </w:tcBorders>
            <w:shd w:val="clear" w:color="auto" w:fill="D2EDFE"/>
          </w:tcPr>
          <w:p>
            <w:pPr>
              <w:spacing w:after="0"/>
              <w:rPr>
                <w:sz w:val="19"/>
                <w:szCs w:val="19"/>
                <w:color w:val="auto"/>
              </w:rPr>
            </w:pPr>
          </w:p>
        </w:tc>
        <w:tc>
          <w:tcPr>
            <w:tcW w:w="180" w:type="dxa"/>
            <w:vAlign w:val="bottom"/>
            <w:tcBorders>
              <w:top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128,090</w:t>
            </w:r>
          </w:p>
        </w:tc>
        <w:tc>
          <w:tcPr>
            <w:tcW w:w="20" w:type="dxa"/>
            <w:vAlign w:val="bottom"/>
            <w:tcBorders>
              <w:top w:val="single" w:sz="8" w:color="auto"/>
            </w:tcBorders>
            <w:shd w:val="clear" w:color="auto" w:fill="D2EDFE"/>
          </w:tcPr>
          <w:p>
            <w:pPr>
              <w:spacing w:after="0"/>
              <w:rPr>
                <w:sz w:val="19"/>
                <w:szCs w:val="19"/>
                <w:color w:val="auto"/>
              </w:rPr>
            </w:pPr>
          </w:p>
        </w:tc>
        <w:tc>
          <w:tcPr>
            <w:tcW w:w="100" w:type="dxa"/>
            <w:vAlign w:val="bottom"/>
            <w:tcBorders>
              <w:top w:val="single" w:sz="8" w:color="D2EDFE"/>
            </w:tcBorders>
            <w:shd w:val="clear" w:color="auto" w:fill="D2EDFE"/>
          </w:tcPr>
          <w:p>
            <w:pPr>
              <w:spacing w:after="0"/>
              <w:rPr>
                <w:sz w:val="19"/>
                <w:szCs w:val="19"/>
                <w:color w:val="auto"/>
              </w:rPr>
            </w:pPr>
          </w:p>
        </w:tc>
        <w:tc>
          <w:tcPr>
            <w:tcW w:w="1160" w:type="dxa"/>
            <w:vAlign w:val="bottom"/>
            <w:tcBorders>
              <w:top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shd w:val="clear" w:color="auto" w:fill="D2EDFE"/>
          </w:tcPr>
          <w:p>
            <w:pPr>
              <w:ind w:left="140"/>
              <w:spacing w:after="0"/>
              <w:rPr>
                <w:sz w:val="20"/>
                <w:szCs w:val="20"/>
                <w:color w:val="auto"/>
              </w:rPr>
            </w:pPr>
            <w:r>
              <w:rPr>
                <w:rFonts w:ascii="Arial" w:cs="Arial" w:eastAsia="Arial" w:hAnsi="Arial"/>
                <w:sz w:val="18"/>
                <w:szCs w:val="18"/>
                <w:color w:val="auto"/>
              </w:rPr>
              <w:t>Cost of service</w:t>
            </w:r>
          </w:p>
        </w:tc>
        <w:tc>
          <w:tcPr>
            <w:tcW w:w="180" w:type="dxa"/>
            <w:vAlign w:val="bottom"/>
            <w:shd w:val="clear" w:color="auto" w:fill="D2EDFE"/>
          </w:tcPr>
          <w:p>
            <w:pPr>
              <w:spacing w:after="0"/>
              <w:rPr>
                <w:sz w:val="19"/>
                <w:szCs w:val="19"/>
                <w:color w:val="auto"/>
              </w:rPr>
            </w:pPr>
          </w:p>
        </w:tc>
        <w:tc>
          <w:tcPr>
            <w:tcW w:w="8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56,144</w:t>
            </w:r>
          </w:p>
        </w:tc>
        <w:tc>
          <w:tcPr>
            <w:tcW w:w="80" w:type="dxa"/>
            <w:vAlign w:val="bottom"/>
            <w:shd w:val="clear" w:color="auto" w:fill="D2EDFE"/>
          </w:tcPr>
          <w:p>
            <w:pPr>
              <w:spacing w:after="0"/>
              <w:rPr>
                <w:sz w:val="19"/>
                <w:szCs w:val="19"/>
                <w:color w:val="auto"/>
              </w:rPr>
            </w:pPr>
          </w:p>
        </w:tc>
        <w:tc>
          <w:tcPr>
            <w:tcW w:w="240" w:type="dxa"/>
            <w:vAlign w:val="bottom"/>
            <w:shd w:val="clear" w:color="auto" w:fill="D2EDFE"/>
          </w:tcPr>
          <w:p>
            <w:pPr>
              <w:spacing w:after="0"/>
              <w:rPr>
                <w:sz w:val="19"/>
                <w:szCs w:val="19"/>
                <w:color w:val="auto"/>
              </w:rPr>
            </w:pPr>
          </w:p>
        </w:tc>
        <w:tc>
          <w:tcPr>
            <w:tcW w:w="920" w:type="dxa"/>
            <w:vAlign w:val="bottom"/>
            <w:shd w:val="clear" w:color="auto" w:fill="D2EDFE"/>
          </w:tcPr>
          <w:p>
            <w:pPr>
              <w:jc w:val="right"/>
              <w:spacing w:after="0"/>
              <w:rPr>
                <w:sz w:val="20"/>
                <w:szCs w:val="20"/>
                <w:color w:val="auto"/>
              </w:rPr>
            </w:pPr>
            <w:r>
              <w:rPr>
                <w:rFonts w:ascii="Arial" w:cs="Arial" w:eastAsia="Arial" w:hAnsi="Arial"/>
                <w:sz w:val="18"/>
                <w:szCs w:val="18"/>
                <w:color w:val="auto"/>
              </w:rPr>
              <w:t>37.9 %</w:t>
            </w:r>
          </w:p>
        </w:tc>
        <w:tc>
          <w:tcPr>
            <w:tcW w:w="100" w:type="dxa"/>
            <w:vAlign w:val="bottom"/>
            <w:shd w:val="clear" w:color="auto" w:fill="D2EDFE"/>
          </w:tcPr>
          <w:p>
            <w:pPr>
              <w:spacing w:after="0"/>
              <w:rPr>
                <w:sz w:val="19"/>
                <w:szCs w:val="19"/>
                <w:color w:val="auto"/>
              </w:rPr>
            </w:pPr>
          </w:p>
        </w:tc>
        <w:tc>
          <w:tcPr>
            <w:tcW w:w="180" w:type="dxa"/>
            <w:vAlign w:val="bottom"/>
            <w:shd w:val="clear" w:color="auto" w:fill="D2EDFE"/>
          </w:tcPr>
          <w:p>
            <w:pPr>
              <w:spacing w:after="0"/>
              <w:rPr>
                <w:sz w:val="19"/>
                <w:szCs w:val="19"/>
                <w:color w:val="auto"/>
              </w:rPr>
            </w:pPr>
          </w:p>
        </w:tc>
        <w:tc>
          <w:tcPr>
            <w:tcW w:w="8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47,042</w:t>
            </w:r>
          </w:p>
        </w:tc>
        <w:tc>
          <w:tcPr>
            <w:tcW w:w="1280" w:type="dxa"/>
            <w:vAlign w:val="bottom"/>
            <w:gridSpan w:val="3"/>
            <w:shd w:val="clear" w:color="auto" w:fill="D2EDFE"/>
          </w:tcPr>
          <w:p>
            <w:pPr>
              <w:jc w:val="right"/>
              <w:spacing w:after="0"/>
              <w:rPr>
                <w:sz w:val="20"/>
                <w:szCs w:val="20"/>
                <w:color w:val="auto"/>
              </w:rPr>
            </w:pPr>
            <w:r>
              <w:rPr>
                <w:rFonts w:ascii="Arial" w:cs="Arial" w:eastAsia="Arial" w:hAnsi="Arial"/>
                <w:sz w:val="18"/>
                <w:szCs w:val="18"/>
                <w:color w:val="auto"/>
              </w:rPr>
              <w:t>36.7 %</w:t>
            </w:r>
          </w:p>
        </w:tc>
        <w:tc>
          <w:tcPr>
            <w:tcW w:w="0" w:type="dxa"/>
            <w:vAlign w:val="bottom"/>
          </w:tcPr>
          <w:p>
            <w:pPr>
              <w:spacing w:after="0"/>
              <w:rPr>
                <w:sz w:val="1"/>
                <w:szCs w:val="1"/>
                <w:color w:val="auto"/>
              </w:rPr>
            </w:pPr>
          </w:p>
        </w:tc>
      </w:tr>
      <w:tr>
        <w:trPr>
          <w:trHeight w:val="230"/>
        </w:trPr>
        <w:tc>
          <w:tcPr>
            <w:tcW w:w="662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76,805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51.8 %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73,574</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57.4 %</w:t>
            </w:r>
          </w:p>
        </w:tc>
        <w:tc>
          <w:tcPr>
            <w:tcW w:w="0" w:type="dxa"/>
            <w:vAlign w:val="bottom"/>
          </w:tcPr>
          <w:p>
            <w:pPr>
              <w:spacing w:after="0"/>
              <w:rPr>
                <w:sz w:val="1"/>
                <w:szCs w:val="1"/>
                <w:color w:val="auto"/>
              </w:rPr>
            </w:pPr>
          </w:p>
        </w:tc>
      </w:tr>
      <w:tr>
        <w:trPr>
          <w:trHeight w:val="230"/>
        </w:trPr>
        <w:tc>
          <w:tcPr>
            <w:tcW w:w="6620" w:type="dxa"/>
            <w:vAlign w:val="bottom"/>
            <w:shd w:val="clear" w:color="auto" w:fill="D2EDFE"/>
          </w:tcPr>
          <w:p>
            <w:pPr>
              <w:ind w:left="14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D2EDFE"/>
          </w:tcPr>
          <w:p>
            <w:pPr>
              <w:spacing w:after="0"/>
              <w:rPr>
                <w:sz w:val="19"/>
                <w:szCs w:val="19"/>
                <w:color w:val="auto"/>
              </w:rPr>
            </w:pPr>
          </w:p>
        </w:tc>
        <w:tc>
          <w:tcPr>
            <w:tcW w:w="8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7,479</w:t>
            </w:r>
          </w:p>
        </w:tc>
        <w:tc>
          <w:tcPr>
            <w:tcW w:w="80" w:type="dxa"/>
            <w:vAlign w:val="bottom"/>
            <w:shd w:val="clear" w:color="auto" w:fill="D2EDFE"/>
          </w:tcPr>
          <w:p>
            <w:pPr>
              <w:spacing w:after="0"/>
              <w:rPr>
                <w:sz w:val="19"/>
                <w:szCs w:val="19"/>
                <w:color w:val="auto"/>
              </w:rPr>
            </w:pPr>
          </w:p>
        </w:tc>
        <w:tc>
          <w:tcPr>
            <w:tcW w:w="240" w:type="dxa"/>
            <w:vAlign w:val="bottom"/>
            <w:shd w:val="clear" w:color="auto" w:fill="D2EDFE"/>
          </w:tcPr>
          <w:p>
            <w:pPr>
              <w:spacing w:after="0"/>
              <w:rPr>
                <w:sz w:val="19"/>
                <w:szCs w:val="19"/>
                <w:color w:val="auto"/>
              </w:rPr>
            </w:pPr>
          </w:p>
        </w:tc>
        <w:tc>
          <w:tcPr>
            <w:tcW w:w="920" w:type="dxa"/>
            <w:vAlign w:val="bottom"/>
            <w:shd w:val="clear" w:color="auto" w:fill="D2EDFE"/>
          </w:tcPr>
          <w:p>
            <w:pPr>
              <w:jc w:val="right"/>
              <w:spacing w:after="0"/>
              <w:rPr>
                <w:sz w:val="20"/>
                <w:szCs w:val="20"/>
                <w:color w:val="auto"/>
              </w:rPr>
            </w:pPr>
            <w:r>
              <w:rPr>
                <w:rFonts w:ascii="Arial" w:cs="Arial" w:eastAsia="Arial" w:hAnsi="Arial"/>
                <w:sz w:val="18"/>
                <w:szCs w:val="18"/>
                <w:color w:val="auto"/>
              </w:rPr>
              <w:t>5.0 %</w:t>
            </w:r>
          </w:p>
        </w:tc>
        <w:tc>
          <w:tcPr>
            <w:tcW w:w="100" w:type="dxa"/>
            <w:vAlign w:val="bottom"/>
            <w:shd w:val="clear" w:color="auto" w:fill="D2EDFE"/>
          </w:tcPr>
          <w:p>
            <w:pPr>
              <w:spacing w:after="0"/>
              <w:rPr>
                <w:sz w:val="19"/>
                <w:szCs w:val="19"/>
                <w:color w:val="auto"/>
              </w:rPr>
            </w:pPr>
          </w:p>
        </w:tc>
        <w:tc>
          <w:tcPr>
            <w:tcW w:w="180" w:type="dxa"/>
            <w:vAlign w:val="bottom"/>
            <w:shd w:val="clear" w:color="auto" w:fill="D2EDFE"/>
          </w:tcPr>
          <w:p>
            <w:pPr>
              <w:spacing w:after="0"/>
              <w:rPr>
                <w:sz w:val="19"/>
                <w:szCs w:val="19"/>
                <w:color w:val="auto"/>
              </w:rPr>
            </w:pPr>
          </w:p>
        </w:tc>
        <w:tc>
          <w:tcPr>
            <w:tcW w:w="8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5,842</w:t>
            </w:r>
          </w:p>
        </w:tc>
        <w:tc>
          <w:tcPr>
            <w:tcW w:w="1280" w:type="dxa"/>
            <w:vAlign w:val="bottom"/>
            <w:gridSpan w:val="3"/>
            <w:shd w:val="clear" w:color="auto" w:fill="D2EDFE"/>
          </w:tcPr>
          <w:p>
            <w:pPr>
              <w:jc w:val="right"/>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29"/>
        </w:trPr>
        <w:tc>
          <w:tcPr>
            <w:tcW w:w="6620" w:type="dxa"/>
            <w:vAlign w:val="bottom"/>
          </w:tcPr>
          <w:p>
            <w:pPr>
              <w:ind w:left="140"/>
              <w:spacing w:after="0"/>
              <w:rPr>
                <w:sz w:val="20"/>
                <w:szCs w:val="20"/>
                <w:color w:val="auto"/>
              </w:rPr>
            </w:pPr>
            <w:r>
              <w:rPr>
                <w:rFonts w:ascii="Arial" w:cs="Arial" w:eastAsia="Arial" w:hAnsi="Arial"/>
                <w:sz w:val="18"/>
                <w:szCs w:val="18"/>
                <w:color w:val="auto"/>
              </w:rPr>
              <w:t>(Gain)/loss on disposal of long-lived assets</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215</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23"/>
        </w:trPr>
        <w:tc>
          <w:tcPr>
            <w:tcW w:w="6620" w:type="dxa"/>
            <w:vAlign w:val="bottom"/>
            <w:tcBorders>
              <w:top w:val="single" w:sz="8" w:color="D2EDFE"/>
            </w:tcBorders>
            <w:shd w:val="clear" w:color="auto" w:fill="D2EDFE"/>
          </w:tcPr>
          <w:p>
            <w:pPr>
              <w:ind w:left="14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bottom w:val="single" w:sz="8" w:color="auto"/>
            </w:tcBorders>
            <w:shd w:val="clear" w:color="auto" w:fill="D2EDFE"/>
          </w:tcPr>
          <w:p>
            <w:pPr>
              <w:spacing w:after="0"/>
              <w:rPr>
                <w:sz w:val="19"/>
                <w:szCs w:val="19"/>
                <w:color w:val="auto"/>
              </w:rPr>
            </w:pPr>
          </w:p>
        </w:tc>
        <w:tc>
          <w:tcPr>
            <w:tcW w:w="840" w:type="dxa"/>
            <w:vAlign w:val="bottom"/>
            <w:tcBorders>
              <w:top w:val="single" w:sz="8" w:color="auto"/>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140,230</w:t>
            </w:r>
          </w:p>
        </w:tc>
        <w:tc>
          <w:tcPr>
            <w:tcW w:w="80" w:type="dxa"/>
            <w:vAlign w:val="bottom"/>
            <w:tcBorders>
              <w:top w:val="single" w:sz="8" w:color="D2EDFE"/>
            </w:tcBorders>
            <w:shd w:val="clear" w:color="auto" w:fill="D2EDFE"/>
          </w:tcPr>
          <w:p>
            <w:pPr>
              <w:spacing w:after="0"/>
              <w:rPr>
                <w:sz w:val="19"/>
                <w:szCs w:val="19"/>
                <w:color w:val="auto"/>
              </w:rPr>
            </w:pPr>
          </w:p>
        </w:tc>
        <w:tc>
          <w:tcPr>
            <w:tcW w:w="240" w:type="dxa"/>
            <w:vAlign w:val="bottom"/>
            <w:tcBorders>
              <w:top w:val="single" w:sz="8" w:color="auto"/>
              <w:bottom w:val="single" w:sz="8" w:color="auto"/>
            </w:tcBorders>
            <w:shd w:val="clear" w:color="auto" w:fill="D2EDFE"/>
          </w:tcPr>
          <w:p>
            <w:pPr>
              <w:spacing w:after="0"/>
              <w:rPr>
                <w:sz w:val="19"/>
                <w:szCs w:val="19"/>
                <w:color w:val="auto"/>
              </w:rPr>
            </w:pPr>
          </w:p>
        </w:tc>
        <w:tc>
          <w:tcPr>
            <w:tcW w:w="920" w:type="dxa"/>
            <w:vAlign w:val="bottom"/>
            <w:tcBorders>
              <w:top w:val="single" w:sz="8" w:color="auto"/>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94.6 %</w:t>
            </w:r>
          </w:p>
        </w:tc>
        <w:tc>
          <w:tcPr>
            <w:tcW w:w="100" w:type="dxa"/>
            <w:vAlign w:val="bottom"/>
            <w:tcBorders>
              <w:top w:val="single" w:sz="8" w:color="D2EDFE"/>
            </w:tcBorders>
            <w:shd w:val="clear" w:color="auto" w:fill="D2EDFE"/>
          </w:tcPr>
          <w:p>
            <w:pPr>
              <w:spacing w:after="0"/>
              <w:rPr>
                <w:sz w:val="19"/>
                <w:szCs w:val="19"/>
                <w:color w:val="auto"/>
              </w:rPr>
            </w:pPr>
          </w:p>
        </w:tc>
        <w:tc>
          <w:tcPr>
            <w:tcW w:w="180" w:type="dxa"/>
            <w:vAlign w:val="bottom"/>
            <w:tcBorders>
              <w:top w:val="single" w:sz="8" w:color="auto"/>
              <w:bottom w:val="single" w:sz="8" w:color="auto"/>
            </w:tcBorders>
            <w:shd w:val="clear" w:color="auto" w:fill="D2EDFE"/>
          </w:tcPr>
          <w:p>
            <w:pPr>
              <w:spacing w:after="0"/>
              <w:rPr>
                <w:sz w:val="19"/>
                <w:szCs w:val="19"/>
                <w:color w:val="auto"/>
              </w:rPr>
            </w:pPr>
          </w:p>
        </w:tc>
        <w:tc>
          <w:tcPr>
            <w:tcW w:w="800" w:type="dxa"/>
            <w:vAlign w:val="bottom"/>
            <w:tcBorders>
              <w:top w:val="single" w:sz="8" w:color="auto"/>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126,673</w:t>
            </w:r>
          </w:p>
        </w:tc>
        <w:tc>
          <w:tcPr>
            <w:tcW w:w="20" w:type="dxa"/>
            <w:vAlign w:val="bottom"/>
            <w:tcBorders>
              <w:top w:val="single" w:sz="8" w:color="auto"/>
              <w:bottom w:val="single" w:sz="8" w:color="auto"/>
            </w:tcBorders>
            <w:shd w:val="clear" w:color="auto" w:fill="D2EDFE"/>
          </w:tcPr>
          <w:p>
            <w:pPr>
              <w:spacing w:after="0"/>
              <w:rPr>
                <w:sz w:val="19"/>
                <w:szCs w:val="19"/>
                <w:color w:val="auto"/>
              </w:rPr>
            </w:pPr>
          </w:p>
        </w:tc>
        <w:tc>
          <w:tcPr>
            <w:tcW w:w="100" w:type="dxa"/>
            <w:vAlign w:val="bottom"/>
            <w:tcBorders>
              <w:top w:val="single" w:sz="8" w:color="D2EDFE"/>
            </w:tcBorders>
            <w:shd w:val="clear" w:color="auto" w:fill="D2EDFE"/>
          </w:tcPr>
          <w:p>
            <w:pPr>
              <w:spacing w:after="0"/>
              <w:rPr>
                <w:sz w:val="19"/>
                <w:szCs w:val="19"/>
                <w:color w:val="auto"/>
              </w:rPr>
            </w:pPr>
          </w:p>
        </w:tc>
        <w:tc>
          <w:tcPr>
            <w:tcW w:w="1160" w:type="dxa"/>
            <w:vAlign w:val="bottom"/>
            <w:tcBorders>
              <w:top w:val="single" w:sz="8" w:color="auto"/>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98.9 %</w:t>
            </w:r>
          </w:p>
        </w:tc>
        <w:tc>
          <w:tcPr>
            <w:tcW w:w="0" w:type="dxa"/>
            <w:vAlign w:val="bottom"/>
          </w:tcPr>
          <w:p>
            <w:pPr>
              <w:spacing w:after="0"/>
              <w:rPr>
                <w:sz w:val="1"/>
                <w:szCs w:val="1"/>
                <w:color w:val="auto"/>
              </w:rPr>
            </w:pPr>
          </w:p>
        </w:tc>
      </w:tr>
      <w:tr>
        <w:trPr>
          <w:trHeight w:val="223"/>
        </w:trPr>
        <w:tc>
          <w:tcPr>
            <w:tcW w:w="6620" w:type="dxa"/>
            <w:vAlign w:val="bottom"/>
          </w:tcPr>
          <w:p>
            <w:pPr>
              <w:ind w:left="140"/>
              <w:spacing w:after="0"/>
              <w:rPr>
                <w:sz w:val="20"/>
                <w:szCs w:val="20"/>
                <w:color w:val="auto"/>
              </w:rPr>
            </w:pPr>
            <w:r>
              <w:rPr>
                <w:rFonts w:ascii="Arial" w:cs="Arial" w:eastAsia="Arial" w:hAnsi="Arial"/>
                <w:sz w:val="18"/>
                <w:szCs w:val="18"/>
                <w:color w:val="auto"/>
              </w:rPr>
              <w:t>Income from operations</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8,079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29"/>
        </w:trPr>
        <w:tc>
          <w:tcPr>
            <w:tcW w:w="6620" w:type="dxa"/>
            <w:vAlign w:val="bottom"/>
            <w:shd w:val="clear" w:color="auto" w:fill="D2EDFE"/>
          </w:tcPr>
          <w:p>
            <w:pPr>
              <w:ind w:left="20"/>
              <w:spacing w:after="0"/>
              <w:rPr>
                <w:sz w:val="20"/>
                <w:szCs w:val="20"/>
                <w:color w:val="auto"/>
              </w:rPr>
            </w:pPr>
            <w:r>
              <w:rPr>
                <w:rFonts w:ascii="Arial" w:cs="Arial" w:eastAsia="Arial" w:hAnsi="Arial"/>
                <w:sz w:val="18"/>
                <w:szCs w:val="18"/>
                <w:color w:val="auto"/>
              </w:rPr>
              <w:t>Interest expense, net</w:t>
            </w:r>
          </w:p>
        </w:tc>
        <w:tc>
          <w:tcPr>
            <w:tcW w:w="180" w:type="dxa"/>
            <w:vAlign w:val="bottom"/>
            <w:shd w:val="clear" w:color="auto" w:fill="D2EDFE"/>
          </w:tcPr>
          <w:p>
            <w:pPr>
              <w:spacing w:after="0"/>
              <w:rPr>
                <w:sz w:val="19"/>
                <w:szCs w:val="19"/>
                <w:color w:val="auto"/>
              </w:rPr>
            </w:pPr>
          </w:p>
        </w:tc>
        <w:tc>
          <w:tcPr>
            <w:tcW w:w="8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5,462</w:t>
            </w:r>
          </w:p>
        </w:tc>
        <w:tc>
          <w:tcPr>
            <w:tcW w:w="80" w:type="dxa"/>
            <w:vAlign w:val="bottom"/>
            <w:shd w:val="clear" w:color="auto" w:fill="D2EDFE"/>
          </w:tcPr>
          <w:p>
            <w:pPr>
              <w:spacing w:after="0"/>
              <w:rPr>
                <w:sz w:val="19"/>
                <w:szCs w:val="19"/>
                <w:color w:val="auto"/>
              </w:rPr>
            </w:pPr>
          </w:p>
        </w:tc>
        <w:tc>
          <w:tcPr>
            <w:tcW w:w="240" w:type="dxa"/>
            <w:vAlign w:val="bottom"/>
            <w:shd w:val="clear" w:color="auto" w:fill="D2EDFE"/>
          </w:tcPr>
          <w:p>
            <w:pPr>
              <w:spacing w:after="0"/>
              <w:rPr>
                <w:sz w:val="19"/>
                <w:szCs w:val="19"/>
                <w:color w:val="auto"/>
              </w:rPr>
            </w:pPr>
          </w:p>
        </w:tc>
        <w:tc>
          <w:tcPr>
            <w:tcW w:w="920" w:type="dxa"/>
            <w:vAlign w:val="bottom"/>
            <w:shd w:val="clear" w:color="auto" w:fill="D2EDFE"/>
          </w:tcPr>
          <w:p>
            <w:pPr>
              <w:jc w:val="right"/>
              <w:spacing w:after="0"/>
              <w:rPr>
                <w:sz w:val="20"/>
                <w:szCs w:val="20"/>
                <w:color w:val="auto"/>
              </w:rPr>
            </w:pPr>
            <w:r>
              <w:rPr>
                <w:rFonts w:ascii="Arial" w:cs="Arial" w:eastAsia="Arial" w:hAnsi="Arial"/>
                <w:sz w:val="18"/>
                <w:szCs w:val="18"/>
                <w:color w:val="auto"/>
              </w:rPr>
              <w:t>3.7 %</w:t>
            </w:r>
          </w:p>
        </w:tc>
        <w:tc>
          <w:tcPr>
            <w:tcW w:w="100" w:type="dxa"/>
            <w:vAlign w:val="bottom"/>
            <w:shd w:val="clear" w:color="auto" w:fill="D2EDFE"/>
          </w:tcPr>
          <w:p>
            <w:pPr>
              <w:spacing w:after="0"/>
              <w:rPr>
                <w:sz w:val="19"/>
                <w:szCs w:val="19"/>
                <w:color w:val="auto"/>
              </w:rPr>
            </w:pPr>
          </w:p>
        </w:tc>
        <w:tc>
          <w:tcPr>
            <w:tcW w:w="180" w:type="dxa"/>
            <w:vAlign w:val="bottom"/>
            <w:shd w:val="clear" w:color="auto" w:fill="D2EDFE"/>
          </w:tcPr>
          <w:p>
            <w:pPr>
              <w:spacing w:after="0"/>
              <w:rPr>
                <w:sz w:val="19"/>
                <w:szCs w:val="19"/>
                <w:color w:val="auto"/>
              </w:rPr>
            </w:pPr>
          </w:p>
        </w:tc>
        <w:tc>
          <w:tcPr>
            <w:tcW w:w="8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4,821</w:t>
            </w:r>
          </w:p>
        </w:tc>
        <w:tc>
          <w:tcPr>
            <w:tcW w:w="1280" w:type="dxa"/>
            <w:vAlign w:val="bottom"/>
            <w:gridSpan w:val="3"/>
            <w:shd w:val="clear" w:color="auto" w:fill="D2EDFE"/>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23"/>
        </w:trPr>
        <w:tc>
          <w:tcPr>
            <w:tcW w:w="6620" w:type="dxa"/>
            <w:vAlign w:val="bottom"/>
          </w:tcPr>
          <w:p>
            <w:pPr>
              <w:ind w:left="140"/>
              <w:spacing w:after="0"/>
              <w:rPr>
                <w:sz w:val="20"/>
                <w:szCs w:val="20"/>
                <w:color w:val="auto"/>
              </w:rPr>
            </w:pPr>
            <w:r>
              <w:rPr>
                <w:rFonts w:ascii="Arial" w:cs="Arial" w:eastAsia="Arial" w:hAnsi="Arial"/>
                <w:sz w:val="18"/>
                <w:szCs w:val="18"/>
                <w:color w:val="auto"/>
              </w:rPr>
              <w:t>Pre-tax net income/(loss)</w:t>
            </w: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2,617</w:t>
            </w: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(3,404)</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6620" w:type="dxa"/>
            <w:vAlign w:val="bottom"/>
            <w:shd w:val="clear" w:color="auto" w:fill="D2EDFE"/>
          </w:tcPr>
          <w:p>
            <w:pPr>
              <w:ind w:left="20"/>
              <w:spacing w:after="0"/>
              <w:rPr>
                <w:sz w:val="20"/>
                <w:szCs w:val="20"/>
                <w:color w:val="auto"/>
              </w:rPr>
            </w:pPr>
            <w:r>
              <w:rPr>
                <w:rFonts w:ascii="Arial" w:cs="Arial" w:eastAsia="Arial" w:hAnsi="Arial"/>
                <w:sz w:val="18"/>
                <w:szCs w:val="18"/>
                <w:color w:val="auto"/>
              </w:rPr>
              <w:t>Income tax expense</w:t>
            </w:r>
          </w:p>
        </w:tc>
        <w:tc>
          <w:tcPr>
            <w:tcW w:w="180" w:type="dxa"/>
            <w:vAlign w:val="bottom"/>
            <w:shd w:val="clear" w:color="auto" w:fill="D2EDFE"/>
          </w:tcPr>
          <w:p>
            <w:pPr>
              <w:spacing w:after="0"/>
              <w:rPr>
                <w:sz w:val="19"/>
                <w:szCs w:val="19"/>
                <w:color w:val="auto"/>
              </w:rPr>
            </w:pPr>
          </w:p>
        </w:tc>
        <w:tc>
          <w:tcPr>
            <w:tcW w:w="8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2,522</w:t>
            </w:r>
          </w:p>
        </w:tc>
        <w:tc>
          <w:tcPr>
            <w:tcW w:w="80" w:type="dxa"/>
            <w:vAlign w:val="bottom"/>
            <w:shd w:val="clear" w:color="auto" w:fill="D2EDFE"/>
          </w:tcPr>
          <w:p>
            <w:pPr>
              <w:spacing w:after="0"/>
              <w:rPr>
                <w:sz w:val="19"/>
                <w:szCs w:val="19"/>
                <w:color w:val="auto"/>
              </w:rPr>
            </w:pPr>
          </w:p>
        </w:tc>
        <w:tc>
          <w:tcPr>
            <w:tcW w:w="240" w:type="dxa"/>
            <w:vAlign w:val="bottom"/>
            <w:shd w:val="clear" w:color="auto" w:fill="D2EDFE"/>
          </w:tcPr>
          <w:p>
            <w:pPr>
              <w:spacing w:after="0"/>
              <w:rPr>
                <w:sz w:val="19"/>
                <w:szCs w:val="19"/>
                <w:color w:val="auto"/>
              </w:rPr>
            </w:pPr>
          </w:p>
        </w:tc>
        <w:tc>
          <w:tcPr>
            <w:tcW w:w="92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1.7 %</w:t>
            </w:r>
          </w:p>
        </w:tc>
        <w:tc>
          <w:tcPr>
            <w:tcW w:w="100" w:type="dxa"/>
            <w:vAlign w:val="bottom"/>
            <w:shd w:val="clear" w:color="auto" w:fill="D2EDFE"/>
          </w:tcPr>
          <w:p>
            <w:pPr>
              <w:spacing w:after="0"/>
              <w:rPr>
                <w:sz w:val="19"/>
                <w:szCs w:val="19"/>
                <w:color w:val="auto"/>
              </w:rPr>
            </w:pPr>
          </w:p>
        </w:tc>
        <w:tc>
          <w:tcPr>
            <w:tcW w:w="180" w:type="dxa"/>
            <w:vAlign w:val="bottom"/>
            <w:shd w:val="clear" w:color="auto" w:fill="D2EDFE"/>
          </w:tcPr>
          <w:p>
            <w:pPr>
              <w:spacing w:after="0"/>
              <w:rPr>
                <w:sz w:val="19"/>
                <w:szCs w:val="19"/>
                <w:color w:val="auto"/>
              </w:rPr>
            </w:pPr>
          </w:p>
        </w:tc>
        <w:tc>
          <w:tcPr>
            <w:tcW w:w="8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4,083</w:t>
            </w:r>
          </w:p>
        </w:tc>
        <w:tc>
          <w:tcPr>
            <w:tcW w:w="1280" w:type="dxa"/>
            <w:vAlign w:val="bottom"/>
            <w:gridSpan w:val="3"/>
            <w:shd w:val="clear" w:color="auto" w:fill="D2EDFE"/>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23"/>
        </w:trPr>
        <w:tc>
          <w:tcPr>
            <w:tcW w:w="6620" w:type="dxa"/>
            <w:vAlign w:val="bottom"/>
          </w:tcPr>
          <w:p>
            <w:pPr>
              <w:ind w:left="140"/>
              <w:spacing w:after="0"/>
              <w:rPr>
                <w:sz w:val="20"/>
                <w:szCs w:val="20"/>
                <w:color w:val="auto"/>
              </w:rPr>
            </w:pPr>
            <w:r>
              <w:rPr>
                <w:rFonts w:ascii="Arial" w:cs="Arial" w:eastAsia="Arial" w:hAnsi="Arial"/>
                <w:sz w:val="18"/>
                <w:szCs w:val="18"/>
                <w:color w:val="auto"/>
              </w:rPr>
              <w:t>Net income/(loss)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(7,487)</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
        </w:trPr>
        <w:tc>
          <w:tcPr>
            <w:tcW w:w="6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Our financial results for the nine months ended September 30, 2023 compared to the nine months ended September 30, 2022 reflect the</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 of seven de novo centers which increased procedure rooms by 14.</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Revenue—</w:t>
      </w:r>
      <w:r>
        <w:rPr>
          <w:rFonts w:ascii="Arial" w:cs="Arial" w:eastAsia="Arial" w:hAnsi="Arial"/>
          <w:sz w:val="18"/>
          <w:szCs w:val="18"/>
          <w:color w:val="auto"/>
        </w:rPr>
        <w:t>Our revenue increased $20.2 million, or 15.8%, compared to the same period in 2022. The increase is the result of adding seven de novo centers</w:t>
      </w:r>
      <w:r>
        <w:rPr>
          <w:rFonts w:ascii="Arial" w:cs="Arial" w:eastAsia="Arial" w:hAnsi="Arial"/>
          <w:sz w:val="18"/>
          <w:szCs w:val="18"/>
          <w:i w:val="1"/>
          <w:iCs w:val="1"/>
          <w:color w:val="auto"/>
        </w:rPr>
        <w:t xml:space="preserve"> </w:t>
      </w:r>
      <w:r>
        <w:rPr>
          <w:rFonts w:ascii="Arial" w:cs="Arial" w:eastAsia="Arial" w:hAnsi="Arial"/>
          <w:sz w:val="18"/>
          <w:szCs w:val="18"/>
          <w:color w:val="auto"/>
        </w:rPr>
        <w:t>which increased our footprint from 20 centers to 27 centers as of September 30, 2023.</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Cost of Service—</w:t>
      </w:r>
      <w:r>
        <w:rPr>
          <w:rFonts w:ascii="Arial" w:cs="Arial" w:eastAsia="Arial" w:hAnsi="Arial"/>
          <w:sz w:val="16"/>
          <w:szCs w:val="16"/>
          <w:color w:val="auto"/>
        </w:rPr>
        <w:t>Our cost of service increased $9.1 million, or 19.3%, compared to the nine months ended September 30, 2022. This increase is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attributable to opening seven de novo centers since the 2022 period. Cost of service was 37.9% and 36.7% as a percentage of revenue for the nine months ended September 30, 2023 and 2022, respectively. This increase is primarily due to adding seven de novo centers over the prior period. Cost of service as a percent of revenue is higher for a de novo center in the first year until the center reaches maturity, which can take up to two years.</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Selling, General and Administrative Expenses—</w:t>
      </w:r>
      <w:r>
        <w:rPr>
          <w:rFonts w:ascii="Arial" w:cs="Arial" w:eastAsia="Arial" w:hAnsi="Arial"/>
          <w:sz w:val="18"/>
          <w:szCs w:val="18"/>
          <w:color w:val="auto"/>
        </w:rPr>
        <w:t>Selling, general and administrative expenses increased $3.2 million, or 4.4%,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2023 compared to the same period in 2022. This increase is related to additional expenses we incurred for marketing and corporate support as we grow our center count through de novo expansion and providing support for our centers, offset by a decrease in our equity-based compensation expense. We expect our marketing and corporate support costs to continue to increase as we open de novo centers and expand the support we provide to our centers. Selling, general and administrative expenses as a percent of revenue were 51.8% and 57.4% for the nine months ended September 30, 2023 and 2022, respectively.</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Selling expenses consist of advertising costs for social, digital and traditional marketing and sales and marketing personnel. Total selling expenses were approximately $27.4 million and $22.4 million for the nine months ended September 30, 2023 and 2022, respectively. Our customer acquisition costs were approximately $2,400 and $2,300 per customer in the nine months ended September 30, 2023 and 2022, respectively. We intend to continue investing in our sales and marketing capabilities as we add new centers and further increase our brand awareness, which will also drive further same-center growth. As a result, we expect these costs to increase on an absolute dollar basis. Additionally, selling expenses as a percentage of revenue may fluctuate from quarter to quarter based on the timing and scope of our initiatives and the related impact to our revenue.</w:t>
      </w:r>
    </w:p>
    <w:p>
      <w:pPr>
        <w:spacing w:after="0" w:line="17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General and administrative expenses include employee-related expenses, including salaries and related costs (excluding physician and clinical cost included in cost of service), equity-based compensation, technology, operations, finance, legal, corporate office rent and human resources. General and administrative expense were approximately $49.4 million and $51.2 million for the nine months ended September 30, 2023 and 2022, respectively. The costs associated with expanding our corporate team are the main driver of this increase, offset by a decrease in equity-based compensation. We expect to continue growing our corporate team to support the opening of new centers and growth at existing facilities.</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Depreciation and amortization increased to approximately $7.5 million for the nine months ended September 30, 2023</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$5.8 million for the same period in 2022. This increase is the result of having seven additional de novo centers during the nine months ended September 30, 2023 as compared to the 2022 period.</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(Gain)/loss on disposal of long-lived assets—</w:t>
      </w:r>
      <w:r>
        <w:rPr>
          <w:rFonts w:ascii="Arial" w:cs="Arial" w:eastAsia="Arial" w:hAnsi="Arial"/>
          <w:sz w:val="18"/>
          <w:szCs w:val="18"/>
          <w:color w:val="auto"/>
        </w:rPr>
        <w:t>We recognized a $198.0 thousand gain related to the disposal of previous leasehold improvements as a result</w:t>
      </w:r>
      <w:r>
        <w:rPr>
          <w:rFonts w:ascii="Arial" w:cs="Arial" w:eastAsia="Arial" w:hAnsi="Arial"/>
          <w:sz w:val="18"/>
          <w:szCs w:val="18"/>
          <w:i w:val="1"/>
          <w:iCs w:val="1"/>
          <w:color w:val="auto"/>
        </w:rPr>
        <w:t xml:space="preserve"> </w:t>
      </w:r>
      <w:r>
        <w:rPr>
          <w:rFonts w:ascii="Arial" w:cs="Arial" w:eastAsia="Arial" w:hAnsi="Arial"/>
          <w:sz w:val="18"/>
          <w:szCs w:val="18"/>
          <w:color w:val="auto"/>
        </w:rPr>
        <w:t>of relocation to expand certain centers.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Expense, net—</w:t>
      </w:r>
      <w:r>
        <w:rPr>
          <w:rFonts w:ascii="Arial" w:cs="Arial" w:eastAsia="Arial" w:hAnsi="Arial"/>
          <w:sz w:val="16"/>
          <w:szCs w:val="16"/>
          <w:color w:val="auto"/>
        </w:rPr>
        <w:t>Interest expense increased to $5.5 million from $4.8 million for the nine months ended September 30, 2023 and 2022,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 is due to rising interest rates in the current year as compared to prior year.</w:t>
      </w:r>
    </w:p>
    <w:p>
      <w:pPr>
        <w:spacing w:after="0" w:line="21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Our effective tax rate is 96.4% and (119.9)% for the nine months ended September 30, 2023 and 2022, respectively. The main driver</w:t>
      </w:r>
      <w:r>
        <w:rPr>
          <w:rFonts w:ascii="Arial" w:cs="Arial" w:eastAsia="Arial" w:hAnsi="Arial"/>
          <w:sz w:val="16"/>
          <w:szCs w:val="16"/>
          <w:i w:val="1"/>
          <w:iCs w:val="1"/>
          <w:color w:val="auto"/>
        </w:rPr>
        <w:t xml:space="preserve"> </w:t>
      </w:r>
      <w:r>
        <w:rPr>
          <w:rFonts w:ascii="Arial" w:cs="Arial" w:eastAsia="Arial" w:hAnsi="Arial"/>
          <w:sz w:val="16"/>
          <w:szCs w:val="16"/>
          <w:color w:val="auto"/>
        </w:rPr>
        <w:t>of the difference between the effective and statutory rate is non-deductible executive compensation under Section 162(m) of the Internal Revenue Code.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principally rely on cash flows from operations as our primary source of liquidity and, if needed, up to $5.0 million in revolving loans under our revolving credit facility. Our primary cash needs are for payroll, marketing and advertisements, rent, capital expenditures associated with de novo locations and new procedure room additions, as well as information technology and infrastructure, including our corporate office. We believe that the cash expected to be generated from operations and the availability of borrowings under the revolving credit facility will be sufficient for our working capital requirements, liquidity obligations, anticipated capital expenditures relating to the opening of de novo centers, and the addition of new procedure rooms to our existing locations, and payments due under our existing credit facilities for at least the next 12 months.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2023, we had $8.7 million in cash and cash equivalents and an available amount of $5.0 million under our revolving credit facility. We do not have any letters of credit outstanding as of September 30, 2023.</w:t>
      </w:r>
    </w:p>
    <w:p>
      <w:pPr>
        <w:spacing w:after="0" w:line="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2022, we had $9.6 million in cash and cash equivalents and an available amount of $5.0 million under our revolving credit facility. We did not have any letters of credit outstanding as of December 31, 2022.</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net cash provided by (used for) operating activities, investing activities and financing activities for the periods indicated: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ind w:left="560"/>
              <w:spacing w:after="0"/>
              <w:rPr>
                <w:sz w:val="20"/>
                <w:szCs w:val="20"/>
                <w:color w:val="auto"/>
              </w:rPr>
            </w:pPr>
            <w:r>
              <w:rPr>
                <w:rFonts w:ascii="Arial" w:cs="Arial" w:eastAsia="Arial" w:hAnsi="Arial"/>
                <w:sz w:val="14"/>
                <w:szCs w:val="14"/>
                <w:b w:val="1"/>
                <w:bCs w:val="1"/>
                <w:color w:val="auto"/>
                <w:w w:val="94"/>
              </w:rPr>
              <w:t>Nine Months Ended</w:t>
            </w:r>
          </w:p>
        </w:tc>
        <w:tc>
          <w:tcPr>
            <w:tcW w:w="900" w:type="dxa"/>
            <w:vAlign w:val="bottom"/>
          </w:tcPr>
          <w:p>
            <w:pPr>
              <w:spacing w:after="0"/>
              <w:rPr>
                <w:sz w:val="14"/>
                <w:szCs w:val="14"/>
                <w:color w:val="auto"/>
              </w:rPr>
            </w:pPr>
          </w:p>
        </w:tc>
      </w:tr>
      <w:tr>
        <w:trPr>
          <w:trHeight w:val="196"/>
        </w:trPr>
        <w:tc>
          <w:tcPr>
            <w:tcW w:w="8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7"/>
                <w:szCs w:val="17"/>
                <w:color w:val="auto"/>
              </w:rPr>
            </w:pPr>
          </w:p>
        </w:tc>
      </w:tr>
      <w:tr>
        <w:trPr>
          <w:trHeight w:val="196"/>
        </w:trPr>
        <w:tc>
          <w:tcPr>
            <w:tcW w:w="8160" w:type="dxa"/>
            <w:vAlign w:val="bottom"/>
            <w:tcBorders>
              <w:bottom w:val="single" w:sz="8" w:color="D2EDFE"/>
            </w:tcBorders>
          </w:tcPr>
          <w:p>
            <w:pPr>
              <w:ind w:left="20"/>
              <w:spacing w:after="0"/>
              <w:rPr>
                <w:sz w:val="20"/>
                <w:szCs w:val="20"/>
                <w:color w:val="auto"/>
              </w:rPr>
            </w:pPr>
            <w:r>
              <w:rPr>
                <w:rFonts w:ascii="Arial" w:cs="Arial" w:eastAsia="Arial" w:hAnsi="Arial"/>
                <w:sz w:val="14"/>
                <w:szCs w:val="14"/>
                <w:color w:val="auto"/>
              </w:rPr>
              <w:t>($ in thousands)</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D2EDFE"/>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9"/>
              </w:rPr>
              <w:t>2022</w:t>
            </w:r>
          </w:p>
        </w:tc>
      </w:tr>
      <w:tr>
        <w:trPr>
          <w:trHeight w:val="216"/>
        </w:trPr>
        <w:tc>
          <w:tcPr>
            <w:tcW w:w="8160" w:type="dxa"/>
            <w:vAlign w:val="bottom"/>
            <w:shd w:val="clear" w:color="auto" w:fill="D2EDFE"/>
          </w:tcPr>
          <w:p>
            <w:pPr>
              <w:ind w:left="20"/>
              <w:spacing w:after="0"/>
              <w:rPr>
                <w:sz w:val="20"/>
                <w:szCs w:val="20"/>
                <w:color w:val="auto"/>
              </w:rPr>
            </w:pPr>
            <w:r>
              <w:rPr>
                <w:rFonts w:ascii="Arial" w:cs="Arial" w:eastAsia="Arial" w:hAnsi="Arial"/>
                <w:sz w:val="18"/>
                <w:szCs w:val="18"/>
                <w:b w:val="1"/>
                <w:bCs w:val="1"/>
                <w:color w:val="auto"/>
              </w:rPr>
              <w:t>Cash Flows Provided By (Used For):</w:t>
            </w:r>
          </w:p>
        </w:tc>
        <w:tc>
          <w:tcPr>
            <w:tcW w:w="360" w:type="dxa"/>
            <w:vAlign w:val="bottom"/>
            <w:shd w:val="clear" w:color="auto" w:fill="D2EDFE"/>
          </w:tcPr>
          <w:p>
            <w:pPr>
              <w:spacing w:after="0"/>
              <w:rPr>
                <w:sz w:val="18"/>
                <w:szCs w:val="18"/>
                <w:color w:val="auto"/>
              </w:rPr>
            </w:pPr>
          </w:p>
        </w:tc>
        <w:tc>
          <w:tcPr>
            <w:tcW w:w="1120" w:type="dxa"/>
            <w:vAlign w:val="bottom"/>
            <w:shd w:val="clear" w:color="auto" w:fill="D2EDFE"/>
          </w:tcPr>
          <w:p>
            <w:pPr>
              <w:spacing w:after="0"/>
              <w:rPr>
                <w:sz w:val="18"/>
                <w:szCs w:val="18"/>
                <w:color w:val="auto"/>
              </w:rPr>
            </w:pPr>
          </w:p>
        </w:tc>
        <w:tc>
          <w:tcPr>
            <w:tcW w:w="120" w:type="dxa"/>
            <w:vAlign w:val="bottom"/>
            <w:shd w:val="clear" w:color="auto" w:fill="D2EDFE"/>
          </w:tcPr>
          <w:p>
            <w:pPr>
              <w:spacing w:after="0"/>
              <w:rPr>
                <w:sz w:val="18"/>
                <w:szCs w:val="18"/>
                <w:color w:val="auto"/>
              </w:rPr>
            </w:pPr>
          </w:p>
        </w:tc>
        <w:tc>
          <w:tcPr>
            <w:tcW w:w="580" w:type="dxa"/>
            <w:vAlign w:val="bottom"/>
            <w:shd w:val="clear" w:color="auto" w:fill="D2EDFE"/>
          </w:tcPr>
          <w:p>
            <w:pPr>
              <w:spacing w:after="0"/>
              <w:rPr>
                <w:sz w:val="18"/>
                <w:szCs w:val="18"/>
                <w:color w:val="auto"/>
              </w:rPr>
            </w:pPr>
          </w:p>
        </w:tc>
        <w:tc>
          <w:tcPr>
            <w:tcW w:w="900" w:type="dxa"/>
            <w:vAlign w:val="bottom"/>
            <w:shd w:val="clear" w:color="auto" w:fill="D2EDFE"/>
          </w:tcPr>
          <w:p>
            <w:pPr>
              <w:spacing w:after="0"/>
              <w:rPr>
                <w:sz w:val="18"/>
                <w:szCs w:val="18"/>
                <w:color w:val="auto"/>
              </w:rPr>
            </w:pPr>
          </w:p>
        </w:tc>
      </w:tr>
      <w:tr>
        <w:trPr>
          <w:trHeight w:val="229"/>
        </w:trPr>
        <w:tc>
          <w:tcPr>
            <w:tcW w:w="8160" w:type="dxa"/>
            <w:vAlign w:val="bottom"/>
          </w:tcPr>
          <w:p>
            <w:pPr>
              <w:ind w:left="140"/>
              <w:spacing w:after="0"/>
              <w:rPr>
                <w:sz w:val="20"/>
                <w:szCs w:val="20"/>
                <w:color w:val="auto"/>
              </w:rPr>
            </w:pPr>
            <w:r>
              <w:rPr>
                <w:rFonts w:ascii="Arial" w:cs="Arial" w:eastAsia="Arial" w:hAnsi="Arial"/>
                <w:sz w:val="18"/>
                <w:szCs w:val="18"/>
                <w:color w:val="auto"/>
              </w:rPr>
              <w:t>Operating activities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ind w:left="560"/>
              <w:spacing w:after="0"/>
              <w:rPr>
                <w:sz w:val="20"/>
                <w:szCs w:val="20"/>
                <w:color w:val="auto"/>
              </w:rPr>
            </w:pPr>
            <w:r>
              <w:rPr>
                <w:rFonts w:ascii="Arial" w:cs="Arial" w:eastAsia="Arial" w:hAnsi="Arial"/>
                <w:sz w:val="18"/>
                <w:szCs w:val="18"/>
                <w:color w:val="auto"/>
                <w:w w:val="98"/>
              </w:rPr>
              <w:t>19,090</w:t>
            </w:r>
          </w:p>
        </w:tc>
        <w:tc>
          <w:tcPr>
            <w:tcW w:w="12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center"/>
              <w:ind w:left="174"/>
              <w:spacing w:after="0"/>
              <w:rPr>
                <w:sz w:val="20"/>
                <w:szCs w:val="20"/>
                <w:color w:val="auto"/>
              </w:rPr>
            </w:pPr>
            <w:r>
              <w:rPr>
                <w:rFonts w:ascii="Arial" w:cs="Arial" w:eastAsia="Arial" w:hAnsi="Arial"/>
                <w:sz w:val="18"/>
                <w:szCs w:val="18"/>
                <w:color w:val="auto"/>
                <w:w w:val="87"/>
              </w:rPr>
              <w:t>17,807</w:t>
            </w:r>
          </w:p>
        </w:tc>
      </w:tr>
      <w:tr>
        <w:trPr>
          <w:trHeight w:val="230"/>
        </w:trPr>
        <w:tc>
          <w:tcPr>
            <w:tcW w:w="8160" w:type="dxa"/>
            <w:vAlign w:val="bottom"/>
            <w:shd w:val="clear" w:color="auto" w:fill="D2EDFE"/>
          </w:tcPr>
          <w:p>
            <w:pPr>
              <w:ind w:left="140"/>
              <w:spacing w:after="0"/>
              <w:rPr>
                <w:sz w:val="20"/>
                <w:szCs w:val="20"/>
                <w:color w:val="auto"/>
              </w:rPr>
            </w:pPr>
            <w:r>
              <w:rPr>
                <w:rFonts w:ascii="Arial" w:cs="Arial" w:eastAsia="Arial" w:hAnsi="Arial"/>
                <w:sz w:val="18"/>
                <w:szCs w:val="18"/>
                <w:color w:val="auto"/>
              </w:rPr>
              <w:t>Investing activities</w:t>
            </w:r>
          </w:p>
        </w:tc>
        <w:tc>
          <w:tcPr>
            <w:tcW w:w="360" w:type="dxa"/>
            <w:vAlign w:val="bottom"/>
            <w:shd w:val="clear" w:color="auto" w:fill="D2EDFE"/>
          </w:tcPr>
          <w:p>
            <w:pPr>
              <w:spacing w:after="0"/>
              <w:rPr>
                <w:sz w:val="19"/>
                <w:szCs w:val="19"/>
                <w:color w:val="auto"/>
              </w:rPr>
            </w:pPr>
          </w:p>
        </w:tc>
        <w:tc>
          <w:tcPr>
            <w:tcW w:w="1120" w:type="dxa"/>
            <w:vAlign w:val="bottom"/>
            <w:shd w:val="clear" w:color="auto" w:fill="D2EDFE"/>
          </w:tcPr>
          <w:p>
            <w:pPr>
              <w:jc w:val="right"/>
              <w:spacing w:after="0"/>
              <w:rPr>
                <w:sz w:val="20"/>
                <w:szCs w:val="20"/>
                <w:color w:val="auto"/>
              </w:rPr>
            </w:pPr>
            <w:r>
              <w:rPr>
                <w:rFonts w:ascii="Arial" w:cs="Arial" w:eastAsia="Arial" w:hAnsi="Arial"/>
                <w:sz w:val="18"/>
                <w:szCs w:val="18"/>
                <w:color w:val="auto"/>
              </w:rPr>
              <w:t>(8,092)</w:t>
            </w:r>
          </w:p>
        </w:tc>
        <w:tc>
          <w:tcPr>
            <w:tcW w:w="120" w:type="dxa"/>
            <w:vAlign w:val="bottom"/>
            <w:shd w:val="clear" w:color="auto" w:fill="D2EDFE"/>
          </w:tcPr>
          <w:p>
            <w:pPr>
              <w:spacing w:after="0"/>
              <w:rPr>
                <w:sz w:val="19"/>
                <w:szCs w:val="19"/>
                <w:color w:val="auto"/>
              </w:rPr>
            </w:pPr>
          </w:p>
        </w:tc>
        <w:tc>
          <w:tcPr>
            <w:tcW w:w="580" w:type="dxa"/>
            <w:vAlign w:val="bottom"/>
            <w:shd w:val="clear" w:color="auto" w:fill="D2EDFE"/>
          </w:tcPr>
          <w:p>
            <w:pPr>
              <w:spacing w:after="0"/>
              <w:rPr>
                <w:sz w:val="19"/>
                <w:szCs w:val="19"/>
                <w:color w:val="auto"/>
              </w:rPr>
            </w:pPr>
          </w:p>
        </w:tc>
        <w:tc>
          <w:tcPr>
            <w:tcW w:w="900" w:type="dxa"/>
            <w:vAlign w:val="bottom"/>
            <w:shd w:val="clear" w:color="auto" w:fill="D2EDFE"/>
          </w:tcPr>
          <w:p>
            <w:pPr>
              <w:jc w:val="center"/>
              <w:ind w:left="154"/>
              <w:spacing w:after="0"/>
              <w:rPr>
                <w:sz w:val="20"/>
                <w:szCs w:val="20"/>
                <w:color w:val="auto"/>
              </w:rPr>
            </w:pPr>
            <w:r>
              <w:rPr>
                <w:rFonts w:ascii="Arial" w:cs="Arial" w:eastAsia="Arial" w:hAnsi="Arial"/>
                <w:sz w:val="18"/>
                <w:szCs w:val="18"/>
                <w:color w:val="auto"/>
                <w:w w:val="92"/>
              </w:rPr>
              <w:t>(10,726)</w:t>
            </w:r>
          </w:p>
        </w:tc>
      </w:tr>
      <w:tr>
        <w:trPr>
          <w:trHeight w:val="229"/>
        </w:trPr>
        <w:tc>
          <w:tcPr>
            <w:tcW w:w="8160" w:type="dxa"/>
            <w:vAlign w:val="bottom"/>
          </w:tcPr>
          <w:p>
            <w:pPr>
              <w:ind w:left="140"/>
              <w:spacing w:after="0"/>
              <w:rPr>
                <w:sz w:val="20"/>
                <w:szCs w:val="20"/>
                <w:color w:val="auto"/>
              </w:rPr>
            </w:pPr>
            <w:r>
              <w:rPr>
                <w:rFonts w:ascii="Arial" w:cs="Arial" w:eastAsia="Arial" w:hAnsi="Arial"/>
                <w:sz w:val="18"/>
                <w:szCs w:val="18"/>
                <w:color w:val="auto"/>
              </w:rPr>
              <w:t>Financing activities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(11,954)</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center"/>
              <w:ind w:left="154"/>
              <w:spacing w:after="0"/>
              <w:rPr>
                <w:sz w:val="20"/>
                <w:szCs w:val="20"/>
                <w:color w:val="auto"/>
              </w:rPr>
            </w:pPr>
            <w:r>
              <w:rPr>
                <w:rFonts w:ascii="Arial" w:cs="Arial" w:eastAsia="Arial" w:hAnsi="Arial"/>
                <w:sz w:val="18"/>
                <w:szCs w:val="18"/>
                <w:color w:val="auto"/>
                <w:w w:val="92"/>
              </w:rPr>
              <w:t>(24,828)</w:t>
            </w:r>
          </w:p>
        </w:tc>
      </w:tr>
      <w:tr>
        <w:trPr>
          <w:trHeight w:val="229"/>
        </w:trPr>
        <w:tc>
          <w:tcPr>
            <w:tcW w:w="8160" w:type="dxa"/>
            <w:vAlign w:val="bottom"/>
            <w:shd w:val="clear" w:color="auto" w:fill="D2EDFE"/>
          </w:tcPr>
          <w:p>
            <w:pPr>
              <w:ind w:left="140"/>
              <w:spacing w:after="0"/>
              <w:rPr>
                <w:sz w:val="20"/>
                <w:szCs w:val="20"/>
                <w:color w:val="auto"/>
              </w:rPr>
            </w:pPr>
            <w:r>
              <w:rPr>
                <w:rFonts w:ascii="Arial" w:cs="Arial" w:eastAsia="Arial" w:hAnsi="Arial"/>
                <w:sz w:val="18"/>
                <w:szCs w:val="18"/>
                <w:color w:val="auto"/>
              </w:rPr>
              <w:t>Net decrease in cash and cash equivalents</w:t>
            </w:r>
          </w:p>
        </w:tc>
        <w:tc>
          <w:tcPr>
            <w:tcW w:w="360" w:type="dxa"/>
            <w:vAlign w:val="bottom"/>
            <w:shd w:val="clear" w:color="auto" w:fill="D2EDFE"/>
          </w:tcPr>
          <w:p>
            <w:pPr>
              <w:spacing w:after="0"/>
              <w:rPr>
                <w:sz w:val="19"/>
                <w:szCs w:val="19"/>
                <w:color w:val="auto"/>
              </w:rPr>
            </w:pPr>
          </w:p>
        </w:tc>
        <w:tc>
          <w:tcPr>
            <w:tcW w:w="1120" w:type="dxa"/>
            <w:vAlign w:val="bottom"/>
            <w:shd w:val="clear" w:color="auto" w:fill="D2EDFE"/>
          </w:tcPr>
          <w:p>
            <w:pPr>
              <w:jc w:val="right"/>
              <w:spacing w:after="0"/>
              <w:rPr>
                <w:sz w:val="20"/>
                <w:szCs w:val="20"/>
                <w:color w:val="auto"/>
              </w:rPr>
            </w:pPr>
            <w:r>
              <w:rPr>
                <w:rFonts w:ascii="Arial" w:cs="Arial" w:eastAsia="Arial" w:hAnsi="Arial"/>
                <w:sz w:val="18"/>
                <w:szCs w:val="18"/>
                <w:color w:val="auto"/>
              </w:rPr>
              <w:t>(956)</w:t>
            </w:r>
          </w:p>
        </w:tc>
        <w:tc>
          <w:tcPr>
            <w:tcW w:w="120" w:type="dxa"/>
            <w:vAlign w:val="bottom"/>
            <w:shd w:val="clear" w:color="auto" w:fill="D2EDFE"/>
          </w:tcPr>
          <w:p>
            <w:pPr>
              <w:spacing w:after="0"/>
              <w:rPr>
                <w:sz w:val="19"/>
                <w:szCs w:val="19"/>
                <w:color w:val="auto"/>
              </w:rPr>
            </w:pPr>
          </w:p>
        </w:tc>
        <w:tc>
          <w:tcPr>
            <w:tcW w:w="580" w:type="dxa"/>
            <w:vAlign w:val="bottom"/>
            <w:shd w:val="clear" w:color="auto" w:fill="D2EDFE"/>
          </w:tcPr>
          <w:p>
            <w:pPr>
              <w:spacing w:after="0"/>
              <w:rPr>
                <w:sz w:val="19"/>
                <w:szCs w:val="19"/>
                <w:color w:val="auto"/>
              </w:rPr>
            </w:pPr>
          </w:p>
        </w:tc>
        <w:tc>
          <w:tcPr>
            <w:tcW w:w="900" w:type="dxa"/>
            <w:vAlign w:val="bottom"/>
            <w:shd w:val="clear" w:color="auto" w:fill="D2EDFE"/>
          </w:tcPr>
          <w:p>
            <w:pPr>
              <w:jc w:val="center"/>
              <w:ind w:left="154"/>
              <w:spacing w:after="0"/>
              <w:rPr>
                <w:sz w:val="20"/>
                <w:szCs w:val="20"/>
                <w:color w:val="auto"/>
              </w:rPr>
            </w:pPr>
            <w:r>
              <w:rPr>
                <w:rFonts w:ascii="Arial" w:cs="Arial" w:eastAsia="Arial" w:hAnsi="Arial"/>
                <w:sz w:val="18"/>
                <w:szCs w:val="18"/>
                <w:color w:val="auto"/>
                <w:w w:val="92"/>
              </w:rPr>
              <w:t>(17,747)</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primary source of our operating cash flow is the collection of patient payments received prior to performing surgical procedures. For the nine months ended September 30, 2023, our operating cash flow increased by $1.3 million compared to the same period in 2022. The increase is the result of adding seven de novo centers which increased our footprint from 20 centers to 27 centers and our number of procedure rooms from 43 to 57 as of September 30, 2023. At September 30, 2023, we had working capital of $(3.4) million compared to $(5.6) million at December 31,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Net cash used in investing activities for the nine months ended September 30, 2023 and 2022 was $8.1 million and $10.7 million, respectively. Investing activities during both periods were attributable to the expansion of multiple existing facilities and opening of de novo locations.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financing activities during the nine months ended September 30, 2023 was $12.0 million. During the nine months ended September 30, 2023, we made principal payments on our debt of $11.6 million, which included a voluntary prepayment of $10.0 million.</w:t>
      </w:r>
    </w:p>
    <w:p>
      <w:pPr>
        <w:spacing w:after="0" w:line="17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Net cash used in financing activities for the nine months ended September 30, 2022 was $24.8 million. For the nine months ended September 30, 2022, we paid dividends of $22.8 million, made distributions to EBS Parent, LLC of $1.2 million and paid scheduled principal payments on our debt of $0.6 million.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value of our total indebtedness was $72.7 million and $83.5 million, which includes unamortized deferred financing costs and issuance discount of $0.7 million and $1.5 million, as of September 30, 2023 and December 31, 2022, respectively.</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November 7, 2022, the Company entered into a credit agreement with a syndicate of lenders (the "Credit Agreement") maturing November 7, 2027. Pursuant to the Credit Agreement, there is (i) an $85.0 million aggregate principal amount of term loans and (ii) a revolving loan facility in an aggregate principal amount of up to $5.0 million. The proceeds were used, in part, to pay off the Company’s $83.6 million outstanding principal balance under its previous credit facility. On September 29, 2023, the Company voluntarily pre-paid $10.0 million of the principal of the term loans under the Credit Agreement using cash on hand.</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Credit Agreement, all outstanding loans bear interest based on either a base rate or SOFR plus an applicable per annum margin. The applicable per annum margin is 2.0% or 3.0% for base rate or SOFR, respectively, if the Company's total leverage ratio is equal to or greater than 2.0x. If the Company's total leverage ratio is equal to or greater than 1.0x and less than 2.0x, the applicable per annum margin is 1.5% or 2.5% for base rate or SOFR, respectively. If the Company's total leverage ratio is below 1.0x, the applicable per annum margin is 1.0% or 2.0% for base rate or SOFR, respectively. As of September 30, 2023, the interest rate was 7.83%.</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w:t>
      </w:r>
    </w:p>
    <w:p>
      <w:pPr>
        <w:spacing w:after="0" w:line="15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Subject to certain conditions set forth in the JOBS Act, if, as an “emerging growth company,” we choose to rely on such exemptions we may not be required to, among other things, (i) provide an auditor’s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auditor’s report providing additional information about the audit and the financial statements (auditor discussion and analysis), and (iv)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our IPO or until we are no longer an “emerging growth company,” whichever is earlier.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 summary of significant accounting policies is disclosed in our Annual Report on Form 10-K dated March 10, 2023 filed with the SEC pursuant to Section 13 or 15d of the Exchange Act, as amended (the "Exchange Act") under the caption “Critical Accounting Policies and Estimates” in the Management’s Discussion and Analysis of Financial Condition and Results of Operations section. There have been no material changes in the nature of our critical accounting policies and estimates or the application of those policies from our Annual Report on Form 10-K dated March 10, 2023.</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4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Company is a smaller reporting company as defined by Rule 12b-2 of the Exchange Act and is not required to provide the information required under this item.</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Evaluation of Disclosure Controls and Procedures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financial disclosure.</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the end of the period covered by this Quarterly Report on Form 10-Q, our management, under the supervision and with the participation of our principal executive officer and principal financial officer, evaluated the effectiveness of our disclosure controls and procedures pursuant to Exchange Act Rule 13a-15(e) and 15d-15(e). Based upon this evaluation, our principal executive officer and principal financial officer concluded that our disclosure controls and procedures were effective at a reasonable assurance level as of September 30, 2023.</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Controls Over Financial Reporting</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materially affected, or are reasonably likely to materially affect, our internal control over financial reporting during the quarter ended September 30, 2023.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Limitations on the Effectiveness of Controls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management, including the Chief Executive Officer and the Chief Financial Officer, recognizes that any set of controls and procedures, no matter how well-designed and operated, can provide only reasonable, not absolute, assurance of</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achieving the desired control objectives.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controls. For these reasons,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ordinary course of business, we have become and may in the future become subject to pending and threatened legal actions and proceedings, including with respect to the quality of our services. All of the current legal actions and proceedings that we are a party to are of an ordinary or routine nature incidental to our operations, the resolution of which should not have a material adverse effect on our financial condition, results of operations or cash flows. These claims, to the extent they exceed our insurance deductibles, are covered by insurance, but there can be no assurance that our insurance coverage will be adequate to cover any such liability.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Except to the extent updated below or to the extent additional factual information disclosed elsewhere in this Quarterly Report on Form 10-Q relates to such risk factors (including, without limitation, the matters discussed in Part I, “Item 2—Management’s Discussion and Analysis of Financial Condition and Results of Operations”), there were no material changes to the risk factors discussed in our Annual Report on Form 10-K for the year ended December 31, 2022 dated March 10, 2023 and filed with the SEC pursuant to Section 13 or 15(d) of the Exchange Act.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u w:val="single" w:color="auto"/>
          <w:color w:val="0000FF"/>
        </w:rPr>
        <w:t>Table of Contents</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Exhibits</w:t>
      </w:r>
    </w:p>
    <w:p>
      <w:pPr>
        <w:spacing w:after="0" w:line="302"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Exhibit</w:t>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85725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4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31.1*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Description of Exhibit</w:t>
      </w:r>
    </w:p>
    <w:p>
      <w:pPr>
        <w:spacing w:after="0" w:line="162"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u w:val="single" w:color="auto"/>
          <w:color w:val="auto"/>
        </w:rPr>
        <w:t>Certification of Principal Executive Officer Pursuant to Rules 13a-14(a) and 15d-14(a) under the Securities Exchange Act of 1934, as Adopted Pursuant to Section 302 of the Sarbanes-Oxley Act of 2002</w:t>
      </w:r>
    </w:p>
    <w:p>
      <w:pPr>
        <w:spacing w:after="0" w:line="5" w:lineRule="exact"/>
        <w:rPr>
          <w:sz w:val="20"/>
          <w:szCs w:val="20"/>
          <w:color w:val="auto"/>
        </w:rPr>
      </w:pPr>
    </w:p>
    <w:p>
      <w:pPr>
        <w:sectPr>
          <w:pgSz w:w="11900" w:h="16838" w:orient="portrait"/>
          <w:cols w:equalWidth="0" w:num="2">
            <w:col w:w="1240" w:space="180"/>
            <w:col w:w="9820"/>
          </w:cols>
          <w:pgMar w:left="320" w:top="517" w:right="339" w:bottom="1440" w:gutter="0" w:footer="0" w:header="0"/>
          <w:type w:val="continuous"/>
        </w:sectPr>
      </w:pPr>
    </w:p>
    <w:tbl>
      <w:tblPr>
        <w:tblLayout w:type="fixed"/>
        <w:tblInd w:w="300" w:type="dxa"/>
        <w:tblCellMar>
          <w:top w:w="0" w:type="dxa"/>
          <w:left w:w="0" w:type="dxa"/>
          <w:bottom w:w="0" w:type="dxa"/>
          <w:right w:w="0" w:type="dxa"/>
        </w:tblCellMar>
      </w:tblPr>
      <w:tr>
        <w:trPr>
          <w:trHeight w:val="207"/>
        </w:trPr>
        <w:tc>
          <w:tcPr>
            <w:tcW w:w="920" w:type="dxa"/>
            <w:vAlign w:val="bottom"/>
          </w:tcPr>
          <w:p>
            <w:pPr>
              <w:jc w:val="center"/>
              <w:ind w:right="70"/>
              <w:spacing w:after="0"/>
              <w:rPr>
                <w:sz w:val="20"/>
                <w:szCs w:val="20"/>
                <w:color w:val="auto"/>
              </w:rPr>
            </w:pPr>
            <w:r>
              <w:rPr>
                <w:rFonts w:ascii="Arial" w:cs="Arial" w:eastAsia="Arial" w:hAnsi="Arial"/>
                <w:sz w:val="18"/>
                <w:szCs w:val="18"/>
                <w:color w:val="auto"/>
                <w:w w:val="95"/>
              </w:rPr>
              <w:t>31.2*</w:t>
            </w:r>
          </w:p>
        </w:tc>
        <w:tc>
          <w:tcPr>
            <w:tcW w:w="200" w:type="dxa"/>
            <w:vAlign w:val="bottom"/>
          </w:tcPr>
          <w:p>
            <w:pPr>
              <w:spacing w:after="0"/>
              <w:rPr>
                <w:sz w:val="17"/>
                <w:szCs w:val="17"/>
                <w:color w:val="auto"/>
              </w:rPr>
            </w:pPr>
          </w:p>
        </w:tc>
        <w:tc>
          <w:tcPr>
            <w:tcW w:w="9800" w:type="dxa"/>
            <w:vAlign w:val="bottom"/>
            <w:gridSpan w:val="6"/>
          </w:tcPr>
          <w:p>
            <w:pPr>
              <w:spacing w:after="0"/>
              <w:rPr>
                <w:sz w:val="20"/>
                <w:szCs w:val="20"/>
                <w:color w:val="auto"/>
              </w:rPr>
            </w:pPr>
            <w:r>
              <w:rPr>
                <w:rFonts w:ascii="Arial" w:cs="Arial" w:eastAsia="Arial" w:hAnsi="Arial"/>
                <w:sz w:val="18"/>
                <w:szCs w:val="18"/>
                <w:color w:val="auto"/>
                <w:w w:val="93"/>
              </w:rPr>
              <w:t>Certification of Principal Financial Officer Pursuant to Rules 13a-14(a) and 15d-14(a) under the Securities Exchange Act of 1934, as</w:t>
            </w:r>
          </w:p>
        </w:tc>
      </w:tr>
      <w:tr>
        <w:trPr>
          <w:trHeight w:val="183"/>
        </w:trPr>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740" w:type="dxa"/>
            <w:vAlign w:val="bottom"/>
            <w:tcBorders>
              <w:top w:val="single" w:sz="8" w:color="auto"/>
            </w:tcBorders>
            <w:gridSpan w:val="3"/>
          </w:tcPr>
          <w:p>
            <w:pPr>
              <w:spacing w:after="0" w:line="182" w:lineRule="exact"/>
              <w:rPr>
                <w:sz w:val="20"/>
                <w:szCs w:val="20"/>
                <w:color w:val="auto"/>
              </w:rPr>
            </w:pPr>
            <w:r>
              <w:rPr>
                <w:rFonts w:ascii="Arial" w:cs="Arial" w:eastAsia="Arial" w:hAnsi="Arial"/>
                <w:sz w:val="18"/>
                <w:szCs w:val="18"/>
                <w:color w:val="auto"/>
              </w:rPr>
              <w:t>Adopted Pursuant to Section 302 of the Sarbanes-Oxley Act of 2002</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580" w:type="dxa"/>
            <w:vAlign w:val="bottom"/>
            <w:shd w:val="clear" w:color="auto" w:fill="000000"/>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tcPr>
          <w:p>
            <w:pPr>
              <w:jc w:val="center"/>
              <w:ind w:right="50"/>
              <w:spacing w:after="0"/>
              <w:rPr>
                <w:sz w:val="20"/>
                <w:szCs w:val="20"/>
                <w:color w:val="auto"/>
              </w:rPr>
            </w:pPr>
            <w:r>
              <w:rPr>
                <w:rFonts w:ascii="Arial" w:cs="Arial" w:eastAsia="Arial" w:hAnsi="Arial"/>
                <w:sz w:val="18"/>
                <w:szCs w:val="18"/>
                <w:color w:val="auto"/>
                <w:w w:val="95"/>
              </w:rPr>
              <w:t>32.1*†</w:t>
            </w:r>
          </w:p>
        </w:tc>
        <w:tc>
          <w:tcPr>
            <w:tcW w:w="200" w:type="dxa"/>
            <w:vAlign w:val="bottom"/>
          </w:tcPr>
          <w:p>
            <w:pPr>
              <w:spacing w:after="0"/>
              <w:rPr>
                <w:sz w:val="21"/>
                <w:szCs w:val="21"/>
                <w:color w:val="auto"/>
              </w:rPr>
            </w:pPr>
          </w:p>
        </w:tc>
        <w:tc>
          <w:tcPr>
            <w:tcW w:w="9800" w:type="dxa"/>
            <w:vAlign w:val="bottom"/>
            <w:gridSpan w:val="6"/>
          </w:tcPr>
          <w:p>
            <w:pPr>
              <w:spacing w:after="0"/>
              <w:rPr>
                <w:sz w:val="20"/>
                <w:szCs w:val="20"/>
                <w:color w:val="auto"/>
              </w:rPr>
            </w:pPr>
            <w:r>
              <w:rPr>
                <w:rFonts w:ascii="Arial" w:cs="Arial" w:eastAsia="Arial" w:hAnsi="Arial"/>
                <w:sz w:val="18"/>
                <w:szCs w:val="18"/>
                <w:color w:val="auto"/>
                <w:w w:val="92"/>
              </w:rPr>
              <w:t>Certification of Principal Executive Officer Pursuant to 18 U.S.C. Section 1350, as Adopted Pursuant to Section 906 of the Sarbanes-</w:t>
            </w:r>
          </w:p>
        </w:tc>
      </w:tr>
      <w:tr>
        <w:trPr>
          <w:trHeight w:val="183"/>
        </w:trPr>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Borders>
              <w:top w:val="single" w:sz="8" w:color="auto"/>
              <w:bottom w:val="single" w:sz="8" w:color="auto"/>
            </w:tcBorders>
          </w:tcPr>
          <w:p>
            <w:pPr>
              <w:spacing w:after="0" w:line="182" w:lineRule="exact"/>
              <w:rPr>
                <w:sz w:val="20"/>
                <w:szCs w:val="20"/>
                <w:color w:val="auto"/>
              </w:rPr>
            </w:pPr>
            <w:r>
              <w:rPr>
                <w:rFonts w:ascii="Arial" w:cs="Arial" w:eastAsia="Arial" w:hAnsi="Arial"/>
                <w:sz w:val="18"/>
                <w:szCs w:val="18"/>
                <w:color w:val="auto"/>
                <w:w w:val="94"/>
              </w:rPr>
              <w:t>Oxley Act of 2002</w:t>
            </w:r>
          </w:p>
        </w:tc>
        <w:tc>
          <w:tcPr>
            <w:tcW w:w="8400" w:type="dxa"/>
            <w:vAlign w:val="bottom"/>
            <w:tcBorders>
              <w:top w:val="single" w:sz="8" w:color="auto"/>
            </w:tcBorders>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50"/>
        </w:trPr>
        <w:tc>
          <w:tcPr>
            <w:tcW w:w="920" w:type="dxa"/>
            <w:vAlign w:val="bottom"/>
          </w:tcPr>
          <w:p>
            <w:pPr>
              <w:jc w:val="center"/>
              <w:ind w:right="50"/>
              <w:spacing w:after="0"/>
              <w:rPr>
                <w:sz w:val="20"/>
                <w:szCs w:val="20"/>
                <w:color w:val="auto"/>
              </w:rPr>
            </w:pPr>
            <w:r>
              <w:rPr>
                <w:rFonts w:ascii="Arial" w:cs="Arial" w:eastAsia="Arial" w:hAnsi="Arial"/>
                <w:sz w:val="18"/>
                <w:szCs w:val="18"/>
                <w:color w:val="auto"/>
                <w:w w:val="95"/>
              </w:rPr>
              <w:t>32.2*†</w:t>
            </w:r>
          </w:p>
        </w:tc>
        <w:tc>
          <w:tcPr>
            <w:tcW w:w="200" w:type="dxa"/>
            <w:vAlign w:val="bottom"/>
          </w:tcPr>
          <w:p>
            <w:pPr>
              <w:spacing w:after="0"/>
              <w:rPr>
                <w:sz w:val="21"/>
                <w:szCs w:val="21"/>
                <w:color w:val="auto"/>
              </w:rPr>
            </w:pPr>
          </w:p>
        </w:tc>
        <w:tc>
          <w:tcPr>
            <w:tcW w:w="9800" w:type="dxa"/>
            <w:vAlign w:val="bottom"/>
            <w:gridSpan w:val="6"/>
          </w:tcPr>
          <w:p>
            <w:pPr>
              <w:spacing w:after="0"/>
              <w:rPr>
                <w:sz w:val="20"/>
                <w:szCs w:val="20"/>
                <w:color w:val="auto"/>
              </w:rPr>
            </w:pPr>
            <w:r>
              <w:rPr>
                <w:rFonts w:ascii="Arial" w:cs="Arial" w:eastAsia="Arial" w:hAnsi="Arial"/>
                <w:sz w:val="18"/>
                <w:szCs w:val="18"/>
                <w:color w:val="auto"/>
                <w:w w:val="93"/>
              </w:rPr>
              <w:t>Certification of Principal Financial Officer Pursuant to 18 U.S.C. Section 1350, as Adopted Pursuant to Section 906 of the Sarbanes-</w:t>
            </w:r>
          </w:p>
        </w:tc>
      </w:tr>
      <w:tr>
        <w:trPr>
          <w:trHeight w:val="183"/>
        </w:trPr>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Borders>
              <w:top w:val="single" w:sz="8" w:color="auto"/>
              <w:bottom w:val="single" w:sz="8" w:color="auto"/>
            </w:tcBorders>
          </w:tcPr>
          <w:p>
            <w:pPr>
              <w:spacing w:after="0" w:line="182" w:lineRule="exact"/>
              <w:rPr>
                <w:sz w:val="20"/>
                <w:szCs w:val="20"/>
                <w:color w:val="auto"/>
              </w:rPr>
            </w:pPr>
            <w:r>
              <w:rPr>
                <w:rFonts w:ascii="Arial" w:cs="Arial" w:eastAsia="Arial" w:hAnsi="Arial"/>
                <w:sz w:val="18"/>
                <w:szCs w:val="18"/>
                <w:color w:val="auto"/>
                <w:w w:val="94"/>
              </w:rPr>
              <w:t>Oxley Act of 2002</w:t>
            </w:r>
          </w:p>
        </w:tc>
        <w:tc>
          <w:tcPr>
            <w:tcW w:w="8420" w:type="dxa"/>
            <w:vAlign w:val="bottom"/>
            <w:tcBorders>
              <w:top w:val="single" w:sz="8" w:color="auto"/>
            </w:tcBorders>
            <w:gridSpan w:val="4"/>
          </w:tcPr>
          <w:p>
            <w:pPr>
              <w:spacing w:after="0"/>
              <w:rPr>
                <w:sz w:val="15"/>
                <w:szCs w:val="15"/>
                <w:color w:val="auto"/>
              </w:rPr>
            </w:pPr>
          </w:p>
        </w:tc>
        <w:tc>
          <w:tcPr>
            <w:tcW w:w="20" w:type="dxa"/>
            <w:vAlign w:val="bottom"/>
          </w:tcPr>
          <w:p>
            <w:pPr>
              <w:spacing w:after="0"/>
              <w:rPr>
                <w:sz w:val="15"/>
                <w:szCs w:val="15"/>
                <w:color w:val="auto"/>
              </w:rPr>
            </w:pPr>
          </w:p>
        </w:tc>
      </w:tr>
      <w:tr>
        <w:trPr>
          <w:trHeight w:val="263"/>
        </w:trPr>
        <w:tc>
          <w:tcPr>
            <w:tcW w:w="920" w:type="dxa"/>
            <w:vAlign w:val="bottom"/>
          </w:tcPr>
          <w:p>
            <w:pPr>
              <w:jc w:val="center"/>
              <w:ind w:right="70"/>
              <w:spacing w:after="0"/>
              <w:rPr>
                <w:sz w:val="20"/>
                <w:szCs w:val="20"/>
                <w:color w:val="auto"/>
              </w:rPr>
            </w:pPr>
            <w:r>
              <w:rPr>
                <w:rFonts w:ascii="Arial" w:cs="Arial" w:eastAsia="Arial" w:hAnsi="Arial"/>
                <w:sz w:val="18"/>
                <w:szCs w:val="18"/>
                <w:color w:val="auto"/>
                <w:w w:val="92"/>
              </w:rPr>
              <w:t>101.INS</w:t>
            </w:r>
          </w:p>
        </w:tc>
        <w:tc>
          <w:tcPr>
            <w:tcW w:w="10000" w:type="dxa"/>
            <w:vAlign w:val="bottom"/>
            <w:gridSpan w:val="7"/>
          </w:tcPr>
          <w:p>
            <w:pPr>
              <w:ind w:left="160"/>
              <w:spacing w:after="0"/>
              <w:rPr>
                <w:sz w:val="20"/>
                <w:szCs w:val="20"/>
                <w:color w:val="auto"/>
              </w:rPr>
            </w:pPr>
            <w:r>
              <w:rPr>
                <w:rFonts w:ascii="Arial" w:cs="Arial" w:eastAsia="Arial" w:hAnsi="Arial"/>
                <w:sz w:val="18"/>
                <w:szCs w:val="18"/>
                <w:color w:val="auto"/>
                <w:w w:val="98"/>
              </w:rPr>
              <w:t>Inline XBRL Instance Document – the instance document does not appear in the Interactive Data File because XBRL tags are</w:t>
            </w:r>
          </w:p>
        </w:tc>
      </w:tr>
      <w:tr>
        <w:trPr>
          <w:trHeight w:val="230"/>
        </w:trPr>
        <w:tc>
          <w:tcPr>
            <w:tcW w:w="920" w:type="dxa"/>
            <w:vAlign w:val="bottom"/>
          </w:tcPr>
          <w:p>
            <w:pPr>
              <w:spacing w:after="0"/>
              <w:rPr>
                <w:sz w:val="20"/>
                <w:szCs w:val="20"/>
                <w:color w:val="auto"/>
              </w:rPr>
            </w:pPr>
          </w:p>
        </w:tc>
        <w:tc>
          <w:tcPr>
            <w:tcW w:w="10000" w:type="dxa"/>
            <w:vAlign w:val="bottom"/>
            <w:gridSpan w:val="7"/>
          </w:tcPr>
          <w:p>
            <w:pPr>
              <w:ind w:left="160"/>
              <w:spacing w:after="0"/>
              <w:rPr>
                <w:sz w:val="20"/>
                <w:szCs w:val="20"/>
                <w:color w:val="auto"/>
              </w:rPr>
            </w:pPr>
            <w:r>
              <w:rPr>
                <w:rFonts w:ascii="Arial" w:cs="Arial" w:eastAsia="Arial" w:hAnsi="Arial"/>
                <w:sz w:val="18"/>
                <w:szCs w:val="18"/>
                <w:color w:val="auto"/>
              </w:rPr>
              <w:t>embedded within the Inline XBRL document</w:t>
            </w:r>
          </w:p>
        </w:tc>
      </w:tr>
      <w:tr>
        <w:trPr>
          <w:trHeight w:val="257"/>
        </w:trPr>
        <w:tc>
          <w:tcPr>
            <w:tcW w:w="920" w:type="dxa"/>
            <w:vAlign w:val="bottom"/>
          </w:tcPr>
          <w:p>
            <w:pPr>
              <w:jc w:val="center"/>
              <w:ind w:right="70"/>
              <w:spacing w:after="0"/>
              <w:rPr>
                <w:sz w:val="20"/>
                <w:szCs w:val="20"/>
                <w:color w:val="auto"/>
              </w:rPr>
            </w:pPr>
            <w:r>
              <w:rPr>
                <w:rFonts w:ascii="Arial" w:cs="Arial" w:eastAsia="Arial" w:hAnsi="Arial"/>
                <w:sz w:val="18"/>
                <w:szCs w:val="18"/>
                <w:color w:val="auto"/>
                <w:w w:val="94"/>
              </w:rPr>
              <w:t>101.SCH*</w:t>
            </w:r>
          </w:p>
        </w:tc>
        <w:tc>
          <w:tcPr>
            <w:tcW w:w="10000" w:type="dxa"/>
            <w:vAlign w:val="bottom"/>
            <w:gridSpan w:val="7"/>
          </w:tcPr>
          <w:p>
            <w:pPr>
              <w:ind w:left="160"/>
              <w:spacing w:after="0"/>
              <w:rPr>
                <w:sz w:val="20"/>
                <w:szCs w:val="20"/>
                <w:color w:val="auto"/>
              </w:rPr>
            </w:pPr>
            <w:r>
              <w:rPr>
                <w:rFonts w:ascii="Arial" w:cs="Arial" w:eastAsia="Arial" w:hAnsi="Arial"/>
                <w:sz w:val="18"/>
                <w:szCs w:val="18"/>
                <w:color w:val="auto"/>
              </w:rPr>
              <w:t>Inline XBRL Taxonomy Extension Schema Document</w:t>
            </w:r>
          </w:p>
        </w:tc>
      </w:tr>
      <w:tr>
        <w:trPr>
          <w:trHeight w:val="256"/>
        </w:trPr>
        <w:tc>
          <w:tcPr>
            <w:tcW w:w="920" w:type="dxa"/>
            <w:vAlign w:val="bottom"/>
          </w:tcPr>
          <w:p>
            <w:pPr>
              <w:jc w:val="center"/>
              <w:ind w:right="70"/>
              <w:spacing w:after="0"/>
              <w:rPr>
                <w:sz w:val="20"/>
                <w:szCs w:val="20"/>
                <w:color w:val="auto"/>
              </w:rPr>
            </w:pPr>
            <w:r>
              <w:rPr>
                <w:rFonts w:ascii="Arial" w:cs="Arial" w:eastAsia="Arial" w:hAnsi="Arial"/>
                <w:sz w:val="18"/>
                <w:szCs w:val="18"/>
                <w:color w:val="auto"/>
                <w:w w:val="98"/>
              </w:rPr>
              <w:t>101.CAL*</w:t>
            </w:r>
          </w:p>
        </w:tc>
        <w:tc>
          <w:tcPr>
            <w:tcW w:w="10000" w:type="dxa"/>
            <w:vAlign w:val="bottom"/>
            <w:gridSpan w:val="7"/>
          </w:tcPr>
          <w:p>
            <w:pPr>
              <w:ind w:left="16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57"/>
        </w:trPr>
        <w:tc>
          <w:tcPr>
            <w:tcW w:w="920" w:type="dxa"/>
            <w:vAlign w:val="bottom"/>
          </w:tcPr>
          <w:p>
            <w:pPr>
              <w:jc w:val="center"/>
              <w:ind w:right="50"/>
              <w:spacing w:after="0"/>
              <w:rPr>
                <w:sz w:val="20"/>
                <w:szCs w:val="20"/>
                <w:color w:val="auto"/>
              </w:rPr>
            </w:pPr>
            <w:r>
              <w:rPr>
                <w:rFonts w:ascii="Arial" w:cs="Arial" w:eastAsia="Arial" w:hAnsi="Arial"/>
                <w:sz w:val="18"/>
                <w:szCs w:val="18"/>
                <w:color w:val="auto"/>
                <w:w w:val="94"/>
              </w:rPr>
              <w:t>101.DEF*</w:t>
            </w:r>
          </w:p>
        </w:tc>
        <w:tc>
          <w:tcPr>
            <w:tcW w:w="10000" w:type="dxa"/>
            <w:vAlign w:val="bottom"/>
            <w:gridSpan w:val="7"/>
          </w:tcPr>
          <w:p>
            <w:pPr>
              <w:ind w:left="16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57"/>
        </w:trPr>
        <w:tc>
          <w:tcPr>
            <w:tcW w:w="920" w:type="dxa"/>
            <w:vAlign w:val="bottom"/>
          </w:tcPr>
          <w:p>
            <w:pPr>
              <w:jc w:val="center"/>
              <w:ind w:right="70"/>
              <w:spacing w:after="0"/>
              <w:rPr>
                <w:sz w:val="20"/>
                <w:szCs w:val="20"/>
                <w:color w:val="auto"/>
              </w:rPr>
            </w:pPr>
            <w:r>
              <w:rPr>
                <w:rFonts w:ascii="Arial" w:cs="Arial" w:eastAsia="Arial" w:hAnsi="Arial"/>
                <w:sz w:val="18"/>
                <w:szCs w:val="18"/>
                <w:color w:val="auto"/>
                <w:w w:val="99"/>
              </w:rPr>
              <w:t>101.LAB*</w:t>
            </w:r>
          </w:p>
        </w:tc>
        <w:tc>
          <w:tcPr>
            <w:tcW w:w="10000" w:type="dxa"/>
            <w:vAlign w:val="bottom"/>
            <w:gridSpan w:val="7"/>
          </w:tcPr>
          <w:p>
            <w:pPr>
              <w:ind w:left="16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57"/>
        </w:trPr>
        <w:tc>
          <w:tcPr>
            <w:tcW w:w="920" w:type="dxa"/>
            <w:vAlign w:val="bottom"/>
          </w:tcPr>
          <w:p>
            <w:pPr>
              <w:jc w:val="center"/>
              <w:ind w:right="50"/>
              <w:spacing w:after="0"/>
              <w:rPr>
                <w:sz w:val="20"/>
                <w:szCs w:val="20"/>
                <w:color w:val="auto"/>
              </w:rPr>
            </w:pPr>
            <w:r>
              <w:rPr>
                <w:rFonts w:ascii="Arial" w:cs="Arial" w:eastAsia="Arial" w:hAnsi="Arial"/>
                <w:sz w:val="18"/>
                <w:szCs w:val="18"/>
                <w:color w:val="auto"/>
                <w:w w:val="93"/>
              </w:rPr>
              <w:t>101.PRE*</w:t>
            </w:r>
          </w:p>
        </w:tc>
        <w:tc>
          <w:tcPr>
            <w:tcW w:w="10000" w:type="dxa"/>
            <w:vAlign w:val="bottom"/>
            <w:gridSpan w:val="7"/>
          </w:tcPr>
          <w:p>
            <w:pPr>
              <w:ind w:left="160"/>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56"/>
        </w:trPr>
        <w:tc>
          <w:tcPr>
            <w:tcW w:w="920" w:type="dxa"/>
            <w:vAlign w:val="bottom"/>
          </w:tcPr>
          <w:p>
            <w:pPr>
              <w:jc w:val="center"/>
              <w:ind w:right="70"/>
              <w:spacing w:after="0"/>
              <w:rPr>
                <w:sz w:val="20"/>
                <w:szCs w:val="20"/>
                <w:color w:val="auto"/>
              </w:rPr>
            </w:pPr>
            <w:r>
              <w:rPr>
                <w:rFonts w:ascii="Arial" w:cs="Arial" w:eastAsia="Arial" w:hAnsi="Arial"/>
                <w:sz w:val="18"/>
                <w:szCs w:val="18"/>
                <w:color w:val="auto"/>
                <w:w w:val="97"/>
              </w:rPr>
              <w:t>104*</w:t>
            </w:r>
          </w:p>
        </w:tc>
        <w:tc>
          <w:tcPr>
            <w:tcW w:w="10000" w:type="dxa"/>
            <w:vAlign w:val="bottom"/>
            <w:gridSpan w:val="7"/>
          </w:tcPr>
          <w:p>
            <w:pPr>
              <w:ind w:left="160"/>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w:t>
      </w:r>
    </w:p>
    <w:p>
      <w:pPr>
        <w:spacing w:after="0" w:line="23"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9" w:lineRule="exact"/>
        <w:rPr>
          <w:sz w:val="20"/>
          <w:szCs w:val="20"/>
          <w:color w:val="auto"/>
        </w:rPr>
      </w:pPr>
    </w:p>
    <w:p>
      <w:pPr>
        <w:ind w:left="660" w:hanging="652"/>
        <w:spacing w:after="0" w:line="253" w:lineRule="auto"/>
        <w:tabs>
          <w:tab w:leader="none" w:pos="41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certifications attached as Exhibit 32.1 and Exhibit 32.2 that accompany this Quarterly Report on Form 10-Q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 except to the extent that the registrant specifically incorporates them by reference.</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AIRSCULPT TECHNOLOGIES, INC.</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20" w:type="dxa"/>
            <w:vAlign w:val="bottom"/>
          </w:tcPr>
          <w:p>
            <w:pPr>
              <w:jc w:val="center"/>
              <w:ind w:right="330"/>
              <w:spacing w:after="0"/>
              <w:rPr>
                <w:sz w:val="20"/>
                <w:szCs w:val="20"/>
                <w:color w:val="auto"/>
              </w:rPr>
            </w:pPr>
            <w:r>
              <w:rPr>
                <w:rFonts w:ascii="Arial" w:cs="Arial" w:eastAsia="Arial" w:hAnsi="Arial"/>
                <w:sz w:val="18"/>
                <w:szCs w:val="18"/>
                <w:color w:val="auto"/>
                <w:w w:val="99"/>
              </w:rPr>
              <w:t>By:</w:t>
            </w:r>
          </w:p>
        </w:tc>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Dennis Dean</w:t>
            </w:r>
          </w:p>
        </w:tc>
      </w:tr>
      <w:tr>
        <w:trPr>
          <w:trHeight w:val="222"/>
        </w:trPr>
        <w:tc>
          <w:tcPr>
            <w:tcW w:w="2320" w:type="dxa"/>
            <w:vAlign w:val="bottom"/>
          </w:tcPr>
          <w:p>
            <w:pPr>
              <w:spacing w:after="0"/>
              <w:rPr>
                <w:sz w:val="19"/>
                <w:szCs w:val="19"/>
                <w:color w:val="auto"/>
              </w:rPr>
            </w:pPr>
          </w:p>
        </w:tc>
        <w:tc>
          <w:tcPr>
            <w:tcW w:w="5940" w:type="dxa"/>
            <w:vAlign w:val="bottom"/>
          </w:tcPr>
          <w:p>
            <w:pPr>
              <w:ind w:left="20"/>
              <w:spacing w:after="0"/>
              <w:rPr>
                <w:sz w:val="20"/>
                <w:szCs w:val="20"/>
                <w:color w:val="auto"/>
              </w:rPr>
            </w:pPr>
            <w:r>
              <w:rPr>
                <w:rFonts w:ascii="Arial" w:cs="Arial" w:eastAsia="Arial" w:hAnsi="Arial"/>
                <w:sz w:val="18"/>
                <w:szCs w:val="18"/>
                <w:color w:val="auto"/>
              </w:rPr>
              <w:t>Dennis Dean</w:t>
            </w:r>
          </w:p>
        </w:tc>
      </w:tr>
      <w:tr>
        <w:trPr>
          <w:trHeight w:val="229"/>
        </w:trPr>
        <w:tc>
          <w:tcPr>
            <w:tcW w:w="2320" w:type="dxa"/>
            <w:vAlign w:val="bottom"/>
          </w:tcPr>
          <w:p>
            <w:pPr>
              <w:spacing w:after="0"/>
              <w:rPr>
                <w:sz w:val="19"/>
                <w:szCs w:val="19"/>
                <w:color w:val="auto"/>
              </w:rPr>
            </w:pPr>
          </w:p>
        </w:tc>
        <w:tc>
          <w:tcPr>
            <w:tcW w:w="59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2320" w:type="dxa"/>
            <w:vAlign w:val="bottom"/>
          </w:tcPr>
          <w:p>
            <w:pPr>
              <w:spacing w:after="0"/>
              <w:rPr>
                <w:sz w:val="20"/>
                <w:szCs w:val="20"/>
                <w:color w:val="auto"/>
              </w:rPr>
            </w:pPr>
          </w:p>
        </w:tc>
        <w:tc>
          <w:tcPr>
            <w:tcW w:w="5940" w:type="dxa"/>
            <w:vAlign w:val="bottom"/>
          </w:tcPr>
          <w:p>
            <w:pPr>
              <w:ind w:left="20"/>
              <w:spacing w:after="0"/>
              <w:rPr>
                <w:sz w:val="20"/>
                <w:szCs w:val="20"/>
                <w:color w:val="auto"/>
              </w:rPr>
            </w:pPr>
            <w:r>
              <w:rPr>
                <w:rFonts w:ascii="Arial" w:cs="Arial" w:eastAsia="Arial" w:hAnsi="Arial"/>
                <w:sz w:val="18"/>
                <w:szCs w:val="18"/>
                <w:color w:val="auto"/>
              </w:rPr>
              <w:t>(Principal Accounting and Financial Officer)</w:t>
            </w:r>
          </w:p>
        </w:tc>
      </w:tr>
      <w:tr>
        <w:trPr>
          <w:trHeight w:val="513"/>
        </w:trPr>
        <w:tc>
          <w:tcPr>
            <w:tcW w:w="2320" w:type="dxa"/>
            <w:vAlign w:val="bottom"/>
          </w:tcPr>
          <w:p>
            <w:pPr>
              <w:jc w:val="center"/>
              <w:ind w:right="350"/>
              <w:spacing w:after="0"/>
              <w:rPr>
                <w:sz w:val="20"/>
                <w:szCs w:val="20"/>
                <w:color w:val="auto"/>
              </w:rPr>
            </w:pPr>
            <w:r>
              <w:rPr>
                <w:rFonts w:ascii="Arial" w:cs="Arial" w:eastAsia="Arial" w:hAnsi="Arial"/>
                <w:sz w:val="18"/>
                <w:szCs w:val="18"/>
                <w:color w:val="auto"/>
                <w:w w:val="91"/>
              </w:rPr>
              <w:t>Date: November 13, 2023</w:t>
            </w:r>
          </w:p>
        </w:tc>
        <w:tc>
          <w:tcPr>
            <w:tcW w:w="5940" w:type="dxa"/>
            <w:vAlign w:val="bottom"/>
          </w:tcPr>
          <w:p>
            <w:pPr>
              <w:spacing w:after="0"/>
              <w:rPr>
                <w:sz w:val="24"/>
                <w:szCs w:val="24"/>
                <w:color w:val="auto"/>
              </w:rPr>
            </w:pPr>
          </w:p>
        </w:tc>
      </w:tr>
      <w:tr>
        <w:trPr>
          <w:trHeight w:val="823"/>
        </w:trPr>
        <w:tc>
          <w:tcPr>
            <w:tcW w:w="2320" w:type="dxa"/>
            <w:vAlign w:val="bottom"/>
          </w:tcPr>
          <w:p>
            <w:pPr>
              <w:spacing w:after="0"/>
              <w:rPr>
                <w:sz w:val="24"/>
                <w:szCs w:val="24"/>
                <w:color w:val="auto"/>
              </w:rPr>
            </w:pPr>
          </w:p>
        </w:tc>
        <w:tc>
          <w:tcPr>
            <w:tcW w:w="5940" w:type="dxa"/>
            <w:vAlign w:val="bottom"/>
          </w:tcPr>
          <w:p>
            <w:pPr>
              <w:ind w:left="3220"/>
              <w:spacing w:after="0"/>
              <w:rPr>
                <w:sz w:val="20"/>
                <w:szCs w:val="20"/>
                <w:color w:val="auto"/>
              </w:rPr>
            </w:pPr>
            <w:r>
              <w:rPr>
                <w:rFonts w:ascii="Arial" w:cs="Arial" w:eastAsia="Arial" w:hAnsi="Arial"/>
                <w:sz w:val="18"/>
                <w:szCs w:val="18"/>
                <w:color w:val="auto"/>
              </w:rPr>
              <w:t>26</w:t>
            </w:r>
          </w:p>
        </w:tc>
      </w:tr>
    </w:tbl>
    <w:p>
      <w:pPr>
        <w:sectPr>
          <w:pgSz w:w="11900" w:h="16838" w:orient="portrait"/>
          <w:cols w:equalWidth="0" w:num="1">
            <w:col w:w="11240"/>
          </w:cols>
          <w:pgMar w:left="320" w:top="517"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CERTIFICATION PURSUANT TO</w:t>
      </w:r>
    </w:p>
    <w:p>
      <w:pPr>
        <w:ind w:left="4640"/>
        <w:spacing w:after="0" w:line="221" w:lineRule="auto"/>
        <w:rPr>
          <w:sz w:val="20"/>
          <w:szCs w:val="20"/>
          <w:color w:val="auto"/>
        </w:rPr>
      </w:pPr>
      <w:r>
        <w:rPr>
          <w:rFonts w:ascii="Arial" w:cs="Arial" w:eastAsia="Arial" w:hAnsi="Arial"/>
          <w:sz w:val="18"/>
          <w:szCs w:val="18"/>
          <w:b w:val="1"/>
          <w:bCs w:val="1"/>
          <w:color w:val="auto"/>
        </w:rPr>
        <w:t>18 U.S.C. SECTION 1350</w:t>
      </w:r>
    </w:p>
    <w:p>
      <w:pPr>
        <w:jc w:val="center"/>
        <w:spacing w:after="0" w:line="219"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Todd Magazine, certify that:</w:t>
      </w:r>
    </w:p>
    <w:p>
      <w:pPr>
        <w:spacing w:after="0" w:line="225"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AirSculpt Technologies,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340" w:hanging="8"/>
        <w:spacing w:after="0" w:line="263" w:lineRule="auto"/>
        <w:tabs>
          <w:tab w:leader="none" w:pos="661"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340" w:hanging="8"/>
        <w:spacing w:after="0" w:line="263" w:lineRule="auto"/>
        <w:tabs>
          <w:tab w:leader="none" w:pos="658"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340" w:hanging="8"/>
        <w:spacing w:after="0" w:line="308" w:lineRule="auto"/>
        <w:tabs>
          <w:tab w:leader="none" w:pos="661" w:val="left"/>
        </w:tabs>
        <w:numPr>
          <w:ilvl w:val="1"/>
          <w:numId w:val="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340" w:hanging="8"/>
        <w:spacing w:after="0" w:line="263" w:lineRule="auto"/>
        <w:tabs>
          <w:tab w:leader="none" w:pos="658"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hanging="8"/>
        <w:spacing w:after="0" w:line="277" w:lineRule="auto"/>
        <w:tabs>
          <w:tab w:leader="none" w:pos="661"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hanging="8"/>
        <w:spacing w:after="0" w:line="277" w:lineRule="auto"/>
        <w:tabs>
          <w:tab w:leader="none" w:pos="658"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7" w:lineRule="exact"/>
        <w:rPr>
          <w:sz w:val="20"/>
          <w:szCs w:val="20"/>
          <w:color w:val="auto"/>
        </w:rPr>
      </w:pPr>
    </w:p>
    <w:p>
      <w:pPr>
        <w:ind w:left="7380"/>
        <w:spacing w:after="0"/>
        <w:rPr>
          <w:sz w:val="20"/>
          <w:szCs w:val="20"/>
          <w:color w:val="auto"/>
        </w:rPr>
      </w:pPr>
      <w:r>
        <w:rPr>
          <w:rFonts w:ascii="Arial" w:cs="Arial" w:eastAsia="Arial" w:hAnsi="Arial"/>
          <w:sz w:val="18"/>
          <w:szCs w:val="18"/>
          <w:b w:val="1"/>
          <w:bCs w:val="1"/>
          <w:color w:val="auto"/>
        </w:rPr>
        <w:t>AirSculpt Technologies, Inc.</w:t>
      </w:r>
    </w:p>
    <w:p>
      <w:pPr>
        <w:spacing w:after="0" w:line="175" w:lineRule="exact"/>
        <w:rPr>
          <w:sz w:val="20"/>
          <w:szCs w:val="20"/>
          <w:color w:val="auto"/>
        </w:rPr>
      </w:pPr>
    </w:p>
    <w:p>
      <w:pPr>
        <w:ind w:left="360"/>
        <w:spacing w:after="0"/>
        <w:tabs>
          <w:tab w:leader="none" w:pos="7360" w:val="left"/>
          <w:tab w:leader="none" w:pos="7940" w:val="left"/>
        </w:tabs>
        <w:rPr>
          <w:sz w:val="20"/>
          <w:szCs w:val="20"/>
          <w:color w:val="auto"/>
        </w:rPr>
      </w:pPr>
      <w:r>
        <w:rPr>
          <w:rFonts w:ascii="Arial" w:cs="Arial" w:eastAsia="Arial" w:hAnsi="Arial"/>
          <w:sz w:val="18"/>
          <w:szCs w:val="18"/>
          <w:color w:val="auto"/>
        </w:rPr>
        <w:t>Date: November 13,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Todd Magazine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14605</wp:posOffset>
            </wp:positionV>
            <wp:extent cx="183451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34515" cy="8890"/>
                    </a:xfrm>
                    <a:prstGeom prst="rect">
                      <a:avLst/>
                    </a:prstGeom>
                    <a:noFill/>
                  </pic:spPr>
                </pic:pic>
              </a:graphicData>
            </a:graphic>
          </wp:anchor>
        </w:drawing>
      </w:r>
    </w:p>
    <w:p>
      <w:pPr>
        <w:spacing w:after="0" w:line="16"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Todd Magazine</w:t>
      </w:r>
    </w:p>
    <w:p>
      <w:pPr>
        <w:spacing w:after="0" w:line="23"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147"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CERTIFICATION PURSUANT TO</w:t>
      </w:r>
    </w:p>
    <w:p>
      <w:pPr>
        <w:ind w:left="4640"/>
        <w:spacing w:after="0" w:line="221" w:lineRule="auto"/>
        <w:rPr>
          <w:sz w:val="20"/>
          <w:szCs w:val="20"/>
          <w:color w:val="auto"/>
        </w:rPr>
      </w:pPr>
      <w:r>
        <w:rPr>
          <w:rFonts w:ascii="Arial" w:cs="Arial" w:eastAsia="Arial" w:hAnsi="Arial"/>
          <w:sz w:val="18"/>
          <w:szCs w:val="18"/>
          <w:b w:val="1"/>
          <w:bCs w:val="1"/>
          <w:color w:val="auto"/>
        </w:rPr>
        <w:t>18 U.S.C. SECTION 1350</w:t>
      </w:r>
    </w:p>
    <w:p>
      <w:pPr>
        <w:jc w:val="center"/>
        <w:spacing w:after="0" w:line="219"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Dennis Dean, certify that:</w:t>
      </w:r>
    </w:p>
    <w:p>
      <w:pPr>
        <w:spacing w:after="0" w:line="225"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AirSculpt Technologies,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340" w:hanging="8"/>
        <w:spacing w:after="0" w:line="263" w:lineRule="auto"/>
        <w:tabs>
          <w:tab w:leader="none" w:pos="661"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340" w:hanging="8"/>
        <w:spacing w:after="0" w:line="263" w:lineRule="auto"/>
        <w:tabs>
          <w:tab w:leader="none" w:pos="658"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340" w:hanging="8"/>
        <w:spacing w:after="0" w:line="308" w:lineRule="auto"/>
        <w:tabs>
          <w:tab w:leader="none" w:pos="661" w:val="left"/>
        </w:tabs>
        <w:numPr>
          <w:ilvl w:val="1"/>
          <w:numId w:val="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340" w:hanging="8"/>
        <w:spacing w:after="0" w:line="263" w:lineRule="auto"/>
        <w:tabs>
          <w:tab w:leader="none" w:pos="658"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hanging="8"/>
        <w:spacing w:after="0" w:line="277" w:lineRule="auto"/>
        <w:tabs>
          <w:tab w:leader="none" w:pos="661"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hanging="8"/>
        <w:spacing w:after="0" w:line="277" w:lineRule="auto"/>
        <w:tabs>
          <w:tab w:leader="none" w:pos="658"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7" w:lineRule="exact"/>
        <w:rPr>
          <w:sz w:val="20"/>
          <w:szCs w:val="20"/>
          <w:color w:val="auto"/>
        </w:rPr>
      </w:pPr>
    </w:p>
    <w:p>
      <w:pPr>
        <w:ind w:left="7380"/>
        <w:spacing w:after="0"/>
        <w:rPr>
          <w:sz w:val="20"/>
          <w:szCs w:val="20"/>
          <w:color w:val="auto"/>
        </w:rPr>
      </w:pPr>
      <w:r>
        <w:rPr>
          <w:rFonts w:ascii="Arial" w:cs="Arial" w:eastAsia="Arial" w:hAnsi="Arial"/>
          <w:sz w:val="18"/>
          <w:szCs w:val="18"/>
          <w:b w:val="1"/>
          <w:bCs w:val="1"/>
          <w:color w:val="auto"/>
        </w:rPr>
        <w:t>AirSculpt Technologies, Inc.</w:t>
      </w:r>
    </w:p>
    <w:p>
      <w:pPr>
        <w:spacing w:after="0" w:line="200" w:lineRule="exact"/>
        <w:rPr>
          <w:sz w:val="20"/>
          <w:szCs w:val="20"/>
          <w:color w:val="auto"/>
        </w:rPr>
      </w:pPr>
    </w:p>
    <w:p>
      <w:pPr>
        <w:spacing w:after="0" w:line="205" w:lineRule="exact"/>
        <w:rPr>
          <w:sz w:val="20"/>
          <w:szCs w:val="20"/>
          <w:color w:val="auto"/>
        </w:rPr>
      </w:pPr>
    </w:p>
    <w:p>
      <w:pPr>
        <w:ind w:left="360"/>
        <w:spacing w:after="0"/>
        <w:tabs>
          <w:tab w:leader="none" w:pos="7360" w:val="left"/>
          <w:tab w:leader="none" w:pos="7940" w:val="left"/>
        </w:tabs>
        <w:rPr>
          <w:sz w:val="20"/>
          <w:szCs w:val="20"/>
          <w:color w:val="auto"/>
        </w:rPr>
      </w:pPr>
      <w:r>
        <w:rPr>
          <w:rFonts w:ascii="Arial" w:cs="Arial" w:eastAsia="Arial" w:hAnsi="Arial"/>
          <w:sz w:val="18"/>
          <w:szCs w:val="18"/>
          <w:color w:val="auto"/>
        </w:rPr>
        <w:t>Date: November 13,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Dennis Dean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14605</wp:posOffset>
            </wp:positionV>
            <wp:extent cx="183451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34515" cy="8890"/>
                    </a:xfrm>
                    <a:prstGeom prst="rect">
                      <a:avLst/>
                    </a:prstGeom>
                    <a:noFill/>
                  </pic:spPr>
                </pic:pic>
              </a:graphicData>
            </a:graphic>
          </wp:anchor>
        </w:drawing>
      </w:r>
    </w:p>
    <w:p>
      <w:pPr>
        <w:spacing w:after="0" w:line="232"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Dennis Dean</w:t>
      </w:r>
    </w:p>
    <w:p>
      <w:pPr>
        <w:spacing w:after="0" w:line="23"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147"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connection with the quarterly report of AirSculpt Technologies, Inc. (the “Company”) on Form 10-Q for the period ended September 30, 2023, as filed with the Securities and Exchange Commission on the date hereof (the “Report”), the undersigned certifies, pursuant to 18 U.S.C. Sec. 1350, as adopted pursuant to Section 906 of the Sarbanes-Oxley Act of 2002, that:</w:t>
      </w:r>
    </w:p>
    <w:p>
      <w:pPr>
        <w:spacing w:after="0" w:line="184"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Sections 13(a) or 15(d) of the Securities Exchange Act of 1934; and</w:t>
      </w:r>
    </w:p>
    <w:p>
      <w:pPr>
        <w:spacing w:after="0" w:line="225" w:lineRule="exact"/>
        <w:rPr>
          <w:rFonts w:ascii="Arial" w:cs="Arial" w:eastAsia="Arial" w:hAnsi="Arial"/>
          <w:sz w:val="18"/>
          <w:szCs w:val="18"/>
          <w:color w:val="auto"/>
        </w:rPr>
      </w:pPr>
    </w:p>
    <w:p>
      <w:pPr>
        <w:ind w:left="340" w:right="260" w:hanging="332"/>
        <w:spacing w:after="0" w:line="277" w:lineRule="auto"/>
        <w:tabs>
          <w:tab w:leader="none" w:pos="33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200" w:lineRule="exact"/>
        <w:rPr>
          <w:sz w:val="20"/>
          <w:szCs w:val="20"/>
          <w:color w:val="auto"/>
        </w:rPr>
      </w:pPr>
    </w:p>
    <w:p>
      <w:pPr>
        <w:spacing w:after="0" w:line="267" w:lineRule="exact"/>
        <w:rPr>
          <w:sz w:val="20"/>
          <w:szCs w:val="20"/>
          <w:color w:val="auto"/>
        </w:rPr>
      </w:pPr>
    </w:p>
    <w:p>
      <w:pPr>
        <w:ind w:left="360"/>
        <w:spacing w:after="0"/>
        <w:tabs>
          <w:tab w:leader="none" w:pos="6940" w:val="left"/>
          <w:tab w:leader="none" w:pos="7480" w:val="left"/>
        </w:tabs>
        <w:rPr>
          <w:sz w:val="20"/>
          <w:szCs w:val="20"/>
          <w:color w:val="auto"/>
        </w:rPr>
      </w:pPr>
      <w:r>
        <w:rPr>
          <w:rFonts w:ascii="Arial" w:cs="Arial" w:eastAsia="Arial" w:hAnsi="Arial"/>
          <w:sz w:val="18"/>
          <w:szCs w:val="18"/>
          <w:color w:val="auto"/>
        </w:rPr>
        <w:t>Date: November 13,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Todd Magazine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14605</wp:posOffset>
            </wp:positionV>
            <wp:extent cx="23914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232"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Todd Magazine</w:t>
      </w:r>
    </w:p>
    <w:p>
      <w:pPr>
        <w:spacing w:after="0" w:line="23"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147"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In connection with the quarterly report of AirSculpt Technologies, Inc. (the “Company”) on Form 10-Q for the period ended September 30, 2023, as filed with the Securities and Exchange Commission on the date hereof (the “Report”), the undersigned certifies, pursuant to 18 U.S.C. Sec. 1350, as adopted pursuant to Section 906 of the Sarbanes-Oxley Act of 2002, that:</w:t>
      </w:r>
    </w:p>
    <w:p>
      <w:pPr>
        <w:spacing w:after="0" w:line="184"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Sections 13(a) or 15(d) of the Securities Exchange Act of 1934; and</w:t>
      </w:r>
    </w:p>
    <w:p>
      <w:pPr>
        <w:spacing w:after="0" w:line="225" w:lineRule="exact"/>
        <w:rPr>
          <w:rFonts w:ascii="Arial" w:cs="Arial" w:eastAsia="Arial" w:hAnsi="Arial"/>
          <w:sz w:val="18"/>
          <w:szCs w:val="18"/>
          <w:color w:val="auto"/>
        </w:rPr>
      </w:pPr>
    </w:p>
    <w:p>
      <w:pPr>
        <w:ind w:left="340" w:right="260" w:hanging="332"/>
        <w:spacing w:after="0" w:line="277" w:lineRule="auto"/>
        <w:tabs>
          <w:tab w:leader="none" w:pos="33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200" w:lineRule="exact"/>
        <w:rPr>
          <w:sz w:val="20"/>
          <w:szCs w:val="20"/>
          <w:color w:val="auto"/>
        </w:rPr>
      </w:pPr>
    </w:p>
    <w:p>
      <w:pPr>
        <w:spacing w:after="0" w:line="227" w:lineRule="exact"/>
        <w:rPr>
          <w:sz w:val="20"/>
          <w:szCs w:val="20"/>
          <w:color w:val="auto"/>
        </w:rPr>
      </w:pPr>
    </w:p>
    <w:p>
      <w:pPr>
        <w:ind w:left="20"/>
        <w:spacing w:after="0"/>
        <w:tabs>
          <w:tab w:leader="none" w:pos="7180" w:val="left"/>
        </w:tabs>
        <w:rPr>
          <w:sz w:val="20"/>
          <w:szCs w:val="20"/>
          <w:color w:val="auto"/>
        </w:rPr>
      </w:pPr>
      <w:r>
        <w:rPr>
          <w:rFonts w:ascii="Arial" w:cs="Arial" w:eastAsia="Arial" w:hAnsi="Arial"/>
          <w:sz w:val="18"/>
          <w:szCs w:val="18"/>
          <w:color w:val="auto"/>
        </w:rPr>
        <w:t>Date: November 13, 2023</w:t>
      </w:r>
      <w:r>
        <w:rPr>
          <w:sz w:val="20"/>
          <w:szCs w:val="20"/>
          <w:color w:val="auto"/>
        </w:rPr>
        <w:tab/>
      </w:r>
      <w:r>
        <w:rPr>
          <w:rFonts w:ascii="Arial" w:cs="Arial" w:eastAsia="Arial" w:hAnsi="Arial"/>
          <w:sz w:val="16"/>
          <w:szCs w:val="16"/>
          <w:color w:val="auto"/>
        </w:rPr>
        <w:t>By: /s/ Dennis Dean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14605</wp:posOffset>
            </wp:positionV>
            <wp:extent cx="23831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32"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Dennis Dean</w:t>
      </w:r>
    </w:p>
    <w:p>
      <w:pPr>
        <w:spacing w:after="0" w:line="239" w:lineRule="exact"/>
        <w:rPr>
          <w:sz w:val="20"/>
          <w:szCs w:val="20"/>
          <w:color w:val="auto"/>
        </w:rPr>
      </w:pPr>
    </w:p>
    <w:p>
      <w:pPr>
        <w:ind w:left="7500"/>
        <w:spacing w:after="0"/>
        <w:rPr>
          <w:sz w:val="20"/>
          <w:szCs w:val="20"/>
          <w:color w:val="auto"/>
        </w:rPr>
      </w:pPr>
      <w:r>
        <w:rPr>
          <w:rFonts w:ascii="Arial" w:cs="Arial" w:eastAsia="Arial" w:hAnsi="Arial"/>
          <w:sz w:val="18"/>
          <w:szCs w:val="18"/>
          <w:i w:val="1"/>
          <w:iCs w:val="1"/>
          <w:color w:val="auto"/>
        </w:rPr>
        <w:t>Chief Financial Officer</w:t>
      </w:r>
    </w:p>
    <w:sectPr>
      <w:pgSz w:w="11900" w:h="16838" w:orient="portrait"/>
      <w:cols w:equalWidth="0" w:num="1">
        <w:col w:w="11240"/>
      </w:cols>
      <w:pgMar w:left="320" w:top="11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2023-11-13T08:28:22Z</dcterms:created>
  <dcterms:modified xsi:type="dcterms:W3CDTF">2023-11-13T08:28:22Z</dcterms:modified>
</cp:coreProperties>
</file>