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March 31, 2024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8"/>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200" w:lineRule="exact"/>
        <w:rPr>
          <w:sz w:val="24"/>
          <w:szCs w:val="24"/>
          <w:color w:val="auto"/>
        </w:rPr>
      </w:pPr>
    </w:p>
    <w:p>
      <w:pPr>
        <w:spacing w:after="0" w:line="251"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1"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16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38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4" w:lineRule="exact"/>
        <w:rPr>
          <w:sz w:val="24"/>
          <w:szCs w:val="24"/>
          <w:color w:val="auto"/>
        </w:rPr>
      </w:pPr>
    </w:p>
    <w:p>
      <w:pPr>
        <w:ind w:right="29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57,569,952 shares of common stock outstanding as of May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80" w:type="dxa"/>
            <w:vAlign w:val="bottom"/>
            <w:gridSpan w:val="9"/>
          </w:tcPr>
          <w:p>
            <w:pPr>
              <w:ind w:left="1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00" w:type="dxa"/>
            <w:vAlign w:val="bottom"/>
            <w:tcBorders>
              <w:top w:val="single" w:sz="8" w:color="0000FF"/>
            </w:tcBorders>
            <w:gridSpan w:val="4"/>
          </w:tcPr>
          <w:p>
            <w:pPr>
              <w:spacing w:after="0"/>
              <w:rPr>
                <w:sz w:val="24"/>
                <w:szCs w:val="24"/>
                <w:color w:val="auto"/>
              </w:rPr>
            </w:pP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0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(Unaudited) and December 31, 2023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2024 and 2023 (Unaudited)</w:t>
            </w:r>
          </w:p>
        </w:tc>
        <w:tc>
          <w:tcPr>
            <w:tcW w:w="840" w:type="dxa"/>
            <w:vAlign w:val="bottom"/>
            <w:gridSpan w:val="4"/>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Other Comprehensive Income/(Loss) for the Three Months Ended March 31, 2024 and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8"/>
              </w:rPr>
              <w:t>2023 (Unaudited)</w:t>
            </w:r>
          </w:p>
        </w:tc>
        <w:tc>
          <w:tcPr>
            <w:tcW w:w="7840" w:type="dxa"/>
            <w:vAlign w:val="bottom"/>
            <w:tcBorders>
              <w:top w:val="single" w:sz="8" w:color="0000FF"/>
            </w:tcBorders>
            <w:gridSpan w:val="1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 2024 and 2023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(Unaudited)</w:t>
            </w: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 (Unaudited)</w:t>
            </w:r>
          </w:p>
        </w:tc>
        <w:tc>
          <w:tcPr>
            <w:tcW w:w="800" w:type="dxa"/>
            <w:vAlign w:val="bottom"/>
            <w:gridSpan w:val="3"/>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r>
              <w:rPr>
                <w:rFonts w:ascii="Times New Roman" w:cs="Times New Roman" w:eastAsia="Times New Roman" w:hAnsi="Times New Roman"/>
                <w:sz w:val="18"/>
                <w:szCs w:val="18"/>
                <w:color w:val="000000"/>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60" w:type="dxa"/>
            <w:vAlign w:val="bottom"/>
            <w:tcBorders>
              <w:left w:val="single" w:sz="8" w:color="0000FF"/>
            </w:tcBorders>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20"/>
                <w:szCs w:val="20"/>
                <w:color w:val="auto"/>
              </w:rPr>
            </w:pP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80" w:type="dxa"/>
            <w:vAlign w:val="bottom"/>
            <w:tcBorders>
              <w:top w:val="single" w:sz="8" w:color="0000FF"/>
            </w:tcBorders>
            <w:gridSpan w:val="2"/>
          </w:tcPr>
          <w:p>
            <w:pPr>
              <w:spacing w:after="0"/>
              <w:rPr>
                <w:sz w:val="20"/>
                <w:szCs w:val="20"/>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40" w:type="dxa"/>
            <w:vAlign w:val="bottom"/>
            <w:gridSpan w:val="11"/>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08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480" w:type="dxa"/>
            <w:vAlign w:val="bottom"/>
            <w:gridSpan w:val="3"/>
          </w:tcPr>
          <w:p>
            <w:pPr>
              <w:spacing w:after="0"/>
              <w:rPr>
                <w:sz w:val="20"/>
                <w:szCs w:val="20"/>
                <w:color w:val="auto"/>
              </w:rPr>
            </w:pPr>
          </w:p>
        </w:tc>
        <w:tc>
          <w:tcPr>
            <w:tcW w:w="94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including those factors discussed in the section titled “Risk Factors” in our Annual Report on Form 10-K. We qualify all of our forward-looking statements by these cautionary statements.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inability to open new centers due to rising interest rates and increased operating expenses due to rising inflation; increased competition in the weight loss and obesity solutions market, including</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factors discussed in the section titled “Item 1A. Risk Factors” in our Annual Report on Form 10-K could cause our results to differ materially from those expressed in the forward-looking statements made in this Quarterly Report on Form 10-Q and in other filings we make from time to time with the U.S. Securities and Exchange Commission. There also may be other risks and uncertainties that are currently unknown to us or that we are unable to predict at this time.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Quarterly Report on Form 10-Q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119,211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9)</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- 57,537,393</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57,355,676, respectively</w:t>
            </w:r>
          </w:p>
        </w:tc>
        <w:tc>
          <w:tcPr>
            <w:tcW w:w="2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202,714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204,019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00" w:lineRule="exact"/>
        <w:rPr>
          <w:sz w:val="20"/>
          <w:szCs w:val="20"/>
          <w:color w:val="auto"/>
        </w:rPr>
      </w:pPr>
    </w:p>
    <w:p>
      <w:pPr>
        <w:spacing w:after="0" w:line="29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7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Loss/(gain) on disposal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880" w:val="left"/>
          <w:tab w:leader="none" w:pos="156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47,620</w:t>
        <w:tab/>
        <w:t>$</w:t>
      </w:r>
      <w:r>
        <w:rPr>
          <w:sz w:val="20"/>
          <w:szCs w:val="20"/>
          <w:color w:val="auto"/>
        </w:rPr>
        <w:tab/>
      </w:r>
      <w:r>
        <w:rPr>
          <w:rFonts w:ascii="Times New Roman" w:cs="Times New Roman" w:eastAsia="Times New Roman" w:hAnsi="Times New Roman"/>
          <w:sz w:val="17"/>
          <w:szCs w:val="17"/>
          <w:color w:val="auto"/>
        </w:rPr>
        <w:t>45,813</w:t>
      </w:r>
    </w:p>
    <w:p>
      <w:pPr>
        <w:spacing w:after="0" w:line="333"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18,042</w:t>
      </w:r>
      <w:r>
        <w:rPr>
          <w:sz w:val="20"/>
          <w:szCs w:val="20"/>
          <w:color w:val="auto"/>
        </w:rPr>
        <w:tab/>
      </w:r>
      <w:r>
        <w:rPr>
          <w:rFonts w:ascii="Times New Roman" w:cs="Times New Roman" w:eastAsia="Times New Roman" w:hAnsi="Times New Roman"/>
          <w:sz w:val="18"/>
          <w:szCs w:val="18"/>
          <w:color w:val="auto"/>
        </w:rPr>
        <w:t>18,017</w:t>
      </w:r>
    </w:p>
    <w:p>
      <w:pPr>
        <w:spacing w:after="0" w:line="63"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15,756</w:t>
      </w:r>
      <w:r>
        <w:rPr>
          <w:sz w:val="20"/>
          <w:szCs w:val="20"/>
          <w:color w:val="auto"/>
        </w:rPr>
        <w:tab/>
      </w:r>
      <w:r>
        <w:rPr>
          <w:rFonts w:ascii="Times New Roman" w:cs="Times New Roman" w:eastAsia="Times New Roman" w:hAnsi="Times New Roman"/>
          <w:sz w:val="18"/>
          <w:szCs w:val="18"/>
          <w:color w:val="auto"/>
        </w:rPr>
        <w:t>23,882</w:t>
      </w:r>
    </w:p>
    <w:p>
      <w:pPr>
        <w:spacing w:after="0" w:line="63" w:lineRule="exact"/>
        <w:rPr>
          <w:sz w:val="20"/>
          <w:szCs w:val="20"/>
          <w:color w:val="auto"/>
        </w:rPr>
      </w:pPr>
    </w:p>
    <w:p>
      <w:pPr>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2,805</w:t>
      </w:r>
      <w:r>
        <w:rPr>
          <w:sz w:val="20"/>
          <w:szCs w:val="20"/>
          <w:color w:val="auto"/>
        </w:rPr>
        <w:tab/>
      </w:r>
      <w:r>
        <w:rPr>
          <w:rFonts w:ascii="Times New Roman" w:cs="Times New Roman" w:eastAsia="Times New Roman" w:hAnsi="Times New Roman"/>
          <w:sz w:val="18"/>
          <w:szCs w:val="18"/>
          <w:color w:val="auto"/>
        </w:rPr>
        <w:t>2,336</w:t>
      </w:r>
    </w:p>
    <w:p>
      <w:pPr>
        <w:spacing w:after="0" w:line="63" w:lineRule="exact"/>
        <w:rPr>
          <w:sz w:val="20"/>
          <w:szCs w:val="20"/>
          <w:color w:val="auto"/>
        </w:rPr>
      </w:pPr>
    </w:p>
    <w:p>
      <w:pPr>
        <w:ind w:left="2620" w:hanging="1321"/>
        <w:spacing w:after="0"/>
        <w:tabs>
          <w:tab w:leader="none" w:pos="2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w:t>
      </w:r>
    </w:p>
    <w:p>
      <w:pPr>
        <w:spacing w:after="0" w:line="63" w:lineRule="exact"/>
        <w:rPr>
          <w:sz w:val="20"/>
          <w:szCs w:val="20"/>
          <w:color w:val="auto"/>
        </w:rPr>
      </w:pPr>
    </w:p>
    <w:p>
      <w:pPr>
        <w:ind w:left="900"/>
        <w:spacing w:after="0"/>
        <w:tabs>
          <w:tab w:leader="none" w:pos="2460" w:val="left"/>
        </w:tabs>
        <w:rPr>
          <w:sz w:val="20"/>
          <w:szCs w:val="20"/>
          <w:color w:val="auto"/>
        </w:rPr>
      </w:pPr>
      <w:r>
        <w:rPr>
          <w:rFonts w:ascii="Times New Roman" w:cs="Times New Roman" w:eastAsia="Times New Roman" w:hAnsi="Times New Roman"/>
          <w:sz w:val="18"/>
          <w:szCs w:val="18"/>
          <w:color w:val="auto"/>
        </w:rPr>
        <w:t>36,608</w:t>
      </w:r>
      <w:r>
        <w:rPr>
          <w:sz w:val="20"/>
          <w:szCs w:val="20"/>
          <w:color w:val="auto"/>
        </w:rPr>
        <w:tab/>
      </w:r>
      <w:r>
        <w:rPr>
          <w:rFonts w:ascii="Times New Roman" w:cs="Times New Roman" w:eastAsia="Times New Roman" w:hAnsi="Times New Roman"/>
          <w:sz w:val="18"/>
          <w:szCs w:val="18"/>
          <w:color w:val="auto"/>
        </w:rPr>
        <w:t>44,051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26035</wp:posOffset>
            </wp:positionV>
            <wp:extent cx="194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43" w:lineRule="exact"/>
        <w:rPr>
          <w:sz w:val="20"/>
          <w:szCs w:val="20"/>
          <w:color w:val="auto"/>
        </w:rPr>
      </w:pPr>
    </w:p>
    <w:p>
      <w:pPr>
        <w:ind w:left="900"/>
        <w:spacing w:after="0"/>
        <w:tabs>
          <w:tab w:leader="none" w:pos="2540" w:val="left"/>
        </w:tabs>
        <w:rPr>
          <w:sz w:val="20"/>
          <w:szCs w:val="20"/>
          <w:color w:val="auto"/>
        </w:rPr>
      </w:pPr>
      <w:r>
        <w:rPr>
          <w:rFonts w:ascii="Times New Roman" w:cs="Times New Roman" w:eastAsia="Times New Roman" w:hAnsi="Times New Roman"/>
          <w:sz w:val="18"/>
          <w:szCs w:val="18"/>
          <w:color w:val="auto"/>
        </w:rPr>
        <w:t>11,012</w:t>
      </w:r>
      <w:r>
        <w:rPr>
          <w:sz w:val="20"/>
          <w:szCs w:val="20"/>
          <w:color w:val="auto"/>
        </w:rPr>
        <w:tab/>
      </w:r>
      <w:r>
        <w:rPr>
          <w:rFonts w:ascii="Times New Roman" w:cs="Times New Roman" w:eastAsia="Times New Roman" w:hAnsi="Times New Roman"/>
          <w:sz w:val="18"/>
          <w:szCs w:val="18"/>
          <w:color w:val="auto"/>
        </w:rPr>
        <w:t>1,762</w:t>
      </w:r>
    </w:p>
    <w:p>
      <w:pPr>
        <w:spacing w:after="0" w:line="63" w:lineRule="exact"/>
        <w:rPr>
          <w:sz w:val="20"/>
          <w:szCs w:val="20"/>
          <w:color w:val="auto"/>
        </w:rPr>
      </w:pPr>
    </w:p>
    <w:p>
      <w:pPr>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1,532</w:t>
      </w:r>
      <w:r>
        <w:rPr>
          <w:sz w:val="20"/>
          <w:szCs w:val="20"/>
          <w:color w:val="auto"/>
        </w:rPr>
        <w:tab/>
      </w:r>
      <w:r>
        <w:rPr>
          <w:rFonts w:ascii="Times New Roman" w:cs="Times New Roman" w:eastAsia="Times New Roman" w:hAnsi="Times New Roman"/>
          <w:sz w:val="18"/>
          <w:szCs w:val="18"/>
          <w:color w:val="auto"/>
        </w:rPr>
        <w:t>1,735</w:t>
      </w:r>
    </w:p>
    <w:p>
      <w:pPr>
        <w:spacing w:after="0" w:line="27" w:lineRule="exact"/>
        <w:rPr>
          <w:sz w:val="20"/>
          <w:szCs w:val="20"/>
          <w:color w:val="auto"/>
        </w:rPr>
      </w:pPr>
    </w:p>
    <w:p>
      <w:pPr>
        <w:sectPr>
          <w:pgSz w:w="11900" w:h="16838" w:orient="portrait"/>
          <w:cols w:equalWidth="0" w:num="2">
            <w:col w:w="7480" w:space="720"/>
            <w:col w:w="304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Pre-tax net income</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57"/>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Income/(loss) per share of common stock</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57,422,058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56,443,370</w:t>
            </w:r>
          </w:p>
        </w:tc>
      </w:tr>
      <w:tr>
        <w:trPr>
          <w:trHeight w:val="27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58,415,163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56,443,370</w:t>
            </w:r>
          </w:p>
        </w:tc>
      </w:tr>
    </w:tbl>
    <w:p>
      <w:pPr>
        <w:spacing w:after="0" w:line="274" w:lineRule="exact"/>
        <w:rPr>
          <w:sz w:val="20"/>
          <w:szCs w:val="20"/>
          <w:color w:val="auto"/>
        </w:rPr>
      </w:pPr>
    </w:p>
    <w:p>
      <w:pPr>
        <w:ind w:left="660" w:hanging="652"/>
        <w:spacing w:after="0" w:line="281" w:lineRule="auto"/>
        <w:tabs>
          <w:tab w:leader="none" w:pos="3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three months ended March 31, 2024, this amount contains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Other Comprehensive Income/(Loss) (Unaudited)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2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
                <w:szCs w:val="2"/>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($000s, except shares and per share figures)</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56,181,689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0" w:type="dxa"/>
            <w:vAlign w:val="bottom"/>
          </w:tcPr>
          <w:p>
            <w:pPr>
              <w:spacing w:after="0"/>
              <w:rPr>
                <w:sz w:val="1"/>
                <w:szCs w:val="1"/>
                <w:color w:val="auto"/>
              </w:rPr>
            </w:pPr>
          </w:p>
        </w:tc>
      </w:tr>
      <w:tr>
        <w:trPr>
          <w:trHeight w:val="176"/>
        </w:trPr>
        <w:tc>
          <w:tcPr>
            <w:tcW w:w="34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1"/>
        </w:trPr>
        <w:tc>
          <w:tcPr>
            <w:tcW w:w="3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56,711,260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90,312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75,228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57,355,676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83,992</w:t>
            </w:r>
          </w:p>
        </w:tc>
        <w:tc>
          <w:tcPr>
            <w:tcW w:w="0" w:type="dxa"/>
            <w:vAlign w:val="bottom"/>
          </w:tcPr>
          <w:p>
            <w:pPr>
              <w:spacing w:after="0"/>
              <w:rPr>
                <w:sz w:val="1"/>
                <w:szCs w:val="1"/>
                <w:color w:val="auto"/>
              </w:rPr>
            </w:pPr>
          </w:p>
        </w:tc>
      </w:tr>
      <w:tr>
        <w:trPr>
          <w:trHeight w:val="175"/>
        </w:trPr>
        <w:tc>
          <w:tcPr>
            <w:tcW w:w="34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 unit</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Dividends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Payment of taxes withheld through vested</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3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57,537,393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3"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income/(loss)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50"/>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condensed consolidated balance sheet as of March 31, 2024, and the condensed consolidated statements of operations, stockholders' equity, and cash flows for the three months ended March 31, 2024 and 2023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2024 and the results of operations and cash flows for the three months ended March 31, 2024 and 2023.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months ended March 31, 2024 and 2023 are also unaudited. The consolidated results of operations for the three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March 31, 2024 are not necessarily indicative of results to be expected for the year ending December 31, 2024 or for any other future annual or interim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is derived from the Company’s annual audited consolidated financial statements for the year ended December 31, 2023, which should be read in conjunction with these condensed consolidated financial statements and which are included in the Company’s Annual Report dated February 27, 2024 filed with the Securities and Exchange Commission (“SEC”) pursuant to Section 13 or 15(d) of the Securities Exchange Act of 1934.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March 31, 2024 and December 31, 2023 are included in deferred revenue and patient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$0.1 million and $0.3 million for the three months ended March 31, 2024 and 2023, respectively. Amortization of loan costs and discounts is included as a component of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and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months ended March 31, 2024 and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for the three months ended March 31, 2024 and 2023 by the weighted-average number of shares of common stock outstanding during the same period. Diluted earnings per share of common stock is computed by dividing net income/(loss) for the three months ended March 31, 2024 and 2023 by the weighted-average number of shares of common stock adjusted to give effect to potentially dilutive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expenses were approximately $8.4 million and $6.1 million for the three months ended March 31, 2024 and 2023,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March 31,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or December 31, 2023. The Company is not subject to U.S. federal tax examination prior to 2021, when it was formed.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an effective tax rate of approximately 36.4% and 151.9% for the three months ended March 31, 2024 and 2023, respectively, inclusive of all applicable U.S. federal and state income taxes.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requires enhanced disclosures of significant segment expenses. The ASU is effective for annual periods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2023 and interim periods beginning after December 15, 2024. The amendments in this ASU must be applied retrospectively to all periods presented and early adoption is permitted. The Company is evaluating the impact of this ASU on its consolidated financial statements.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will be performed in October 2024. There were no triggering events during the three months ended March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March 31, 2024 and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2024 and December 31,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tcPr>
          <w:p>
            <w:pPr>
              <w:spacing w:after="0"/>
              <w:rPr>
                <w:sz w:val="14"/>
                <w:szCs w:val="14"/>
                <w:color w:val="auto"/>
              </w:rPr>
            </w:pPr>
          </w:p>
        </w:tc>
      </w:tr>
      <w:tr>
        <w:trPr>
          <w:trHeight w:val="190"/>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57"/>
        </w:trPr>
        <w:tc>
          <w:tcPr>
            <w:tcW w:w="6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w:t>
            </w:r>
          </w:p>
        </w:tc>
        <w:tc>
          <w:tcPr>
            <w:tcW w:w="1580" w:type="dxa"/>
            <w:vAlign w:val="bottom"/>
          </w:tcPr>
          <w:p>
            <w:pPr>
              <w:spacing w:after="0"/>
              <w:rPr>
                <w:sz w:val="21"/>
                <w:szCs w:val="2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580" w:type="dxa"/>
            <w:vAlign w:val="bottom"/>
            <w:shd w:val="clear" w:color="auto" w:fill="CCEEFF"/>
          </w:tcPr>
          <w:p>
            <w:pPr>
              <w:spacing w:after="0"/>
              <w:rPr>
                <w:sz w:val="22"/>
                <w:szCs w:val="22"/>
                <w:color w:val="auto"/>
              </w:rPr>
            </w:pPr>
          </w:p>
        </w:tc>
      </w:tr>
      <w:tr>
        <w:trPr>
          <w:trHeight w:val="25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46,346</w:t>
            </w:r>
          </w:p>
        </w:tc>
        <w:tc>
          <w:tcPr>
            <w:tcW w:w="1580" w:type="dxa"/>
            <w:vAlign w:val="bottom"/>
          </w:tcPr>
          <w:p>
            <w:pPr>
              <w:spacing w:after="0"/>
              <w:rPr>
                <w:sz w:val="22"/>
                <w:szCs w:val="22"/>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will be $4.8 million per year for each of the next five fiscal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on intangible assets was approximately $1.2 million for both of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property and equipment consists of the following: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$1.6 million and $1.2 million for the three months ended March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balance of the term loans under the Credit Agreement using cash on hand.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March 31, 2024, the interest rate was 7.83%.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March 31, 2024 and December 31, 2023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72,344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71,178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68,522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As of March 31, 2024 and December 31, 2023, the Company had $5.0 million available on the revolving credit facility.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March 31, 2024 is as follows (in 000’s):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60,125</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72,344</w:t>
            </w:r>
          </w:p>
        </w:tc>
      </w:tr>
      <w:tr>
        <w:trPr>
          <w:trHeight w:val="20"/>
        </w:trPr>
        <w:tc>
          <w:tcPr>
            <w:tcW w:w="8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three months ended March 31, 2024 and 2023, the Company incurred rent expense of $1.5 million and $1.5 million, respectively, for its medical office suites. The Company’s rent expense related to its medical office suites is classified in cost of services within the Company’s condensed consolidated statements of operations. The Company incurred rent expense of $0.1 million and $0.1 million for the three months ended March 31, 2024 and 2023, respectively, related to the corporate offices which is classified in selling, general and administrative expenses. The Company currently does not have any finance leases.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three months ended March 31, 2024 and 2023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as of March 31, 2024 (in 000’s):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(excluding the three months ended March 31, 2024)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w:t>
            </w:r>
          </w:p>
        </w:tc>
      </w:tr>
      <w:tr>
        <w:trPr>
          <w:trHeight w:val="25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43,739</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(16,051)</w:t>
            </w:r>
          </w:p>
        </w:tc>
      </w:tr>
      <w:tr>
        <w:trPr>
          <w:trHeight w:val="281"/>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granted 411,456 and 608,955 restricted stock units ("RSUs") to executive officers and employees under the 2021 Equity Incentive Plan.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requisite vesting periods beginning one year from the date of grant to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also granted 407,688 and 585,588 performance based stock units ("PSUs") which have market-based vesting conditions. The vesting is based on achievement of a total shareholder return relative to a specified peer group (“rTSR”) within the three year performance period. Based on the rTSR, the PSUs can settle in shares in a range from 0% to 200%. In addition to the achievement of the performance conditions, these PSUs are generally subject to the continuing service of the employee over the requisite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(the "Price Targets"), and the remaining PSUs can vest upon achieving a revenue performance target in any trailing twelve 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equity-based compensation expense of $(6.8) million and $4.4 million for the three months ended March 31, 2024 and 2023, respectively, in selling, general and administrative expenses on the condensed consolidated statements of operations. Forfeitures are recognized as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of approximately $13.0 thousand and $206.0 thousand for the three months ended March 31, 2024 and 2023,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for the three months ended March 31, 2024 and 2023 by the weighted-average number of shares of common stock outstanding during the same period. Diluted earnings per share of common stock is computed by dividing net income/(loss) for the three months ended March 31, 2024 and 2023 by the weighted-average number of shares of common stock adjusted to give effect to potentially dilutive securities.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income/(loss) per share of common stock is as follows (in 000’s except for shares and per share figures):</w:t>
      </w:r>
    </w:p>
    <w:p>
      <w:pPr>
        <w:spacing w:after="0" w:line="13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57,422,058</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56,443,370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993,105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58,415,163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56,443,370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5246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income/(loss) per share because the effect of including such potentially dilutive shares would have been antidilutive.</w:t>
      </w:r>
    </w:p>
    <w:p>
      <w:pPr>
        <w:jc w:val="center"/>
        <w:ind w:left="8240"/>
        <w:spacing w:after="0" w:line="232" w:lineRule="auto"/>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1,311,435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1,947,898</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1,941,518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2463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income tax (benefit)/expense for the three months ended March 31, 2024 and 2023 was $3.5 million and $0.0 million, and the effective tax rates was 36.4% and 151.9%. The main driver of the difference between the effective and statutory rate is non-deductible executive compensation under Section 162(m) of the Internal Revenue Code. There are no uncertain tax positions as of March 31, 2024 or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income tax expense, restructuring and related severance costs, loss/(gain) on disposal of long-lived assets, and equity-based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10, 2023 filed with the Securities and Exchange Commission (“SEC”) pursuant to Section 13 or 15(d) of the Securities Exchange Act of 1934 (the “Exchange Act”).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Quarterly Report on Form 10-Q to the “Company,” “AirSculpt,”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AirSculpt is an experienced, fast-growing national provider of body contouring procedures delivering a premium consumer experience. At AirSculpt, we provide custom body contouring using our proprietary AirSculpt® method that removes unwanted fat in a minimally invasive procedure, producing dramatic results. We now deliver our AirSculpt® procedures through a growing nationwide footprint of 27 centers across 18 states, Canada, and the United Kingdom as of May 10,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we performed 3,746 cases and generated approximately $47.6 million of revenue, compared to 3,640 cases and $45.8 million in revenue for the three months ended March 31, 2023. This represents approximately 4% growth in revenue for the three months ended March 31, 2024 over the same period in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r>
      <w:tr>
        <w:trPr>
          <w:trHeight w:val="196"/>
        </w:trPr>
        <w:tc>
          <w:tcPr>
            <w:tcW w:w="8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0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3,640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36"/>
              <w:spacing w:after="0"/>
              <w:rPr>
                <w:sz w:val="20"/>
                <w:szCs w:val="20"/>
                <w:color w:val="auto"/>
              </w:rPr>
            </w:pPr>
            <w:r>
              <w:rPr>
                <w:rFonts w:ascii="Times New Roman" w:cs="Times New Roman" w:eastAsia="Times New Roman" w:hAnsi="Times New Roman"/>
                <w:sz w:val="18"/>
                <w:szCs w:val="18"/>
                <w:color w:val="auto"/>
              </w:rPr>
              <w:t>12,712</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8"/>
                <w:szCs w:val="18"/>
                <w:color w:val="auto"/>
              </w:rPr>
              <w:t>12,586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and 2023, we define same-center case and revenue growth as the growth in each of our cases and revenue at facilities that were owned and operated during the three months ended March 31, 2024 and 2023, respectively. At facilities that were not owned or operated for the entirety of the prior year period, the current year period has been pro-rated to reflect only growth experienced during the portion of the three months ended March 31, 2024 in which such facilities were owned and operated during the three months ended March 31, 2023. We define same-center facilities and procedure rooms based on if a facility was owned or operated as of March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r>
      <w:tr>
        <w:trPr>
          <w:trHeight w:val="195"/>
        </w:trPr>
        <w:tc>
          <w:tcPr>
            <w:tcW w:w="8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806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12,586</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same-store revenue decline is primarily attributed to weaker than expected performance across the broader aesthetic and consumer retail industries, particularly related to customers that are more price sensitive.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depreciation and amortization, net interest expense, income tax expense, restructuring and related severance costs, loss/(gain) on disposal of long-lived assets, and equity-based compensation.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Net Income as net income/(loss) excluding restructuring and related severance costs, loss/(gain) on disposal of long-lived assets, equity-based compensation and the tax effect of these adjustments.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because it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income/(loss), the most directly comparable GAAP financial measure: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r>
      <w:tr>
        <w:trPr>
          <w:trHeight w:val="194"/>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6"/>
        </w:trPr>
        <w:tc>
          <w:tcPr>
            <w:tcW w:w="790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75"/>
              <w:spacing w:after="0"/>
              <w:rPr>
                <w:sz w:val="20"/>
                <w:szCs w:val="20"/>
                <w:color w:val="auto"/>
              </w:rPr>
            </w:pPr>
            <w:r>
              <w:rPr>
                <w:rFonts w:ascii="Times New Roman" w:cs="Times New Roman" w:eastAsia="Times New Roman" w:hAnsi="Times New Roman"/>
                <w:sz w:val="18"/>
                <w:szCs w:val="18"/>
                <w:color w:val="auto"/>
              </w:rPr>
              <w:t>6,029</w:t>
            </w:r>
          </w:p>
        </w:tc>
        <w:tc>
          <w:tcPr>
            <w:tcW w:w="80" w:type="dxa"/>
            <w:vAlign w:val="bottom"/>
            <w:shd w:val="clear" w:color="auto" w:fill="D2EDFE"/>
          </w:tcPr>
          <w:p>
            <w:pPr>
              <w:spacing w:after="0"/>
              <w:rPr>
                <w:sz w:val="19"/>
                <w:szCs w:val="19"/>
                <w:color w:val="auto"/>
              </w:rPr>
            </w:pPr>
          </w:p>
        </w:tc>
        <w:tc>
          <w:tcPr>
            <w:tcW w:w="640" w:type="dxa"/>
            <w:vAlign w:val="bottom"/>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2EDFE"/>
          </w:tcPr>
          <w:p>
            <w:pPr>
              <w:jc w:val="right"/>
              <w:ind w:right="11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90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35"/>
              <w:spacing w:after="0"/>
              <w:rPr>
                <w:sz w:val="20"/>
                <w:szCs w:val="20"/>
                <w:color w:val="auto"/>
              </w:rPr>
            </w:pPr>
            <w:r>
              <w:rPr>
                <w:rFonts w:ascii="Times New Roman" w:cs="Times New Roman" w:eastAsia="Times New Roman" w:hAnsi="Times New Roman"/>
                <w:sz w:val="18"/>
                <w:szCs w:val="18"/>
                <w:color w:val="auto"/>
              </w:rPr>
              <w:t>(6,781)</w:t>
            </w:r>
          </w:p>
        </w:tc>
        <w:tc>
          <w:tcPr>
            <w:tcW w:w="8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4,388</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1,154</w:t>
            </w:r>
          </w:p>
        </w:tc>
      </w:tr>
      <w:tr>
        <w:trPr>
          <w:trHeight w:val="230"/>
        </w:trPr>
        <w:tc>
          <w:tcPr>
            <w:tcW w:w="79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75"/>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2,336</w:t>
            </w:r>
          </w:p>
        </w:tc>
      </w:tr>
      <w:tr>
        <w:trPr>
          <w:trHeight w:val="23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80" w:type="dxa"/>
            <w:vAlign w:val="bottom"/>
          </w:tcPr>
          <w:p>
            <w:pPr>
              <w:spacing w:after="0"/>
              <w:rPr>
                <w:sz w:val="19"/>
                <w:szCs w:val="19"/>
                <w:color w:val="auto"/>
              </w:rPr>
            </w:pPr>
          </w:p>
        </w:tc>
        <w:tc>
          <w:tcPr>
            <w:tcW w:w="124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790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75"/>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1000" w:type="dxa"/>
            <w:vAlign w:val="bottom"/>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790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Borders>
              <w:bottom w:val="single" w:sz="8" w:color="D2EDFE"/>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9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D2EDFE"/>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7,337</w:t>
            </w:r>
          </w:p>
        </w:tc>
        <w:tc>
          <w:tcPr>
            <w:tcW w:w="80" w:type="dxa"/>
            <w:vAlign w:val="bottom"/>
            <w:shd w:val="clear" w:color="auto" w:fill="D2EDFE"/>
          </w:tcPr>
          <w:p>
            <w:pPr>
              <w:spacing w:after="0"/>
              <w:rPr>
                <w:sz w:val="19"/>
                <w:szCs w:val="19"/>
                <w:color w:val="auto"/>
              </w:rPr>
            </w:pPr>
          </w:p>
        </w:tc>
        <w:tc>
          <w:tcPr>
            <w:tcW w:w="640" w:type="dxa"/>
            <w:vAlign w:val="bottom"/>
            <w:tcBorders>
              <w:bottom w:val="single" w:sz="8" w:color="auto"/>
            </w:tcBorders>
            <w:shd w:val="clear" w:color="auto" w:fill="D2EDFE"/>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D2EDFE"/>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9,456</w:t>
            </w:r>
          </w:p>
        </w:tc>
      </w:tr>
      <w:tr>
        <w:trPr>
          <w:trHeight w:val="23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20.6 %</w:t>
            </w:r>
          </w:p>
        </w:tc>
      </w:tr>
    </w:tbl>
    <w:p>
      <w:pPr>
        <w:spacing w:after="0" w:line="279" w:lineRule="exact"/>
        <w:rPr>
          <w:sz w:val="20"/>
          <w:szCs w:val="20"/>
          <w:color w:val="auto"/>
        </w:rPr>
      </w:pPr>
    </w:p>
    <w:p>
      <w:pPr>
        <w:ind w:left="660" w:hanging="652"/>
        <w:spacing w:after="0" w:line="271" w:lineRule="auto"/>
        <w:tabs>
          <w:tab w:leader="none" w:pos="3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three months ended March 31, 2024, this amount contains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reconciles Adjusted Net Income and Adjusted Net Income per Share to net income/(loss), the most directly comparable GAAP financial measure: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80" w:type="dxa"/>
            <w:vAlign w:val="bottom"/>
            <w:shd w:val="clear" w:color="auto" w:fill="D2EDFE"/>
          </w:tcPr>
          <w:p>
            <w:pPr>
              <w:ind w:left="14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29"/>
        </w:trPr>
        <w:tc>
          <w:tcPr>
            <w:tcW w:w="81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D2EDFE"/>
          </w:tcPr>
          <w:p>
            <w:pPr>
              <w:spacing w:after="0"/>
              <w:rPr>
                <w:sz w:val="19"/>
                <w:szCs w:val="19"/>
                <w:color w:val="auto"/>
              </w:rPr>
            </w:pPr>
          </w:p>
        </w:tc>
        <w:tc>
          <w:tcPr>
            <w:tcW w:w="420" w:type="dxa"/>
            <w:vAlign w:val="bottom"/>
            <w:shd w:val="clear" w:color="auto" w:fill="D2EDFE"/>
          </w:tcPr>
          <w:p>
            <w:pPr>
              <w:spacing w:after="0"/>
              <w:rPr>
                <w:sz w:val="19"/>
                <w:szCs w:val="19"/>
                <w:color w:val="auto"/>
              </w:rPr>
            </w:pP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18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D2EDF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3"/>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1,880</w:t>
            </w:r>
          </w:p>
        </w:tc>
        <w:tc>
          <w:tcPr>
            <w:tcW w:w="100" w:type="dxa"/>
            <w:vAlign w:val="bottom"/>
            <w:shd w:val="clear" w:color="auto" w:fill="D2EDFE"/>
          </w:tcPr>
          <w:p>
            <w:pPr>
              <w:spacing w:after="0"/>
              <w:rPr>
                <w:sz w:val="19"/>
                <w:szCs w:val="19"/>
                <w:color w:val="auto"/>
              </w:rPr>
            </w:pPr>
          </w:p>
        </w:tc>
        <w:tc>
          <w:tcPr>
            <w:tcW w:w="420" w:type="dxa"/>
            <w:vAlign w:val="bottom"/>
            <w:tcBorders>
              <w:bottom w:val="single" w:sz="8" w:color="auto"/>
            </w:tcBorders>
            <w:shd w:val="clear" w:color="auto" w:fill="D2EDFE"/>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4,885</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per share of common stock </w:t>
            </w:r>
            <w:r>
              <w:rPr>
                <w:rFonts w:ascii="Times New Roman" w:cs="Times New Roman" w:eastAsia="Times New Roman" w:hAnsi="Times New Roman"/>
                <w:sz w:val="23"/>
                <w:szCs w:val="23"/>
                <w:color w:val="auto"/>
                <w:vertAlign w:val="superscript"/>
              </w:rPr>
              <w:t>(2)</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60" w:type="dxa"/>
            <w:vAlign w:val="bottom"/>
            <w:shd w:val="clear" w:color="auto" w:fill="D2EDFE"/>
          </w:tcPr>
          <w:p>
            <w:pPr>
              <w:spacing w:after="0"/>
              <w:rPr>
                <w:sz w:val="23"/>
                <w:szCs w:val="23"/>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77"/>
        </w:trPr>
        <w:tc>
          <w:tcPr>
            <w:tcW w:w="818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D2EDFE"/>
          </w:tcPr>
          <w:p>
            <w:pPr>
              <w:spacing w:after="0"/>
              <w:rPr>
                <w:sz w:val="24"/>
                <w:szCs w:val="24"/>
                <w:color w:val="auto"/>
              </w:rPr>
            </w:pPr>
          </w:p>
        </w:tc>
        <w:tc>
          <w:tcPr>
            <w:tcW w:w="420" w:type="dxa"/>
            <w:vAlign w:val="bottom"/>
            <w:shd w:val="clear" w:color="auto" w:fill="D2EDF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8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57,422,058</w:t>
            </w:r>
          </w:p>
        </w:tc>
        <w:tc>
          <w:tcPr>
            <w:tcW w:w="100" w:type="dxa"/>
            <w:vAlign w:val="bottom"/>
            <w:shd w:val="clear" w:color="auto" w:fill="D2EDFE"/>
          </w:tcPr>
          <w:p>
            <w:pPr>
              <w:spacing w:after="0"/>
              <w:rPr>
                <w:sz w:val="23"/>
                <w:szCs w:val="23"/>
                <w:color w:val="auto"/>
              </w:rPr>
            </w:pPr>
          </w:p>
        </w:tc>
        <w:tc>
          <w:tcPr>
            <w:tcW w:w="420" w:type="dxa"/>
            <w:vAlign w:val="bottom"/>
            <w:shd w:val="clear" w:color="auto" w:fill="D2EDFE"/>
          </w:tcPr>
          <w:p>
            <w:pPr>
              <w:spacing w:after="0"/>
              <w:rPr>
                <w:sz w:val="23"/>
                <w:szCs w:val="23"/>
                <w:color w:val="auto"/>
              </w:rPr>
            </w:pPr>
          </w:p>
        </w:tc>
        <w:tc>
          <w:tcPr>
            <w:tcW w:w="10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56,443,370</w:t>
            </w: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58,415,163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57,309,392</w:t>
            </w:r>
          </w:p>
        </w:tc>
      </w:tr>
    </w:tbl>
    <w:p>
      <w:pPr>
        <w:spacing w:after="0" w:line="301" w:lineRule="exact"/>
        <w:rPr>
          <w:sz w:val="20"/>
          <w:szCs w:val="20"/>
          <w:color w:val="auto"/>
        </w:rPr>
      </w:pPr>
    </w:p>
    <w:p>
      <w:pPr>
        <w:ind w:left="660" w:hanging="652"/>
        <w:spacing w:after="0" w:line="281" w:lineRule="auto"/>
        <w:tabs>
          <w:tab w:leader="none" w:pos="3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three months ended March 31, 2024, this amount contains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177" w:lineRule="exact"/>
        <w:rPr>
          <w:rFonts w:ascii="Times New Roman" w:cs="Times New Roman" w:eastAsia="Times New Roman" w:hAnsi="Times New Roman"/>
          <w:sz w:val="14"/>
          <w:szCs w:val="14"/>
          <w:color w:val="auto"/>
        </w:rPr>
      </w:pPr>
    </w:p>
    <w:p>
      <w:pPr>
        <w:ind w:left="660" w:hanging="652"/>
        <w:spacing w:after="0" w:line="282" w:lineRule="auto"/>
        <w:tabs>
          <w:tab w:leader="none" w:pos="32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generally expect our selling expenses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Three Months Ended March 31,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3"/>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00" w:type="dxa"/>
            <w:vAlign w:val="bottom"/>
          </w:tcPr>
          <w:p>
            <w:pPr>
              <w:spacing w:after="0"/>
              <w:rPr>
                <w:sz w:val="11"/>
                <w:szCs w:val="11"/>
                <w:color w:val="auto"/>
              </w:rPr>
            </w:pPr>
          </w:p>
        </w:tc>
        <w:tc>
          <w:tcPr>
            <w:tcW w:w="11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jc w:val="right"/>
              <w:ind w:right="575"/>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8"/>
        </w:trPr>
        <w:tc>
          <w:tcPr>
            <w:tcW w:w="488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D2EDF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40" w:type="dxa"/>
            <w:vAlign w:val="bottom"/>
            <w:tcBorders>
              <w:top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tcBorders>
            <w:shd w:val="clear" w:color="auto" w:fill="D2EDF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4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18,017</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29"/>
        </w:trPr>
        <w:tc>
          <w:tcPr>
            <w:tcW w:w="48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Loss/(gain) on disposal of long-lived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488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10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80" w:type="dxa"/>
            <w:vAlign w:val="bottom"/>
            <w:tcBorders>
              <w:top w:val="single" w:sz="8" w:color="D2EDFE"/>
            </w:tcBorders>
            <w:shd w:val="clear" w:color="auto" w:fill="D2EDFE"/>
          </w:tcPr>
          <w:p>
            <w:pPr>
              <w:spacing w:after="0"/>
              <w:rPr>
                <w:sz w:val="19"/>
                <w:szCs w:val="19"/>
                <w:color w:val="auto"/>
              </w:rPr>
            </w:pPr>
          </w:p>
        </w:tc>
        <w:tc>
          <w:tcPr>
            <w:tcW w:w="300" w:type="dxa"/>
            <w:vAlign w:val="bottom"/>
            <w:tcBorders>
              <w:top w:val="single" w:sz="8" w:color="auto"/>
              <w:bottom w:val="single" w:sz="8" w:color="auto"/>
            </w:tcBorders>
            <w:shd w:val="clear" w:color="auto" w:fill="D2EDFE"/>
          </w:tcPr>
          <w:p>
            <w:pPr>
              <w:spacing w:after="0"/>
              <w:rPr>
                <w:sz w:val="19"/>
                <w:szCs w:val="19"/>
                <w:color w:val="auto"/>
              </w:rPr>
            </w:pPr>
          </w:p>
        </w:tc>
        <w:tc>
          <w:tcPr>
            <w:tcW w:w="11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44,051</w:t>
            </w:r>
          </w:p>
        </w:tc>
        <w:tc>
          <w:tcPr>
            <w:tcW w:w="40" w:type="dxa"/>
            <w:vAlign w:val="bottom"/>
            <w:tcBorders>
              <w:top w:val="single" w:sz="8" w:color="auto"/>
              <w:bottom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6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96.2 %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Pre-tax net income</w:t>
            </w: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48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74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D2EDFE"/>
          </w:tcPr>
          <w:p>
            <w:pPr>
              <w:spacing w:after="0"/>
              <w:rPr>
                <w:sz w:val="19"/>
                <w:szCs w:val="19"/>
                <w:color w:val="auto"/>
              </w:rPr>
            </w:pPr>
          </w:p>
        </w:tc>
        <w:tc>
          <w:tcPr>
            <w:tcW w:w="30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72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8"/>
        <w:spacing w:after="0" w:line="263" w:lineRule="auto"/>
        <w:tabs>
          <w:tab w:leader="none" w:pos="14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the three months ended March 31, 2024, this amount contains a cumulative reversal of stock compensation expense of $10.4 million related to reassessing the probability of achieving the performance target on certain of the Company's performance-based stock units. See Note 6 to the condensed consolidated financial statements included in this Quarterly Report on Form 10-Q for further discussion.</w:t>
      </w:r>
    </w:p>
    <w:p>
      <w:pPr>
        <w:spacing w:after="0" w:line="35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three months ended March 31, 2024 compared to the three months ended March 31, 2023 reflect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 de novo centers which increased our procedure rooms by 8.</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$1.8 million, or 3.9%, compared to the same period in 2023. The increase is the result of adding four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expanded our footprint from 23 centers to 27 centers and our number of procedure rooms from 49 to 57 as of March 31,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services was in line with the prior period at $18.0 million for both the three months ended March 31, 2024 and 2023.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was 37.9% and 39.3% as a percentage of revenue for the three months ended March 31, 2024 and 2023, respectively.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decreased $8.1 million, or 34.0%,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compared to the same period in 2023. This decrease is related to a decrease in our equity-based compensation expense (see Note 6 to the condensed consolidated financial statements included in this Quarterly Report on Form 10-Q for further discussion) partially offset by additional expenses we incurred for marketing and corporate support as we grow our center count through de novo expansion and providing support for our centers. We expect our marketing and corporate support costs to continue to increase as we open de novo centers and expand the support we provide to our centers. Selling, general and administrative expenses as a percent of revenue was at 33.1% and 52.1% for the three months ended March 31, 2024 and 2023, respectively.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$11.2 million and $8.6 million for the three months ended March 31, 2024 and 2023, respectively. Our customer acquisition costs were approximately $2,990 and $2,360 per customer in the three months ended March 31, 2024 and 2023,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$4.5 million and $15.3 million for the three months ended March 31, 2024 and 2023, respectively. This decrease is related to a decrease in equity-based compensation expense (see Note 6 to the condensed consolidated financial statements included in this Quarterly Report on Form 10-Q for further discussion). We expect to continue to expand our corporate team to support the opening of new centers and growth at existing facilities.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$2.8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$2.3 million for the same period in 2023. This increase is the result of having four additional de novo centers during the three months ended March 31, 2024 as compared to the 2023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long-lived assets—</w:t>
      </w:r>
      <w:r>
        <w:rPr>
          <w:rFonts w:ascii="Times New Roman" w:cs="Times New Roman" w:eastAsia="Times New Roman" w:hAnsi="Times New Roman"/>
          <w:sz w:val="18"/>
          <w:szCs w:val="18"/>
          <w:color w:val="auto"/>
        </w:rPr>
        <w:t>We recognized a $5.0 thousand loss related to the disposal of previous long-lived assets as a result of relocations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certain centers.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was $1.5 million and $1.7 million for the three months ended March 31, 2024 and 2023, respectively. The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due to the voluntary prepayment of $10.0 million of the principal balance of the term loans under the Credit Agreement on September 29,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is 36.4% and 151.9% for the three months ended March 31, 2024 and 2023, respectively. The main driver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difference between the effective and statutory rate is non-deductible executive compensation under Section 162(m) of the Internal Revenue Code.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we had $11.0 million in cash and cash equivalents and an available amount of $5.0 million under our revolving credit facility. We do not have any letters of credit outstanding as of March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2023, we had $10.3 million in cash and cash equivalents and an available amount of $5.0 million under our revolving credit facility. We did not have any letters of credit outstanding as of March 31,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r>
      <w:tr>
        <w:trPr>
          <w:trHeight w:val="196"/>
        </w:trPr>
        <w:tc>
          <w:tcPr>
            <w:tcW w:w="8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D2EDFE"/>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16"/>
        </w:trPr>
        <w:tc>
          <w:tcPr>
            <w:tcW w:w="81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600" w:type="dxa"/>
            <w:vAlign w:val="bottom"/>
            <w:shd w:val="clear" w:color="auto" w:fill="D2EDFE"/>
          </w:tcPr>
          <w:p>
            <w:pPr>
              <w:spacing w:after="0"/>
              <w:rPr>
                <w:sz w:val="18"/>
                <w:szCs w:val="18"/>
                <w:color w:val="auto"/>
              </w:rPr>
            </w:pPr>
          </w:p>
        </w:tc>
        <w:tc>
          <w:tcPr>
            <w:tcW w:w="880" w:type="dxa"/>
            <w:vAlign w:val="bottom"/>
            <w:shd w:val="clear" w:color="auto" w:fill="D2EDFE"/>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81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D2EDFE"/>
          </w:tcPr>
          <w:p>
            <w:pPr>
              <w:spacing w:after="0"/>
              <w:rPr>
                <w:sz w:val="19"/>
                <w:szCs w:val="19"/>
                <w:color w:val="auto"/>
              </w:rPr>
            </w:pPr>
          </w:p>
        </w:tc>
        <w:tc>
          <w:tcPr>
            <w:tcW w:w="60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1,667</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three months ended March 31, 2024, our operating cash flow decreased by $2.9 million compared to the same period in 2023. The decrease is related to our increased investment in customer acquisition during the three months ended March 31, 2024 as compared to the prior year period. At March 31, 2024, we had working capital of $(6.8) million compared to $(4.4) million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and 2023 was $1.6 million and $3.8 million, respectively. Investing activities during both periods were attributable to the expansion of multiple existing facilities and the preparation for the opening of de novo locations. The decrease in investing cash flows during the three months ended March 31, 2024 is due to the opening of the Orange County facility during the three months ended March 31, 2023 with no comparable facility openings in the current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2024 was $1.1 million. During the three months ended March 31, 2024, we made principal payments on our debt of $0.5 million and made payments of taxes withheld through vested equity-based compensation of $0.4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was $0.7 million. For the three months ended March 31, 2023, we paid cash dividends to shareholders of $0.2 million and made principal payments on our debt of $0.5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$71.2 million and $71.6 million, which includes unamortized deferred financing costs and issuance discount of $1.2 million and $1.2 million, as of March 31, 2024 and December 31, 2023,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 On September 29, 2023, the Company voluntarily pre-paid $10.0 million of the principal balance of the term loans under the Credit Agreement using cash on hand.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 than 2.0x, the applicable per annum margin is 1.5% or 2.5% for base rate or SOFR, respectively. If the Company's total leverage ratio is below 1.0x, the applicable per annum margin is 1.0% or 2.0% for base rate or SOFR, respectively. As of March 31, 2024, the interest rate was 7.83%.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significant accounting policies is disclosed in our Annual Report on Form 10-K dated February 27, 2024 filed with the SEC pursuant to Section 13 or 15d of the Exchange Act,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February 27,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March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March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2023 dated February 27, 2024 and filed with the SEC pursuant to Section 13 or 15(d) of the Exchange Act.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have adopted or terminated any "Rule 10b5-1 trading arrangement" or "non-Rule 10b5-1 trading arrangement" (each as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57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1240" w:space="180"/>
            <w:col w:w="9820"/>
          </w:cols>
          <w:pgMar w:left="320" w:top="513" w:right="339" w:bottom="1440" w:gutter="0" w:footer="0" w:header="0"/>
          <w:type w:val="continuous"/>
        </w:sectPr>
      </w:pPr>
    </w:p>
    <w:tbl>
      <w:tblPr>
        <w:tblLayout w:type="fixed"/>
        <w:tblInd w:w="30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31.2*</w:t>
            </w:r>
          </w:p>
        </w:tc>
        <w:tc>
          <w:tcPr>
            <w:tcW w:w="200" w:type="dxa"/>
            <w:vAlign w:val="bottom"/>
          </w:tcPr>
          <w:p>
            <w:pPr>
              <w:spacing w:after="0"/>
              <w:rPr>
                <w:sz w:val="17"/>
                <w:szCs w:val="17"/>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 Securities Exchange Act of 1934, as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0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42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59"/>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101.INS</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920" w:type="dxa"/>
            <w:vAlign w:val="bottom"/>
          </w:tcPr>
          <w:p>
            <w:pPr>
              <w:spacing w:after="0"/>
              <w:rPr>
                <w:sz w:val="20"/>
                <w:szCs w:val="20"/>
                <w:color w:val="auto"/>
              </w:rPr>
            </w:pP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6"/>
        </w:trPr>
        <w:tc>
          <w:tcPr>
            <w:tcW w:w="9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ind w:left="660" w:hanging="652"/>
        <w:spacing w:after="0" w:line="253" w:lineRule="auto"/>
        <w:tabs>
          <w:tab w:leader="none" w:pos="4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 except to the extent that the registrant specifically incorporates them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Dennis Dean</w:t>
            </w:r>
          </w:p>
        </w:tc>
      </w:tr>
      <w:tr>
        <w:trPr>
          <w:trHeight w:val="218"/>
        </w:trPr>
        <w:tc>
          <w:tcPr>
            <w:tcW w:w="23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Dennis Dean</w:t>
            </w:r>
          </w:p>
        </w:tc>
      </w:tr>
      <w:tr>
        <w:trPr>
          <w:trHeight w:val="229"/>
        </w:trPr>
        <w:tc>
          <w:tcPr>
            <w:tcW w:w="2320" w:type="dxa"/>
            <w:vAlign w:val="bottom"/>
          </w:tcPr>
          <w:p>
            <w:pPr>
              <w:spacing w:after="0"/>
              <w:rPr>
                <w:sz w:val="19"/>
                <w:szCs w:val="19"/>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3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51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5940" w:type="dxa"/>
            <w:vAlign w:val="bottom"/>
          </w:tcPr>
          <w:p>
            <w:pPr>
              <w:spacing w:after="0"/>
              <w:rPr>
                <w:sz w:val="24"/>
                <w:szCs w:val="24"/>
                <w:color w:val="auto"/>
              </w:rPr>
            </w:pPr>
          </w:p>
        </w:tc>
      </w:tr>
      <w:tr>
        <w:trPr>
          <w:trHeight w:val="823"/>
        </w:trPr>
        <w:tc>
          <w:tcPr>
            <w:tcW w:w="2320" w:type="dxa"/>
            <w:vAlign w:val="bottom"/>
          </w:tcPr>
          <w:p>
            <w:pPr>
              <w:spacing w:after="0"/>
              <w:rPr>
                <w:sz w:val="24"/>
                <w:szCs w:val="24"/>
                <w:color w:val="auto"/>
              </w:rPr>
            </w:pPr>
          </w:p>
        </w:tc>
        <w:tc>
          <w:tcPr>
            <w:tcW w:w="594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51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7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March 31,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59" w:lineRule="exact"/>
        <w:rPr>
          <w:sz w:val="20"/>
          <w:szCs w:val="20"/>
          <w:color w:val="auto"/>
        </w:rPr>
      </w:pPr>
    </w:p>
    <w:p>
      <w:pPr>
        <w:ind w:left="360"/>
        <w:spacing w:after="0"/>
        <w:tabs>
          <w:tab w:leader="none" w:pos="6940" w:val="left"/>
          <w:tab w:leader="none" w:pos="748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AirSculpt Technologies, Inc. (the “Company”) on Form 10-Q for the period ended March 31, 2024, as filed with the Securities and Exchange Commission on the date hereof (the “Report”), the undersigned certifies, pursuant to 18 U.S.C. Sec.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7180" w:val="left"/>
        </w:tabs>
        <w:rPr>
          <w:sz w:val="20"/>
          <w:szCs w:val="20"/>
          <w:color w:val="auto"/>
        </w:rPr>
      </w:pPr>
      <w:r>
        <w:rPr>
          <w:rFonts w:ascii="Times New Roman" w:cs="Times New Roman" w:eastAsia="Times New Roman" w:hAnsi="Times New Roman"/>
          <w:sz w:val="18"/>
          <w:szCs w:val="18"/>
          <w:color w:val="auto"/>
        </w:rPr>
        <w:t>Date: May 10, 2024</w:t>
      </w:r>
      <w:r>
        <w:rPr>
          <w:sz w:val="20"/>
          <w:szCs w:val="20"/>
          <w:color w:val="auto"/>
        </w:rPr>
        <w:tab/>
      </w:r>
      <w:r>
        <w:rPr>
          <w:rFonts w:ascii="Times New Roman" w:cs="Times New Roman" w:eastAsia="Times New Roman" w:hAnsi="Times New Roman"/>
          <w:sz w:val="18"/>
          <w:szCs w:val="18"/>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Dennis Dean</w:t>
      </w:r>
    </w:p>
    <w:p>
      <w:pPr>
        <w:spacing w:after="0" w:line="2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2024-05-10T12:45:47Z</dcterms:created>
  <dcterms:modified xsi:type="dcterms:W3CDTF">2024-05-10T12:45:47Z</dcterms:modified>
</cp:coreProperties>
</file>