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20" w:right="2840" w:hanging="3612"/>
        <w:spacing w:after="0" w:line="396" w:lineRule="auto"/>
        <w:tabs>
          <w:tab w:leader="none" w:pos="19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001-40973</w:t>
      </w:r>
    </w:p>
    <w:p>
      <w:pPr>
        <w:spacing w:after="0" w:line="104"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Arial" w:cs="Arial" w:eastAsia="Arial" w:hAnsi="Arial"/>
                <w:sz w:val="20"/>
                <w:szCs w:val="20"/>
                <w:b w:val="1"/>
                <w:bCs w:val="1"/>
                <w:color w:val="auto"/>
                <w:w w:val="88"/>
              </w:rPr>
              <w:t>AirSculpt Technologies, Inc.</w:t>
            </w:r>
          </w:p>
        </w:tc>
        <w:tc>
          <w:tcPr>
            <w:tcW w:w="1480" w:type="dxa"/>
            <w:vAlign w:val="bottom"/>
          </w:tcPr>
          <w:p>
            <w:pPr>
              <w:spacing w:after="0"/>
              <w:rPr>
                <w:sz w:val="21"/>
                <w:szCs w:val="21"/>
                <w:color w:val="auto"/>
              </w:rPr>
            </w:pPr>
          </w:p>
        </w:tc>
      </w:tr>
      <w:tr>
        <w:trPr>
          <w:trHeight w:val="206"/>
        </w:trPr>
        <w:tc>
          <w:tcPr>
            <w:tcW w:w="6080" w:type="dxa"/>
            <w:vAlign w:val="bottom"/>
          </w:tcPr>
          <w:p>
            <w:pPr>
              <w:jc w:val="center"/>
              <w:ind w:left="2097"/>
              <w:spacing w:after="0"/>
              <w:rPr>
                <w:sz w:val="20"/>
                <w:szCs w:val="20"/>
                <w:color w:val="auto"/>
              </w:rPr>
            </w:pPr>
            <w:r>
              <w:rPr>
                <w:rFonts w:ascii="Arial" w:cs="Arial" w:eastAsia="Arial" w:hAnsi="Arial"/>
                <w:sz w:val="16"/>
                <w:szCs w:val="16"/>
                <w:color w:val="auto"/>
                <w:w w:val="91"/>
              </w:rPr>
              <w:t>(Exact name of registrant as specified in its charter)</w:t>
            </w:r>
          </w:p>
        </w:tc>
        <w:tc>
          <w:tcPr>
            <w:tcW w:w="1480" w:type="dxa"/>
            <w:vAlign w:val="bottom"/>
          </w:tcPr>
          <w:p>
            <w:pPr>
              <w:spacing w:after="0"/>
              <w:rPr>
                <w:sz w:val="17"/>
                <w:szCs w:val="17"/>
                <w:color w:val="auto"/>
              </w:rPr>
            </w:pPr>
          </w:p>
        </w:tc>
      </w:tr>
      <w:tr>
        <w:trPr>
          <w:trHeight w:val="351"/>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87-1471855</w:t>
            </w:r>
          </w:p>
        </w:tc>
      </w:tr>
      <w:tr>
        <w:trPr>
          <w:trHeight w:val="239"/>
        </w:trPr>
        <w:tc>
          <w:tcPr>
            <w:tcW w:w="6080" w:type="dxa"/>
            <w:vAlign w:val="bottom"/>
          </w:tcPr>
          <w:p>
            <w:pPr>
              <w:jc w:val="center"/>
              <w:ind w:right="3397"/>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5"/>
              </w:rPr>
              <w:t>(I.R.S. Employer</w:t>
            </w:r>
          </w:p>
        </w:tc>
      </w:tr>
      <w:tr>
        <w:trPr>
          <w:trHeight w:val="206"/>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3"/>
              </w:rPr>
              <w:t>incorporation or organization)</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6"/>
              </w:rPr>
              <w:t>Identification No.)</w:t>
            </w:r>
          </w:p>
        </w:tc>
      </w:tr>
      <w:tr>
        <w:trPr>
          <w:trHeight w:val="473"/>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8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6"/>
              </w:rPr>
              <w:t>Miami Beach, FL</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33139</w:t>
            </w:r>
          </w:p>
        </w:tc>
      </w:tr>
      <w:tr>
        <w:trPr>
          <w:trHeight w:val="256"/>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5"/>
              </w:rPr>
              <w:t>(Zip Code)</w:t>
            </w:r>
          </w:p>
        </w:tc>
      </w:tr>
    </w:tbl>
    <w:p>
      <w:pPr>
        <w:spacing w:after="0" w:line="208"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(786) 709-9690</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300" w:type="dxa"/>
            <w:vAlign w:val="bottom"/>
            <w:gridSpan w:val="2"/>
          </w:tcPr>
          <w:p>
            <w:pPr>
              <w:jc w:val="center"/>
              <w:ind w:left="12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44"/>
        </w:trPr>
        <w:tc>
          <w:tcPr>
            <w:tcW w:w="3520" w:type="dxa"/>
            <w:vAlign w:val="bottom"/>
            <w:gridSpan w:val="3"/>
          </w:tcPr>
          <w:p>
            <w:pPr>
              <w:jc w:val="center"/>
              <w:ind w:right="700"/>
              <w:spacing w:after="0"/>
              <w:rPr>
                <w:sz w:val="20"/>
                <w:szCs w:val="20"/>
                <w:color w:val="auto"/>
              </w:rPr>
            </w:pPr>
            <w:r>
              <w:rPr>
                <w:rFonts w:ascii="Arial" w:cs="Arial" w:eastAsia="Arial" w:hAnsi="Arial"/>
                <w:sz w:val="16"/>
                <w:szCs w:val="16"/>
                <w:color w:val="auto"/>
                <w:w w:val="91"/>
              </w:rPr>
              <w:t>Common Stock, par value $0.001 per share</w:t>
            </w:r>
          </w:p>
        </w:tc>
        <w:tc>
          <w:tcPr>
            <w:tcW w:w="6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AIRS</w:t>
            </w:r>
          </w:p>
        </w:tc>
        <w:tc>
          <w:tcPr>
            <w:tcW w:w="130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2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8" w:lineRule="exact"/>
        <w:rPr>
          <w:sz w:val="24"/>
          <w:szCs w:val="24"/>
          <w:color w:val="auto"/>
        </w:rPr>
      </w:pPr>
    </w:p>
    <w:p>
      <w:pPr>
        <w:jc w:val="both"/>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160" w:type="dxa"/>
        <w:tblCellMar>
          <w:top w:w="0" w:type="dxa"/>
          <w:left w:w="0" w:type="dxa"/>
          <w:bottom w:w="0" w:type="dxa"/>
          <w:right w:w="0" w:type="dxa"/>
        </w:tblCellMar>
      </w:tblPr>
      <w:tr>
        <w:trPr>
          <w:trHeight w:val="207"/>
        </w:trPr>
        <w:tc>
          <w:tcPr>
            <w:tcW w:w="1640" w:type="dxa"/>
            <w:vAlign w:val="bottom"/>
          </w:tcPr>
          <w:p>
            <w:pPr>
              <w:jc w:val="center"/>
              <w:ind w:right="99"/>
              <w:spacing w:after="0"/>
              <w:rPr>
                <w:sz w:val="20"/>
                <w:szCs w:val="20"/>
                <w:color w:val="auto"/>
              </w:rPr>
            </w:pPr>
            <w:r>
              <w:rPr>
                <w:rFonts w:ascii="Arial" w:cs="Arial" w:eastAsia="Arial" w:hAnsi="Arial"/>
                <w:sz w:val="16"/>
                <w:szCs w:val="16"/>
                <w:color w:val="auto"/>
                <w:w w:val="92"/>
              </w:rPr>
              <w:t>Large accelerated filer</w:t>
            </w:r>
          </w:p>
        </w:tc>
        <w:tc>
          <w:tcPr>
            <w:tcW w:w="1680" w:type="dxa"/>
            <w:vAlign w:val="bottom"/>
          </w:tcPr>
          <w:p>
            <w:pPr>
              <w:ind w:left="200"/>
              <w:spacing w:after="0"/>
              <w:rPr>
                <w:sz w:val="20"/>
                <w:szCs w:val="20"/>
                <w:color w:val="auto"/>
              </w:rPr>
            </w:pPr>
            <w:r>
              <w:rPr>
                <w:rFonts w:ascii="Arial" w:cs="Arial" w:eastAsia="Arial" w:hAnsi="Arial"/>
                <w:sz w:val="16"/>
                <w:szCs w:val="16"/>
                <w:color w:val="auto"/>
              </w:rPr>
              <w:t>o</w:t>
            </w:r>
          </w:p>
        </w:tc>
        <w:tc>
          <w:tcPr>
            <w:tcW w:w="3400" w:type="dxa"/>
            <w:vAlign w:val="bottom"/>
          </w:tcPr>
          <w:p>
            <w:pPr>
              <w:jc w:val="center"/>
              <w:ind w:left="111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o</w:t>
            </w:r>
          </w:p>
        </w:tc>
      </w:tr>
      <w:tr>
        <w:trPr>
          <w:trHeight w:val="243"/>
        </w:trPr>
        <w:tc>
          <w:tcPr>
            <w:tcW w:w="1640" w:type="dxa"/>
            <w:vAlign w:val="bottom"/>
          </w:tcPr>
          <w:p>
            <w:pPr>
              <w:jc w:val="center"/>
              <w:ind w:right="99"/>
              <w:spacing w:after="0"/>
              <w:rPr>
                <w:sz w:val="20"/>
                <w:szCs w:val="20"/>
                <w:color w:val="auto"/>
              </w:rPr>
            </w:pPr>
            <w:r>
              <w:rPr>
                <w:rFonts w:ascii="Arial" w:cs="Arial" w:eastAsia="Arial" w:hAnsi="Arial"/>
                <w:sz w:val="16"/>
                <w:szCs w:val="16"/>
                <w:color w:val="auto"/>
                <w:w w:val="93"/>
              </w:rPr>
              <w:t>Non-accelerated filer</w:t>
            </w:r>
          </w:p>
        </w:tc>
        <w:tc>
          <w:tcPr>
            <w:tcW w:w="1680" w:type="dxa"/>
            <w:vAlign w:val="bottom"/>
          </w:tcPr>
          <w:p>
            <w:pPr>
              <w:ind w:left="200"/>
              <w:spacing w:after="0"/>
              <w:rPr>
                <w:sz w:val="20"/>
                <w:szCs w:val="20"/>
                <w:color w:val="auto"/>
              </w:rPr>
            </w:pPr>
            <w:r>
              <w:rPr>
                <w:rFonts w:ascii="Arial" w:cs="Arial" w:eastAsia="Arial" w:hAnsi="Arial"/>
                <w:sz w:val="16"/>
                <w:szCs w:val="16"/>
                <w:color w:val="auto"/>
              </w:rPr>
              <w:t>x</w:t>
            </w:r>
          </w:p>
        </w:tc>
        <w:tc>
          <w:tcPr>
            <w:tcW w:w="3400" w:type="dxa"/>
            <w:vAlign w:val="bottom"/>
          </w:tcPr>
          <w:p>
            <w:pPr>
              <w:jc w:val="center"/>
              <w:ind w:left="1119"/>
              <w:spacing w:after="0"/>
              <w:rPr>
                <w:sz w:val="20"/>
                <w:szCs w:val="20"/>
                <w:color w:val="auto"/>
              </w:rPr>
            </w:pPr>
            <w:r>
              <w:rPr>
                <w:rFonts w:ascii="Arial" w:cs="Arial" w:eastAsia="Arial" w:hAnsi="Arial"/>
                <w:sz w:val="16"/>
                <w:szCs w:val="16"/>
                <w:color w:val="auto"/>
                <w:w w:val="92"/>
              </w:rPr>
              <w:t>Smaller reporting company</w:t>
            </w:r>
          </w:p>
        </w:tc>
        <w:tc>
          <w:tcPr>
            <w:tcW w:w="300" w:type="dxa"/>
            <w:vAlign w:val="bottom"/>
          </w:tcPr>
          <w:p>
            <w:pPr>
              <w:ind w:left="220"/>
              <w:spacing w:after="0"/>
              <w:rPr>
                <w:sz w:val="20"/>
                <w:szCs w:val="20"/>
                <w:color w:val="auto"/>
              </w:rPr>
            </w:pPr>
            <w:r>
              <w:rPr>
                <w:rFonts w:ascii="Arial" w:cs="Arial" w:eastAsia="Arial" w:hAnsi="Arial"/>
                <w:sz w:val="16"/>
                <w:szCs w:val="16"/>
                <w:color w:val="auto"/>
                <w:w w:val="74"/>
              </w:rPr>
              <w:t>x</w:t>
            </w:r>
          </w:p>
        </w:tc>
      </w:tr>
      <w:tr>
        <w:trPr>
          <w:trHeight w:val="230"/>
        </w:trPr>
        <w:tc>
          <w:tcPr>
            <w:tcW w:w="1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0" w:type="dxa"/>
            <w:vAlign w:val="bottom"/>
          </w:tcPr>
          <w:p>
            <w:pPr>
              <w:jc w:val="center"/>
              <w:ind w:left="1119"/>
              <w:spacing w:after="0"/>
              <w:rPr>
                <w:sz w:val="20"/>
                <w:szCs w:val="20"/>
                <w:color w:val="auto"/>
              </w:rPr>
            </w:pPr>
            <w:r>
              <w:rPr>
                <w:rFonts w:ascii="Arial" w:cs="Arial" w:eastAsia="Arial" w:hAnsi="Arial"/>
                <w:sz w:val="16"/>
                <w:szCs w:val="16"/>
                <w:color w:val="auto"/>
                <w:w w:val="92"/>
              </w:rPr>
              <w:t>Emerging growth company</w:t>
            </w:r>
          </w:p>
        </w:tc>
        <w:tc>
          <w:tcPr>
            <w:tcW w:w="300" w:type="dxa"/>
            <w:vAlign w:val="bottom"/>
          </w:tcPr>
          <w:p>
            <w:pPr>
              <w:ind w:left="220"/>
              <w:spacing w:after="0"/>
              <w:rPr>
                <w:sz w:val="20"/>
                <w:szCs w:val="20"/>
                <w:color w:val="auto"/>
              </w:rPr>
            </w:pPr>
            <w:r>
              <w:rPr>
                <w:rFonts w:ascii="Arial" w:cs="Arial" w:eastAsia="Arial" w:hAnsi="Arial"/>
                <w:sz w:val="16"/>
                <w:szCs w:val="16"/>
                <w:color w:val="auto"/>
                <w:w w:val="74"/>
              </w:rPr>
              <w:t>x</w:t>
            </w:r>
          </w:p>
        </w:tc>
      </w:tr>
    </w:tbl>
    <w:p>
      <w:pPr>
        <w:spacing w:after="0" w:line="172"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8" w:lineRule="exact"/>
        <w:rPr>
          <w:sz w:val="24"/>
          <w:szCs w:val="24"/>
          <w:color w:val="auto"/>
        </w:rPr>
      </w:pPr>
    </w:p>
    <w:p>
      <w:pPr>
        <w:ind w:right="300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56,784,968 shares of common stock outstanding as of 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40" w:type="dxa"/>
            <w:vAlign w:val="bottom"/>
            <w:gridSpan w:val="8"/>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rPr>
              <w:t>PART I FINANCIAL INFORMATION</w:t>
            </w:r>
          </w:p>
        </w:tc>
        <w:tc>
          <w:tcPr>
            <w:tcW w:w="7280" w:type="dxa"/>
            <w:vAlign w:val="bottom"/>
            <w:gridSpan w:val="9"/>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520" w:type="dxa"/>
            <w:vAlign w:val="bottom"/>
            <w:gridSpan w:val="3"/>
          </w:tcPr>
          <w:p>
            <w:pPr>
              <w:spacing w:after="0"/>
              <w:rPr>
                <w:sz w:val="24"/>
                <w:szCs w:val="24"/>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Balance Sheets as of June 30, 2023 (Unaudited) and December 31, 2022</w:t>
            </w:r>
          </w:p>
        </w:tc>
        <w:tc>
          <w:tcPr>
            <w:tcW w:w="2200" w:type="dxa"/>
            <w:vAlign w:val="bottom"/>
            <w:gridSpan w:val="4"/>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w w:val="92"/>
              </w:rPr>
              <w:t>Condensed Consolidated Statements of Operations for the Three and Six Months Ended June 30, 2023 and 2022 (Unaudited)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Condensed Consolidated Statements of Other Comprehensive Income/(Loss) for the Three and Six Months Ended June 30, 2023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60" w:type="dxa"/>
            <w:vAlign w:val="bottom"/>
            <w:gridSpan w:val="19"/>
          </w:tcPr>
          <w:p>
            <w:pPr>
              <w:spacing w:after="0" w:line="182" w:lineRule="exact"/>
              <w:rPr>
                <w:sz w:val="20"/>
                <w:szCs w:val="20"/>
                <w:color w:val="auto"/>
              </w:rPr>
            </w:pPr>
            <w:r>
              <w:rPr>
                <w:rFonts w:ascii="Arial" w:cs="Arial" w:eastAsia="Arial" w:hAnsi="Arial"/>
                <w:sz w:val="18"/>
                <w:szCs w:val="18"/>
                <w:color w:val="0000FF"/>
              </w:rPr>
              <w:t>and 2022 (Unaudited)</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w w:val="89"/>
              </w:rPr>
              <w:t>Condensed Consolidated Statements of Changes in Stockholders' Equity for the Three and Six Months Ended June 30, 2023 and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0"/>
              </w:rPr>
              <w:t>2022 (Unaudited)</w:t>
            </w:r>
          </w:p>
        </w:tc>
        <w:tc>
          <w:tcPr>
            <w:tcW w:w="796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Cash Flows for the Six Months Ended June 30, 2023 and 2022 (Unaudited)</w:t>
            </w:r>
          </w:p>
        </w:tc>
        <w:tc>
          <w:tcPr>
            <w:tcW w:w="960" w:type="dxa"/>
            <w:vAlign w:val="bottom"/>
            <w:gridSpan w:val="3"/>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 (Unaudited</w:t>
            </w:r>
            <w:r>
              <w:rPr>
                <w:rFonts w:ascii="Arial" w:cs="Arial" w:eastAsia="Arial" w:hAnsi="Arial"/>
                <w:sz w:val="18"/>
                <w:szCs w:val="18"/>
                <w:color w:val="000000"/>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400" w:type="dxa"/>
            <w:vAlign w:val="bottom"/>
            <w:gridSpan w:val="2"/>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400" w:type="dxa"/>
            <w:vAlign w:val="bottom"/>
            <w:gridSpan w:val="2"/>
          </w:tcPr>
          <w:p>
            <w:pPr>
              <w:spacing w:after="0"/>
              <w:rPr>
                <w:sz w:val="21"/>
                <w:szCs w:val="21"/>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920" w:type="dxa"/>
            <w:vAlign w:val="bottom"/>
            <w:tcBorders>
              <w:left w:val="single" w:sz="8" w:color="0000FF"/>
            </w:tcBorders>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1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Arial" w:cs="Arial" w:eastAsia="Arial" w:hAnsi="Arial"/>
                <w:sz w:val="18"/>
                <w:szCs w:val="18"/>
                <w:b w:val="1"/>
                <w:bCs w:val="1"/>
                <w:color w:val="0000FF"/>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520" w:type="dxa"/>
            <w:vAlign w:val="bottom"/>
            <w:tcBorders>
              <w:top w:val="single" w:sz="8" w:color="0000FF"/>
            </w:tcBorders>
            <w:gridSpan w:val="3"/>
          </w:tcPr>
          <w:p>
            <w:pPr>
              <w:spacing w:after="0"/>
              <w:rPr>
                <w:sz w:val="20"/>
                <w:szCs w:val="20"/>
                <w:color w:val="auto"/>
              </w:rPr>
            </w:pPr>
          </w:p>
        </w:tc>
        <w:tc>
          <w:tcPr>
            <w:tcW w:w="16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Legal Proceedings</w:t>
            </w:r>
          </w:p>
        </w:tc>
        <w:tc>
          <w:tcPr>
            <w:tcW w:w="7580" w:type="dxa"/>
            <w:vAlign w:val="bottom"/>
            <w:gridSpan w:val="11"/>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26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520" w:type="dxa"/>
            <w:vAlign w:val="bottom"/>
            <w:gridSpan w:val="3"/>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520" w:type="dxa"/>
            <w:vAlign w:val="bottom"/>
            <w:gridSpan w:val="3"/>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520" w:type="dxa"/>
            <w:vAlign w:val="bottom"/>
            <w:gridSpan w:val="3"/>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520" w:type="dxa"/>
            <w:vAlign w:val="bottom"/>
            <w:gridSpan w:val="3"/>
          </w:tcPr>
          <w:p>
            <w:pPr>
              <w:spacing w:after="0"/>
              <w:rPr>
                <w:sz w:val="20"/>
                <w:szCs w:val="20"/>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made statements in the sections titled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Annual Report on Form 10-K.</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 factors discussed in the section titled “Risk Factors” in our Annual Report on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vMerge w:val="restart"/>
          </w:tcPr>
          <w:p>
            <w:pPr>
              <w:ind w:left="20"/>
              <w:spacing w:after="0"/>
              <w:rPr>
                <w:sz w:val="20"/>
                <w:szCs w:val="20"/>
                <w:color w:val="auto"/>
              </w:rPr>
            </w:pPr>
            <w:r>
              <w:rPr>
                <w:rFonts w:ascii="Arial" w:cs="Arial" w:eastAsia="Arial" w:hAnsi="Arial"/>
                <w:sz w:val="14"/>
                <w:szCs w:val="14"/>
                <w:color w:val="auto"/>
              </w:rPr>
              <w:t>($000s)</w:t>
            </w:r>
          </w:p>
        </w:tc>
        <w:tc>
          <w:tcPr>
            <w:tcW w:w="240" w:type="dxa"/>
            <w:vAlign w:val="bottom"/>
          </w:tcPr>
          <w:p>
            <w:pPr>
              <w:spacing w:after="0"/>
              <w:rPr>
                <w:sz w:val="14"/>
                <w:szCs w:val="14"/>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Taxes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w:t>
            </w:r>
          </w:p>
        </w:tc>
        <w:tc>
          <w:tcPr>
            <w:tcW w:w="0" w:type="dxa"/>
            <w:vAlign w:val="bottom"/>
          </w:tcPr>
          <w:p>
            <w:pPr>
              <w:spacing w:after="0"/>
              <w:rPr>
                <w:sz w:val="1"/>
                <w:szCs w:val="1"/>
                <w:color w:val="auto"/>
              </w:rPr>
            </w:pP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operating lease assets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51,099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81,734</w:t>
            </w:r>
          </w:p>
        </w:tc>
        <w:tc>
          <w:tcPr>
            <w:tcW w:w="0" w:type="dxa"/>
            <w:vAlign w:val="bottom"/>
          </w:tcPr>
          <w:p>
            <w:pPr>
              <w:spacing w:after="0"/>
              <w:rPr>
                <w:sz w:val="1"/>
                <w:szCs w:val="1"/>
                <w:color w:val="auto"/>
              </w:rPr>
            </w:pPr>
          </w:p>
        </w:tc>
      </w:tr>
      <w:tr>
        <w:trPr>
          <w:trHeight w:val="257"/>
        </w:trPr>
        <w:tc>
          <w:tcPr>
            <w:tcW w:w="81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217,284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200,759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Accrued payroll and benefits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Deferred revenue and patient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56"/>
        </w:trPr>
        <w:tc>
          <w:tcPr>
            <w:tcW w:w="816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129,993</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 (Note 9)</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$0.001 par value; shares authorized - 450,000,000; shares issued and outstanding - 56,784,968</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56,181,689, respectively</w:t>
            </w:r>
          </w:p>
        </w:tc>
        <w:tc>
          <w:tcPr>
            <w:tcW w:w="2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85,858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0" w:type="dxa"/>
            <w:vAlign w:val="bottom"/>
          </w:tcPr>
          <w:p>
            <w:pPr>
              <w:spacing w:after="0"/>
              <w:rPr>
                <w:sz w:val="1"/>
                <w:szCs w:val="1"/>
                <w:color w:val="auto"/>
              </w:rPr>
            </w:pPr>
          </w:p>
        </w:tc>
      </w:tr>
      <w:tr>
        <w:trPr>
          <w:trHeight w:val="263"/>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217,284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200,759</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26"/>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(in $000s, except for shares and per share figures)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2022</w:t>
            </w: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101,516</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 (exclusive of 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32,154</w:t>
            </w:r>
          </w:p>
        </w:tc>
      </w:tr>
      <w:tr>
        <w:trPr>
          <w:trHeight w:val="263"/>
        </w:trPr>
        <w:tc>
          <w:tcPr>
            <w:tcW w:w="5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51,775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50,177</w:t>
            </w:r>
          </w:p>
        </w:tc>
      </w:tr>
      <w:tr>
        <w:trPr>
          <w:trHeight w:val="277"/>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r>
      <w:tr>
        <w:trPr>
          <w:trHeight w:val="250"/>
        </w:trPr>
        <w:tc>
          <w:tcPr>
            <w:tcW w:w="5000" w:type="dxa"/>
            <w:vAlign w:val="bottom"/>
          </w:tcPr>
          <w:p>
            <w:pPr>
              <w:ind w:left="180"/>
              <w:spacing w:after="0"/>
              <w:rPr>
                <w:sz w:val="20"/>
                <w:szCs w:val="20"/>
                <w:color w:val="auto"/>
              </w:rPr>
            </w:pPr>
            <w:r>
              <w:rPr>
                <w:rFonts w:ascii="Arial" w:cs="Arial" w:eastAsia="Arial" w:hAnsi="Arial"/>
                <w:sz w:val="18"/>
                <w:szCs w:val="18"/>
                <w:color w:val="auto"/>
              </w:rPr>
              <w:t>Loss/(gain) on disposal of long-lived assets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86,406</w:t>
            </w:r>
          </w:p>
        </w:tc>
      </w:tr>
      <w:tr>
        <w:trPr>
          <w:trHeight w:val="263"/>
        </w:trPr>
        <w:tc>
          <w:tcPr>
            <w:tcW w:w="500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2,792</w:t>
            </w: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43"/>
        </w:trPr>
        <w:tc>
          <w:tcPr>
            <w:tcW w:w="5000" w:type="dxa"/>
            <w:vAlign w:val="bottom"/>
          </w:tcPr>
          <w:p>
            <w:pPr>
              <w:ind w:left="360"/>
              <w:spacing w:after="0"/>
              <w:rPr>
                <w:sz w:val="20"/>
                <w:szCs w:val="20"/>
                <w:color w:val="auto"/>
              </w:rPr>
            </w:pPr>
            <w:r>
              <w:rPr>
                <w:rFonts w:ascii="Arial" w:cs="Arial" w:eastAsia="Arial" w:hAnsi="Arial"/>
                <w:sz w:val="18"/>
                <w:szCs w:val="18"/>
                <w:color w:val="auto"/>
              </w:rPr>
              <w:t>Pre-tax net income/(loss)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7"/>
        </w:trPr>
        <w:tc>
          <w:tcPr>
            <w:tcW w:w="5000" w:type="dxa"/>
            <w:vAlign w:val="bottom"/>
          </w:tcPr>
          <w:p>
            <w:pPr>
              <w:ind w:left="360"/>
              <w:spacing w:after="0"/>
              <w:rPr>
                <w:sz w:val="20"/>
                <w:szCs w:val="20"/>
                <w:color w:val="auto"/>
              </w:rPr>
            </w:pPr>
            <w:r>
              <w:rPr>
                <w:rFonts w:ascii="Arial" w:cs="Arial" w:eastAsia="Arial" w:hAnsi="Arial"/>
                <w:sz w:val="18"/>
                <w:szCs w:val="18"/>
                <w:color w:val="auto"/>
              </w:rPr>
              <w:t>Net income/(loss)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1,776</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Income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63"/>
        </w:trPr>
        <w:tc>
          <w:tcPr>
            <w:tcW w:w="50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3"/>
        </w:trPr>
        <w:tc>
          <w:tcPr>
            <w:tcW w:w="500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56,753,498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55,640,154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56,599,291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55,640,154</w:t>
            </w:r>
          </w:p>
        </w:tc>
      </w:tr>
      <w:tr>
        <w:trPr>
          <w:trHeight w:val="277"/>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58,511,766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58,360,685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58,095,736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55,640,154</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Other Comprehensive Income/(Loss) (Unaudited)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5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($000s)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9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1,719</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3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Paid-in 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89,869</w:t>
            </w:r>
          </w:p>
        </w:tc>
        <w:tc>
          <w:tcPr>
            <w:tcW w:w="0" w:type="dxa"/>
            <w:vAlign w:val="bottom"/>
          </w:tcPr>
          <w:p>
            <w:pPr>
              <w:spacing w:after="0"/>
              <w:rPr>
                <w:sz w:val="1"/>
                <w:szCs w:val="1"/>
                <w:color w:val="auto"/>
              </w:rPr>
            </w:pP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56,181,689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0" w:type="dxa"/>
            <w:vAlign w:val="bottom"/>
          </w:tcPr>
          <w:p>
            <w:pPr>
              <w:spacing w:after="0"/>
              <w:rPr>
                <w:sz w:val="1"/>
                <w:szCs w:val="1"/>
                <w:color w:val="auto"/>
              </w:rPr>
            </w:pPr>
          </w:p>
        </w:tc>
      </w:tr>
      <w:tr>
        <w:trPr>
          <w:trHeight w:val="188"/>
        </w:trPr>
        <w:tc>
          <w:tcPr>
            <w:tcW w:w="3420" w:type="dxa"/>
            <w:vAlign w:val="bottom"/>
          </w:tcPr>
          <w:p>
            <w:pPr>
              <w:ind w:left="160"/>
              <w:spacing w:after="0" w:line="189" w:lineRule="exact"/>
              <w:rPr>
                <w:sz w:val="20"/>
                <w:szCs w:val="20"/>
                <w:color w:val="auto"/>
              </w:rPr>
            </w:pPr>
            <w:r>
              <w:rPr>
                <w:rFonts w:ascii="Arial" w:cs="Arial" w:eastAsia="Arial" w:hAnsi="Arial"/>
                <w:sz w:val="18"/>
                <w:szCs w:val="18"/>
                <w:color w:val="auto"/>
              </w:rPr>
              <w:t>Issuance of common stock through unit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vesting</w:t>
            </w:r>
          </w:p>
        </w:tc>
        <w:tc>
          <w:tcPr>
            <w:tcW w:w="1100" w:type="dxa"/>
            <w:vAlign w:val="bottom"/>
          </w:tcPr>
          <w:p>
            <w:pPr>
              <w:jc w:val="right"/>
              <w:spacing w:after="0"/>
              <w:rPr>
                <w:sz w:val="20"/>
                <w:szCs w:val="20"/>
                <w:color w:val="auto"/>
              </w:rPr>
            </w:pPr>
            <w:r>
              <w:rPr>
                <w:rFonts w:ascii="Arial" w:cs="Arial" w:eastAsia="Arial" w:hAnsi="Arial"/>
                <w:sz w:val="18"/>
                <w:szCs w:val="18"/>
                <w:color w:val="auto"/>
              </w:rPr>
              <w:t>529,571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2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56,711,260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75,228</w:t>
            </w:r>
          </w:p>
        </w:tc>
        <w:tc>
          <w:tcPr>
            <w:tcW w:w="0" w:type="dxa"/>
            <w:vAlign w:val="bottom"/>
          </w:tcPr>
          <w:p>
            <w:pPr>
              <w:spacing w:after="0"/>
              <w:rPr>
                <w:sz w:val="1"/>
                <w:szCs w:val="1"/>
                <w:color w:val="auto"/>
              </w:rPr>
            </w:pPr>
          </w:p>
        </w:tc>
      </w:tr>
      <w:tr>
        <w:trPr>
          <w:trHeight w:val="175"/>
        </w:trPr>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through unit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73,708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vesting</w:t>
            </w: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comprehensive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56,784,968</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94,836</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7"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4"/>
                <w:szCs w:val="14"/>
                <w:color w:val="auto"/>
              </w:rPr>
              <w:t>($000s)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2022</w:t>
            </w: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income/(loss) to net cash provided by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w:t>
            </w: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Non-cash interest expense; amortization of debt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long-lived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receivable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6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patient deposits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57"/>
        </w:trPr>
        <w:tc>
          <w:tcPr>
            <w:tcW w:w="816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r>
      <w:tr>
        <w:trPr>
          <w:trHeight w:val="263"/>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17,478</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57"/>
        </w:trPr>
        <w:tc>
          <w:tcPr>
            <w:tcW w:w="8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Payment on term loan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member</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activity</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256"/>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20,779</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35,253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81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115"/>
        </w:trPr>
        <w:tc>
          <w:tcPr>
            <w:tcW w:w="8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information: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Arial" w:cs="Arial" w:eastAsia="Arial" w:hAnsi="Arial"/>
          <w:sz w:val="12"/>
          <w:szCs w:val="12"/>
          <w:color w:val="auto"/>
        </w:rPr>
        <w:t>©</w:t>
      </w:r>
      <w:r>
        <w:rPr>
          <w:rFonts w:ascii="Arial" w:cs="Arial" w:eastAsia="Arial" w:hAnsi="Arial"/>
          <w:sz w:val="17"/>
          <w:szCs w:val="17"/>
          <w:color w:val="auto"/>
        </w:rPr>
        <w:t xml:space="preserve">, </w:t>
      </w:r>
      <w:r>
        <w:rPr>
          <w:rFonts w:ascii="Arial" w:cs="Arial" w:eastAsia="Arial" w:hAnsi="Arial"/>
          <w:sz w:val="12"/>
          <w:szCs w:val="12"/>
          <w:color w:val="auto"/>
        </w:rPr>
        <w:t>®</w:t>
      </w:r>
      <w:r>
        <w:rPr>
          <w:rFonts w:ascii="Arial" w:cs="Arial" w:eastAsia="Arial" w:hAnsi="Arial"/>
          <w:sz w:val="17"/>
          <w:szCs w:val="17"/>
          <w:color w:val="auto"/>
        </w:rPr>
        <w:t xml:space="preserve"> and ™ symbols, but we will assert, to the fullest extent under applicable law, our rights to our copyrights, trade names and trademarks.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Estimates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Concentration of Credit Risk</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maintains cash balances at financial institutions which may at times exceed the amount covered by the Federal Deposit Insurance Corporation. The Company has not experienced any losses in such accounts.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require payment for services in advance. Payments received for services that have yet to be performed as of June 30, 2023 and December 31, 2022 are included in deferred revenue and patient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Service</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Net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$0.3 million and $0.3 million for the three months ended June 30, 2023 and 2022, respectively. Total amortization of deferred financing costs was approximately $0.5 million and $0.5 million for the six months ended June 30, 2023 and 2022, respectively. Amortization of loan costs and discounts is included as a component of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accounts for impairment of long-lived assets in accordance with the provisions of the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and Topic 360,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six months ended June 30, 2023 and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observable inputs that are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of common stock is computed by dividing net income/(loss) for the three and six months ended June 30, 2023 and 2022 by the weighted-average number of shares of common stock outstanding during the same period. Diluted earnings per share of common stock is computed by dividing net income/(loss) for the three and six months ended June 30, 2023 and 2022 by the weighted-average number of shares of common stock adjusted to give effect to potentially dilutive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expensed in the period when the costs are incurred and are included as a component of selling, general and administrative costs. Advertising expenses were approximately $6.9 million and $5.2 million for the three months ended June 30, 2023 and 2022, respectively, and approximately $12.9 million and $10.0 million for the six months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applies the provisions of ASC 740-10, </w:t>
      </w:r>
      <w:r>
        <w:rPr>
          <w:rFonts w:ascii="Arial" w:cs="Arial" w:eastAsia="Arial" w:hAnsi="Arial"/>
          <w:sz w:val="18"/>
          <w:szCs w:val="18"/>
          <w:i w:val="1"/>
          <w:iCs w:val="1"/>
          <w:color w:val="auto"/>
        </w:rPr>
        <w:t>Accounting for Uncertain Tax Positions</w:t>
      </w:r>
      <w:r>
        <w:rPr>
          <w:rFonts w:ascii="Arial" w:cs="Arial" w:eastAsia="Arial" w:hAnsi="Arial"/>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June 30, 2023 or December 31, 2022. The Company is not subject to U.S. federal tax examination prior to 2021, when it was formed.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an effective tax rate of approximately 48.8% and 75.7% for the three months ended June 30, 2023 and 2022, respectively, and approximately 49.6% and 57.5% for the six months ended June 30, 2023 and 2022, respectively, inclusive of all applicable U.S. federal and state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GOODWILL AND INTANGIBLES,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review of goodwill impairment will be performed in October 2023. There were no triggering events during the three and six months ended June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$81.7 million at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2023 and December 31, 2022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14"/>
                <w:szCs w:val="14"/>
                <w:color w:val="auto"/>
              </w:rPr>
            </w:pPr>
          </w:p>
        </w:tc>
      </w:tr>
      <w:tr>
        <w:trPr>
          <w:trHeight w:val="186"/>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58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Useful Life</w:t>
            </w: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know-how</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Trademarks and tradenames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580" w:type="dxa"/>
            <w:vAlign w:val="bottom"/>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44"/>
        </w:trPr>
        <w:tc>
          <w:tcPr>
            <w:tcW w:w="6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Accumulated amortization of technology and know-how</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(15,186)</w:t>
            </w:r>
          </w:p>
        </w:tc>
        <w:tc>
          <w:tcPr>
            <w:tcW w:w="1580" w:type="dxa"/>
            <w:vAlign w:val="bottom"/>
          </w:tcPr>
          <w:p>
            <w:pPr>
              <w:spacing w:after="0"/>
              <w:rPr>
                <w:sz w:val="21"/>
                <w:szCs w:val="2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 of tradenames and trademarks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48,722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51,099</w:t>
            </w:r>
          </w:p>
        </w:tc>
        <w:tc>
          <w:tcPr>
            <w:tcW w:w="1580" w:type="dxa"/>
            <w:vAlign w:val="bottom"/>
          </w:tcPr>
          <w:p>
            <w:pPr>
              <w:spacing w:after="0"/>
              <w:rPr>
                <w:sz w:val="22"/>
                <w:szCs w:val="22"/>
                <w:color w:val="auto"/>
              </w:rPr>
            </w:pPr>
          </w:p>
        </w:tc>
      </w:tr>
      <w:tr>
        <w:trPr>
          <w:trHeight w:val="21"/>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amortization expense on intangible assets was approximately $1.2 million for both of the three months ended June 30, 2023 and 2022, and $2.4 million for both of the six months ended June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property and equipment consists of the following: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6"/>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14,614</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r>
      <w:tr>
        <w:trPr>
          <w:trHeight w:val="28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approximately $1.3 million and $0.8 million for the three months ended June 30, 2023 and 2022, respectively, and $2.5 million and $1.5 million for the six months ended June 30,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June 30, 2023, the interest rate was 7.23%.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June 30, 2023 and December 31, 2022 were as follows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8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85,000</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720"/>
              <w:spacing w:after="0"/>
              <w:rPr>
                <w:sz w:val="20"/>
                <w:szCs w:val="20"/>
                <w:color w:val="auto"/>
              </w:rPr>
            </w:pPr>
            <w:r>
              <w:rPr>
                <w:rFonts w:ascii="Arial" w:cs="Arial" w:eastAsia="Arial" w:hAnsi="Arial"/>
                <w:sz w:val="18"/>
                <w:szCs w:val="18"/>
                <w:color w:val="auto"/>
                <w:w w:val="94"/>
              </w:rPr>
              <w:t>(1,455)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debt,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160" w:val="left"/>
        </w:tabs>
        <w:rPr>
          <w:sz w:val="20"/>
          <w:szCs w:val="20"/>
          <w:color w:val="auto"/>
        </w:rPr>
      </w:pPr>
      <w:r>
        <w:rPr>
          <w:rFonts w:ascii="Arial" w:cs="Arial" w:eastAsia="Arial" w:hAnsi="Arial"/>
          <w:sz w:val="18"/>
          <w:szCs w:val="18"/>
          <w:color w:val="auto"/>
        </w:rPr>
        <w:t>Long-term debt, net</w:t>
      </w:r>
      <w:r>
        <w:rPr>
          <w:sz w:val="20"/>
          <w:szCs w:val="20"/>
          <w:color w:val="auto"/>
        </w:rPr>
        <w:tab/>
      </w:r>
      <w:r>
        <w:rPr>
          <w:rFonts w:ascii="Arial" w:cs="Arial" w:eastAsia="Arial" w:hAnsi="Arial"/>
          <w:sz w:val="17"/>
          <w:szCs w:val="17"/>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December 31, 2022, the Company had $5.0 million available on the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scheduled future maturities of long-term debt as of June 30, 2023 is as follows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 (excluding the six months ended June 30, 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maturities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83,000</w:t>
      </w:r>
      <w:r>
        <w:rPr>
          <w:sz w:val="20"/>
          <w:szCs w:val="20"/>
          <w:color w:val="auto"/>
        </w:rPr>
        <w:tab/>
      </w:r>
      <w:r>
        <w:rPr>
          <w:rFonts w:ascii="Arial" w:cs="Arial" w:eastAsia="Arial" w:hAnsi="Arial"/>
          <w:sz w:val="17"/>
          <w:szCs w:val="17"/>
          <w:color w:val="auto"/>
        </w:rPr>
        <w:t>83,545</w:t>
      </w:r>
    </w:p>
    <w:p>
      <w:pPr>
        <w:spacing w:after="0" w:line="75"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7"/>
          <w:szCs w:val="17"/>
          <w:color w:val="auto"/>
        </w:rPr>
        <w:t>(2,125)</w:t>
      </w:r>
      <w:r>
        <w:rPr>
          <w:sz w:val="20"/>
          <w:szCs w:val="20"/>
          <w:color w:val="auto"/>
        </w:rPr>
        <w:tab/>
      </w:r>
      <w:r>
        <w:rPr>
          <w:rFonts w:ascii="Arial" w:cs="Arial" w:eastAsia="Arial" w:hAnsi="Arial"/>
          <w:sz w:val="17"/>
          <w:szCs w:val="17"/>
          <w:color w:val="auto"/>
        </w:rPr>
        <w:t>(2,125)</w:t>
      </w:r>
    </w:p>
    <w:p>
      <w:pPr>
        <w:spacing w:after="0" w:line="75" w:lineRule="exact"/>
        <w:rPr>
          <w:sz w:val="20"/>
          <w:szCs w:val="20"/>
          <w:color w:val="auto"/>
        </w:rPr>
      </w:pPr>
    </w:p>
    <w:p>
      <w:pPr>
        <w:spacing w:after="0"/>
        <w:tabs>
          <w:tab w:leader="none" w:pos="660" w:val="left"/>
          <w:tab w:leader="none" w:pos="1580" w:val="left"/>
        </w:tabs>
        <w:rPr>
          <w:sz w:val="20"/>
          <w:szCs w:val="20"/>
          <w:color w:val="auto"/>
        </w:rPr>
      </w:pPr>
      <w:r>
        <w:rPr>
          <w:rFonts w:ascii="Arial" w:cs="Arial" w:eastAsia="Arial" w:hAnsi="Arial"/>
          <w:sz w:val="18"/>
          <w:szCs w:val="18"/>
          <w:color w:val="auto"/>
        </w:rPr>
        <w:t>80,875</w:t>
        <w:tab/>
        <w:t>$</w:t>
      </w:r>
      <w:r>
        <w:rPr>
          <w:sz w:val="20"/>
          <w:szCs w:val="20"/>
          <w:color w:val="auto"/>
        </w:rPr>
        <w:tab/>
      </w:r>
      <w:r>
        <w:rPr>
          <w:rFonts w:ascii="Arial" w:cs="Arial" w:eastAsia="Arial" w:hAnsi="Arial"/>
          <w:sz w:val="15"/>
          <w:szCs w:val="15"/>
          <w:color w:val="auto"/>
        </w:rPr>
        <w:t>81,420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48895</wp:posOffset>
            </wp:positionV>
            <wp:extent cx="1954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80" w:hanging="996"/>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1,062</w:t>
      </w:r>
    </w:p>
    <w:p>
      <w:pPr>
        <w:spacing w:after="0" w:line="49"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2,125</w:t>
      </w:r>
    </w:p>
    <w:p>
      <w:pPr>
        <w:spacing w:after="0" w:line="49"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4,250</w:t>
      </w:r>
    </w:p>
    <w:p>
      <w:pPr>
        <w:spacing w:after="0" w:line="49"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6,375</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70,125</w:t>
      </w:r>
    </w:p>
    <w:p>
      <w:pPr>
        <w:spacing w:after="0" w:line="75" w:lineRule="exact"/>
        <w:rPr>
          <w:sz w:val="20"/>
          <w:szCs w:val="20"/>
          <w:color w:val="auto"/>
        </w:rPr>
      </w:pPr>
    </w:p>
    <w:p>
      <w:pPr>
        <w:ind w:left="1600" w:hanging="916"/>
        <w:spacing w:after="0"/>
        <w:tabs>
          <w:tab w:leader="none" w:pos="1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83,937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39370</wp:posOffset>
            </wp:positionV>
            <wp:extent cx="951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64770</wp:posOffset>
            </wp:positionV>
            <wp:extent cx="951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460" w:space="620"/>
            <w:col w:w="2160"/>
          </w:cols>
          <w:pgMar w:left="320" w:top="517" w:right="339" w:bottom="1440" w:gutter="0" w:footer="0" w:header="0"/>
          <w:type w:val="continuous"/>
        </w:sectPr>
      </w:pP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June 30, 2023 and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operating leases are primarily for real estate, including medical office suites and corporate offices. For the three months ended June 30, 2023 and 2022, the Company incurred rent expense of $1.4 million and $1.0 million, respectively, for its medical office suites. For the six months ended June 30, 2023 and 2022, the Company incurred rent expense of $2.9 million and $2.0 million, respectively, related to its medical office suites. The Company’s rent expense related to its medical office suites is classified in cost of services within the Company’s condensed consolidated statements of operations. The Company incurred rent expense of $91,000 and $119,000 for the three months ended June 30, 2023 and 2022, respectively, and $182,000 and $164,000 for the six months ended June 30, 2023 and 2022, respectively, related to the corporate offices which is classified in selling, general and administrative expenses. The Company currently does not have any finance leases.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for the six months ended June 30, 2023 and 2022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99"/>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8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8,991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6,138</w:t>
            </w: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2,696</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6,413</w:t>
            </w:r>
          </w:p>
        </w:tc>
      </w:tr>
      <w:tr>
        <w:trPr>
          <w:trHeight w:val="26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5,441</w:t>
            </w: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r>
      <w:tr>
        <w:trPr>
          <w:trHeight w:val="250"/>
        </w:trPr>
        <w:tc>
          <w:tcPr>
            <w:tcW w:w="974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39,106</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w:t>
            </w:r>
          </w:p>
        </w:tc>
      </w:tr>
      <w:tr>
        <w:trPr>
          <w:trHeight w:val="257"/>
        </w:trPr>
        <w:tc>
          <w:tcPr>
            <w:tcW w:w="9740" w:type="dxa"/>
            <w:vAlign w:val="bottom"/>
          </w:tcPr>
          <w:p>
            <w:pPr>
              <w:ind w:left="140"/>
              <w:spacing w:after="0"/>
              <w:rPr>
                <w:sz w:val="20"/>
                <w:szCs w:val="20"/>
                <w:color w:val="auto"/>
              </w:rPr>
            </w:pPr>
            <w:r>
              <w:rPr>
                <w:rFonts w:ascii="Arial" w:cs="Arial" w:eastAsia="Arial" w:hAnsi="Arial"/>
                <w:sz w:val="18"/>
                <w:szCs w:val="18"/>
                <w:color w:val="auto"/>
              </w:rPr>
              <w:t>Total lease obligations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29,423</w:t>
            </w:r>
          </w:p>
        </w:tc>
      </w:tr>
      <w:tr>
        <w:trPr>
          <w:trHeight w:val="21"/>
        </w:trPr>
        <w:tc>
          <w:tcPr>
            <w:tcW w:w="9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2023, the Company granted 158,306 and 767,261 restricted stock units ("RSUs"), respectively, to executive officers and employees under the 2021 Equity Incentive Plan. During the three and six months ended June 30, 2022, the Company granted 107,937 RSUs.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 grant. The fair values of these RSUs were determined based on the closing price of the Company’s common stock on the trading date immediately prior to the grant date.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and six months ended June 30, 2023, the Company also granted 89,258 and 674,846 performance based stock units ("PSUs"), respectively, which have market-based vesting conditions. In the three and six months ended June 30, 2022, the Company granted 103,936 PSUs,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equity-based compensation expense of $4.6 million and $7.3 million for the three months ended June 30, 2023 and 2022, respectively, and $9.0 million and $14.6 million for the six months ended June 30, 2023 and 2022, respectively, in selling, general and administrative expenses on the condensed consolidated statements of operations. Forfeitures are recognized as incurred.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paid dividends of approximately $— and $0.2 million for the three and six months ended June 30, 2023, respectively. The Company paid distributions to the Parent of approximately $0.3 million and $0.6 million for the three and six months ended June 30, 2022,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earnings per share of common stock is computed by dividing net income/(loss) attributable to AirSculpt Technologies, Inc. by the weighted-average number of shares of common stock outstanding during the same period. Diluted earnings per share of common stock is computed by dividing net income/loss attributable to AirSculpt Technologies, Inc. by the weighted-average number of shares of common stock adjusted to give effect to potentially dilutive securities. Where the inclusion of potentially dilutive shares would be antidilutive, diluted loss per share equals basic loss per share.</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income/(loss) per share of common stock is as follows (in 000’s except for shares and per share figures):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280" w:type="dxa"/>
            <w:vAlign w:val="bottom"/>
            <w:tcBorders>
              <w:top w:val="single" w:sz="8" w:color="0000FF"/>
            </w:tcBorders>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56,753,498</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55,640,154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56,599,291</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55,640,154</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1,758,268</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1,496,445</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9"/>
              </w:rPr>
              <w:t>Weighted average shares of common stock outstanding - 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58,511,766</w:t>
            </w: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58,360,685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58,095,736</w:t>
            </w: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55,640,154</w:t>
            </w:r>
          </w:p>
        </w:tc>
        <w:tc>
          <w:tcPr>
            <w:tcW w:w="0" w:type="dxa"/>
            <w:vAlign w:val="bottom"/>
          </w:tcPr>
          <w:p>
            <w:pPr>
              <w:spacing w:after="0"/>
              <w:rPr>
                <w:sz w:val="1"/>
                <w:szCs w:val="1"/>
                <w:color w:val="auto"/>
              </w:rPr>
            </w:pPr>
          </w:p>
        </w:tc>
      </w:tr>
      <w:tr>
        <w:trPr>
          <w:trHeight w:val="168"/>
        </w:trPr>
        <w:tc>
          <w:tcPr>
            <w:tcW w:w="51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w w:val="97"/>
              </w:rPr>
              <w:t>Income/(loss) per share of common stock outstanding - basic and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w:t>
            </w: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-1182370</wp:posOffset>
            </wp:positionV>
            <wp:extent cx="3257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5200" w:type="dxa"/>
            <w:vAlign w:val="bottom"/>
          </w:tcPr>
          <w:p>
            <w:pPr>
              <w:spacing w:after="0"/>
              <w:rPr>
                <w:sz w:val="19"/>
                <w:szCs w:val="19"/>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9"/>
                <w:szCs w:val="19"/>
                <w:color w:val="auto"/>
              </w:rPr>
            </w:pPr>
          </w:p>
        </w:tc>
      </w:tr>
      <w:tr>
        <w:trPr>
          <w:trHeight w:val="241"/>
        </w:trPr>
        <w:tc>
          <w:tcPr>
            <w:tcW w:w="5200" w:type="dxa"/>
            <w:vAlign w:val="bottom"/>
          </w:tcPr>
          <w:p>
            <w:pPr>
              <w:spacing w:after="0"/>
              <w:rPr>
                <w:sz w:val="20"/>
                <w:szCs w:val="20"/>
                <w:color w:val="auto"/>
              </w:rPr>
            </w:pPr>
          </w:p>
        </w:tc>
        <w:tc>
          <w:tcPr>
            <w:tcW w:w="1920" w:type="dxa"/>
            <w:vAlign w:val="bottom"/>
          </w:tcPr>
          <w:p>
            <w:pPr>
              <w:jc w:val="right"/>
              <w:ind w:right="910"/>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204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9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738,437</w:t>
            </w:r>
          </w:p>
        </w:tc>
        <w:tc>
          <w:tcPr>
            <w:tcW w:w="6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791,716</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2,395,967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market-based stock units</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1,971,274</w:t>
            </w:r>
          </w:p>
        </w:tc>
        <w:tc>
          <w:tcPr>
            <w:tcW w:w="64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430"/>
              <w:spacing w:after="0"/>
              <w:rPr>
                <w:sz w:val="20"/>
                <w:szCs w:val="20"/>
                <w:color w:val="auto"/>
              </w:rPr>
            </w:pPr>
            <w:r>
              <w:rPr>
                <w:rFonts w:ascii="Arial" w:cs="Arial" w:eastAsia="Arial" w:hAnsi="Arial"/>
                <w:sz w:val="18"/>
                <w:szCs w:val="18"/>
                <w:color w:val="auto"/>
              </w:rPr>
              <w:t>2,033,737</w:t>
            </w:r>
          </w:p>
        </w:tc>
        <w:tc>
          <w:tcPr>
            <w:tcW w:w="1040" w:type="dxa"/>
            <w:vAlign w:val="bottom"/>
          </w:tcPr>
          <w:p>
            <w:pPr>
              <w:jc w:val="right"/>
              <w:spacing w:after="0"/>
              <w:rPr>
                <w:sz w:val="20"/>
                <w:szCs w:val="20"/>
                <w:color w:val="auto"/>
              </w:rPr>
            </w:pPr>
            <w:r>
              <w:rPr>
                <w:rFonts w:ascii="Arial" w:cs="Arial" w:eastAsia="Arial" w:hAnsi="Arial"/>
                <w:sz w:val="18"/>
                <w:szCs w:val="18"/>
                <w:color w:val="auto"/>
              </w:rPr>
              <w:t>2,444,464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300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income tax expense for the three months ended June 30, 2023 and 2022 was $1.7 million and $1.8 million, respectively, and the income tax expense/(benefit) for the six months ended June 30, 2023 and 2022 was $1.7 million and $(0.1) million, respectively. The effective tax rate for the three months ended June 30, 2023 and 2022 was 48.8% and 75.7%, respectively. The effective tax rate for the six months ended June 30, 2023 and 2022 was 49.6% and 57.5%, respectively. The main driver of the difference between the effective and statutory rate is non-deductible executive compensation under Section 162(m) of the Internal Revenue Code. There are no uncertain tax positions as of June 30, 2023 or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income/loss excluding depreciation and amortization, net interest expense, income tax expense/(benefit), restructuring and related severance costs, IPO related costs, (gain)/loss on disposal of long-lived assets, and equity-based compensation.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10, 2023 filed with the Securities and Exchange Commission (“SEC”) pursuant to Section 13 or 15(d) of the Securities Exchange Act of 1934.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Quarterly Report on Form 10-Q to the “Company,” “Elite Body Sculpture,” “we,” “us” and “our” refer to AirSculpt Technologies, Inc. and its consolidated subsidiaries and the Professional Associations.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AirSculpt is an experienced, fast-growing national provider of body contouring procedures delivering a premium consumer experience under its brand, Elite Body Sculpture. At Elite Body Sculpture, we provide custom body contouring using our proprietary AirSculpt® method that removes unwanted fat in a minimally invasive procedure, producing dramatic results. We opened a new center in Orange County, CA in March 2023, in Austin, TX in May 2023, in London, UK in June 2023 and in San Jose, CA in July 2023. We deliver our AirSculpt® procedures through a growing nationwide footprint of 26 centers across 18 states, Canada and the United Kingdom as of August 11, 2023.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June 30, 2023, we performed 4,186 and 7,826 cases, respectively, compared to 3,691 and 6,847 for the three and six months ended June 30, 2022, respectively. For the three and six months ended June 30, 2023, we generated approximately $55.7 million and $101.5 million of revenue, respectively, compared to $49.7 million and $89.2 million for the three and six months ended June 30, 2022, respectively. This represents approximately 12% growth in revenue for the three months ended June 30, 2023 over the same period in prior year and approximately 14% growth in revenue for the six months ended June 30, 2023 over the same period in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 Performed and Revenue per Case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Case and Revenue Metrics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6"/>
        </w:trPr>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492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30"/>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16"/>
              <w:spacing w:after="0"/>
              <w:rPr>
                <w:sz w:val="20"/>
                <w:szCs w:val="20"/>
                <w:color w:val="auto"/>
              </w:rPr>
            </w:pPr>
            <w:r>
              <w:rPr>
                <w:rFonts w:ascii="Arial" w:cs="Arial" w:eastAsia="Arial" w:hAnsi="Arial"/>
                <w:sz w:val="18"/>
                <w:szCs w:val="18"/>
                <w:color w:val="auto"/>
              </w:rPr>
              <w:t>4,186</w:t>
            </w:r>
          </w:p>
        </w:tc>
        <w:tc>
          <w:tcPr>
            <w:tcW w:w="12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7,826</w:t>
            </w:r>
          </w:p>
        </w:tc>
        <w:tc>
          <w:tcPr>
            <w:tcW w:w="8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6,847</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2EDFE"/>
          </w:tcPr>
          <w:p>
            <w:pPr>
              <w:jc w:val="right"/>
              <w:ind w:right="116"/>
              <w:spacing w:after="0"/>
              <w:rPr>
                <w:sz w:val="20"/>
                <w:szCs w:val="20"/>
                <w:color w:val="auto"/>
              </w:rPr>
            </w:pPr>
            <w:r>
              <w:rPr>
                <w:rFonts w:ascii="Arial" w:cs="Arial" w:eastAsia="Arial" w:hAnsi="Arial"/>
                <w:sz w:val="18"/>
                <w:szCs w:val="18"/>
                <w:color w:val="auto"/>
              </w:rPr>
              <w:t>13,307</w:t>
            </w:r>
          </w:p>
        </w:tc>
        <w:tc>
          <w:tcPr>
            <w:tcW w:w="660" w:type="dxa"/>
            <w:vAlign w:val="bottom"/>
            <w:gridSpan w:val="2"/>
            <w:shd w:val="clear" w:color="auto" w:fill="D2EDFE"/>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13,453</w:t>
            </w:r>
          </w:p>
        </w:tc>
        <w:tc>
          <w:tcPr>
            <w:tcW w:w="500" w:type="dxa"/>
            <w:vAlign w:val="bottom"/>
            <w:gridSpan w:val="2"/>
            <w:shd w:val="clear" w:color="auto" w:fill="D2EDFE"/>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12,972</w:t>
            </w:r>
          </w:p>
        </w:tc>
        <w:tc>
          <w:tcPr>
            <w:tcW w:w="600" w:type="dxa"/>
            <w:vAlign w:val="bottom"/>
            <w:gridSpan w:val="2"/>
            <w:shd w:val="clear" w:color="auto" w:fill="D2EDFE"/>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13,027</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92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 Case and Revenue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Same-Center Information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the three months ended June 30, 2023 and 2022, we define same-center case and revenue growth as the growth in each of our cases and revenue at facilities that have been owned and operated since April 1, 2022. We define same-center facilities and procedure rooms based on if a facility has been owned or operated since April 1, 2022.</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2023 and 2022, we define same-center case and revenue growth as the growth in each of our cases and revenue at facilities that have been owned and operated since January 1, 2022. We define same-center facilities and procedure rooms as facilities and procedure rooms that have been owned or operated since January 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Six Months Ended</w:t>
            </w:r>
          </w:p>
        </w:tc>
        <w:tc>
          <w:tcPr>
            <w:tcW w:w="940" w:type="dxa"/>
            <w:vAlign w:val="bottom"/>
          </w:tcPr>
          <w:p>
            <w:pPr>
              <w:spacing w:after="0"/>
              <w:rPr>
                <w:sz w:val="14"/>
                <w:szCs w:val="14"/>
                <w:color w:val="auto"/>
              </w:rPr>
            </w:pPr>
          </w:p>
        </w:tc>
      </w:tr>
      <w:tr>
        <w:trPr>
          <w:trHeight w:val="196"/>
        </w:trPr>
        <w:tc>
          <w:tcPr>
            <w:tcW w:w="48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4860" w:type="dxa"/>
            <w:vAlign w:val="bottom"/>
            <w:tcBorders>
              <w:bottom w:val="single" w:sz="8" w:color="D2EDF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2EDFE"/>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30"/>
        </w:trPr>
        <w:tc>
          <w:tcPr>
            <w:tcW w:w="486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40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16"/>
              <w:spacing w:after="0"/>
              <w:rPr>
                <w:sz w:val="20"/>
                <w:szCs w:val="20"/>
                <w:color w:val="auto"/>
              </w:rPr>
            </w:pPr>
            <w:r>
              <w:rPr>
                <w:rFonts w:ascii="Arial" w:cs="Arial" w:eastAsia="Arial" w:hAnsi="Arial"/>
                <w:sz w:val="18"/>
                <w:szCs w:val="18"/>
                <w:color w:val="auto"/>
              </w:rPr>
              <w:t>6,638</w:t>
            </w:r>
          </w:p>
        </w:tc>
        <w:tc>
          <w:tcPr>
            <w:tcW w:w="12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6,724</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486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40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13,249</w:t>
            </w:r>
          </w:p>
        </w:tc>
        <w:tc>
          <w:tcPr>
            <w:tcW w:w="660" w:type="dxa"/>
            <w:vAlign w:val="bottom"/>
            <w:gridSpan w:val="2"/>
            <w:shd w:val="clear" w:color="auto" w:fill="D2EDFE"/>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13,452</w:t>
            </w:r>
          </w:p>
        </w:tc>
        <w:tc>
          <w:tcPr>
            <w:tcW w:w="480" w:type="dxa"/>
            <w:vAlign w:val="bottom"/>
            <w:gridSpan w:val="2"/>
            <w:shd w:val="clear" w:color="auto" w:fill="D2EDFE"/>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2EDFE"/>
          </w:tcPr>
          <w:p>
            <w:pPr>
              <w:jc w:val="right"/>
              <w:ind w:right="116"/>
              <w:spacing w:after="0"/>
              <w:rPr>
                <w:sz w:val="20"/>
                <w:szCs w:val="20"/>
                <w:color w:val="auto"/>
              </w:rPr>
            </w:pPr>
            <w:r>
              <w:rPr>
                <w:rFonts w:ascii="Arial" w:cs="Arial" w:eastAsia="Arial" w:hAnsi="Arial"/>
                <w:sz w:val="18"/>
                <w:szCs w:val="18"/>
                <w:color w:val="auto"/>
              </w:rPr>
              <w:t>13,005</w:t>
            </w:r>
          </w:p>
        </w:tc>
        <w:tc>
          <w:tcPr>
            <w:tcW w:w="620" w:type="dxa"/>
            <w:vAlign w:val="bottom"/>
            <w:gridSpan w:val="2"/>
            <w:shd w:val="clear" w:color="auto" w:fill="D2EDFE"/>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12,994</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6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40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Measures—Adjusted EBITDA, Adjusted EBITDA Margin, Adjusted Net Income, and Adjusted Net Income per Share</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Adjusted EBITDA as net income/(loss) excluding depreciation and amortization, net interest expense, income tax expense/(benefit), restructuring and related severance costs, IPO related costs, (gain)/loss on disposal of long-lived assets, and equity-based compensation.</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Adjusted Net Income as net income/(loss) excluding, restructuring and related severance costs, IPO related costs, (gain)/loss on disposal of long-lived assets, equity-based compensation and the tax effect of these adjustments.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including that Adjusted Net Income does not include results from equity-based compensation.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Adjusted EBITDA and Adjusted EBITDA Margin to net income/(loss), the most directly comparable GAAP financial measure: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96"/>
        </w:trPr>
        <w:tc>
          <w:tcPr>
            <w:tcW w:w="4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7"/>
        </w:trPr>
        <w:tc>
          <w:tcPr>
            <w:tcW w:w="468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29"/>
        </w:trPr>
        <w:tc>
          <w:tcPr>
            <w:tcW w:w="468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income/(loss)</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DFE"/>
          </w:tcPr>
          <w:p>
            <w:pPr>
              <w:jc w:val="right"/>
              <w:ind w:right="112"/>
              <w:spacing w:after="0"/>
              <w:rPr>
                <w:sz w:val="20"/>
                <w:szCs w:val="20"/>
                <w:color w:val="auto"/>
              </w:rPr>
            </w:pPr>
            <w:r>
              <w:rPr>
                <w:rFonts w:ascii="Arial" w:cs="Arial" w:eastAsia="Arial" w:hAnsi="Arial"/>
                <w:sz w:val="18"/>
                <w:szCs w:val="18"/>
                <w:color w:val="auto"/>
              </w:rPr>
              <w:t>(110)</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46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D2EDFE"/>
          </w:tcPr>
          <w:p>
            <w:pPr>
              <w:spacing w:after="0"/>
              <w:rPr>
                <w:sz w:val="21"/>
                <w:szCs w:val="21"/>
                <w:color w:val="auto"/>
              </w:rPr>
            </w:pPr>
          </w:p>
        </w:tc>
        <w:tc>
          <w:tcPr>
            <w:tcW w:w="118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D2EDFE"/>
          </w:tcPr>
          <w:p>
            <w:pPr>
              <w:spacing w:after="0"/>
              <w:rPr>
                <w:sz w:val="21"/>
                <w:szCs w:val="21"/>
                <w:color w:val="auto"/>
              </w:rPr>
            </w:pPr>
          </w:p>
        </w:tc>
        <w:tc>
          <w:tcPr>
            <w:tcW w:w="620" w:type="dxa"/>
            <w:vAlign w:val="bottom"/>
            <w:shd w:val="clear" w:color="auto" w:fill="D2EDFE"/>
          </w:tcPr>
          <w:p>
            <w:pPr>
              <w:spacing w:after="0"/>
              <w:rPr>
                <w:sz w:val="21"/>
                <w:szCs w:val="21"/>
                <w:color w:val="auto"/>
              </w:rPr>
            </w:pPr>
          </w:p>
        </w:tc>
        <w:tc>
          <w:tcPr>
            <w:tcW w:w="94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D2EDFE"/>
          </w:tcPr>
          <w:p>
            <w:pPr>
              <w:spacing w:after="0"/>
              <w:rPr>
                <w:sz w:val="21"/>
                <w:szCs w:val="21"/>
                <w:color w:val="auto"/>
              </w:rPr>
            </w:pPr>
          </w:p>
        </w:tc>
        <w:tc>
          <w:tcPr>
            <w:tcW w:w="360" w:type="dxa"/>
            <w:vAlign w:val="bottom"/>
            <w:shd w:val="clear" w:color="auto" w:fill="D2EDFE"/>
          </w:tcPr>
          <w:p>
            <w:pPr>
              <w:spacing w:after="0"/>
              <w:rPr>
                <w:sz w:val="21"/>
                <w:szCs w:val="21"/>
                <w:color w:val="auto"/>
              </w:rPr>
            </w:pPr>
          </w:p>
        </w:tc>
        <w:tc>
          <w:tcPr>
            <w:tcW w:w="120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8,991</w:t>
            </w:r>
          </w:p>
        </w:tc>
        <w:tc>
          <w:tcPr>
            <w:tcW w:w="100" w:type="dxa"/>
            <w:vAlign w:val="bottom"/>
            <w:shd w:val="clear" w:color="auto" w:fill="D2EDFE"/>
          </w:tcPr>
          <w:p>
            <w:pPr>
              <w:spacing w:after="0"/>
              <w:rPr>
                <w:sz w:val="21"/>
                <w:szCs w:val="21"/>
                <w:color w:val="auto"/>
              </w:rPr>
            </w:pPr>
          </w:p>
        </w:tc>
        <w:tc>
          <w:tcPr>
            <w:tcW w:w="580" w:type="dxa"/>
            <w:vAlign w:val="bottom"/>
            <w:shd w:val="clear" w:color="auto" w:fill="D2EDFE"/>
          </w:tcPr>
          <w:p>
            <w:pPr>
              <w:spacing w:after="0"/>
              <w:rPr>
                <w:sz w:val="21"/>
                <w:szCs w:val="21"/>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14,591</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8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731</w:t>
            </w:r>
          </w:p>
        </w:tc>
      </w:tr>
      <w:tr>
        <w:trPr>
          <w:trHeight w:val="230"/>
        </w:trPr>
        <w:tc>
          <w:tcPr>
            <w:tcW w:w="46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730</w:t>
            </w:r>
          </w:p>
        </w:tc>
      </w:tr>
      <w:tr>
        <w:trPr>
          <w:trHeight w:val="237"/>
        </w:trPr>
        <w:tc>
          <w:tcPr>
            <w:tcW w:w="4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0"/>
                <w:szCs w:val="20"/>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3,848</w:t>
            </w:r>
          </w:p>
        </w:tc>
      </w:tr>
      <w:tr>
        <w:trPr>
          <w:trHeight w:val="236"/>
        </w:trPr>
        <w:tc>
          <w:tcPr>
            <w:tcW w:w="46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(Gain)/loss on disposal of long-lived assets</w:t>
            </w:r>
          </w:p>
        </w:tc>
        <w:tc>
          <w:tcPr>
            <w:tcW w:w="380" w:type="dxa"/>
            <w:vAlign w:val="bottom"/>
            <w:shd w:val="clear" w:color="auto" w:fill="D2EDFE"/>
          </w:tcPr>
          <w:p>
            <w:pPr>
              <w:spacing w:after="0"/>
              <w:rPr>
                <w:sz w:val="20"/>
                <w:szCs w:val="20"/>
                <w:color w:val="auto"/>
              </w:rPr>
            </w:pPr>
          </w:p>
        </w:tc>
        <w:tc>
          <w:tcPr>
            <w:tcW w:w="1180" w:type="dxa"/>
            <w:vAlign w:val="bottom"/>
            <w:shd w:val="clear" w:color="auto" w:fill="D2EDFE"/>
          </w:tcPr>
          <w:p>
            <w:pPr>
              <w:jc w:val="right"/>
              <w:ind w:right="11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2EDFE"/>
          </w:tcPr>
          <w:p>
            <w:pPr>
              <w:spacing w:after="0"/>
              <w:rPr>
                <w:sz w:val="20"/>
                <w:szCs w:val="20"/>
                <w:color w:val="auto"/>
              </w:rPr>
            </w:pPr>
          </w:p>
        </w:tc>
        <w:tc>
          <w:tcPr>
            <w:tcW w:w="620" w:type="dxa"/>
            <w:vAlign w:val="bottom"/>
            <w:shd w:val="clear" w:color="auto" w:fill="D2EDFE"/>
          </w:tcPr>
          <w:p>
            <w:pPr>
              <w:spacing w:after="0"/>
              <w:rPr>
                <w:sz w:val="20"/>
                <w:szCs w:val="20"/>
                <w:color w:val="auto"/>
              </w:rPr>
            </w:pPr>
          </w:p>
        </w:tc>
        <w:tc>
          <w:tcPr>
            <w:tcW w:w="94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D2EDFE"/>
          </w:tcPr>
          <w:p>
            <w:pPr>
              <w:spacing w:after="0"/>
              <w:rPr>
                <w:sz w:val="20"/>
                <w:szCs w:val="20"/>
                <w:color w:val="auto"/>
              </w:rPr>
            </w:pPr>
          </w:p>
        </w:tc>
        <w:tc>
          <w:tcPr>
            <w:tcW w:w="360" w:type="dxa"/>
            <w:vAlign w:val="bottom"/>
            <w:shd w:val="clear" w:color="auto" w:fill="D2EDFE"/>
          </w:tcPr>
          <w:p>
            <w:pPr>
              <w:spacing w:after="0"/>
              <w:rPr>
                <w:sz w:val="20"/>
                <w:szCs w:val="20"/>
                <w:color w:val="auto"/>
              </w:rPr>
            </w:pPr>
          </w:p>
        </w:tc>
        <w:tc>
          <w:tcPr>
            <w:tcW w:w="1200" w:type="dxa"/>
            <w:vAlign w:val="bottom"/>
            <w:shd w:val="clear" w:color="auto" w:fill="D2EDFE"/>
          </w:tcPr>
          <w:p>
            <w:pPr>
              <w:jc w:val="right"/>
              <w:ind w:right="114"/>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D2EDFE"/>
          </w:tcPr>
          <w:p>
            <w:pPr>
              <w:spacing w:after="0"/>
              <w:rPr>
                <w:sz w:val="20"/>
                <w:szCs w:val="20"/>
                <w:color w:val="auto"/>
              </w:rPr>
            </w:pPr>
          </w:p>
        </w:tc>
        <w:tc>
          <w:tcPr>
            <w:tcW w:w="580" w:type="dxa"/>
            <w:vAlign w:val="bottom"/>
            <w:shd w:val="clear" w:color="auto" w:fill="D2EDFE"/>
          </w:tcPr>
          <w:p>
            <w:pPr>
              <w:spacing w:after="0"/>
              <w:rPr>
                <w:sz w:val="20"/>
                <w:szCs w:val="20"/>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227</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3,051</w:t>
            </w:r>
          </w:p>
        </w:tc>
      </w:tr>
      <w:tr>
        <w:trPr>
          <w:trHeight w:val="243"/>
        </w:trPr>
        <w:tc>
          <w:tcPr>
            <w:tcW w:w="46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Income tax expense/(benefit)</w:t>
            </w:r>
          </w:p>
        </w:tc>
        <w:tc>
          <w:tcPr>
            <w:tcW w:w="380" w:type="dxa"/>
            <w:vAlign w:val="bottom"/>
            <w:tcBorders>
              <w:bottom w:val="single" w:sz="8" w:color="auto"/>
            </w:tcBorders>
            <w:shd w:val="clear" w:color="auto" w:fill="D2EDFE"/>
          </w:tcPr>
          <w:p>
            <w:pPr>
              <w:spacing w:after="0"/>
              <w:rPr>
                <w:sz w:val="21"/>
                <w:szCs w:val="21"/>
                <w:color w:val="auto"/>
              </w:rPr>
            </w:pPr>
          </w:p>
        </w:tc>
        <w:tc>
          <w:tcPr>
            <w:tcW w:w="1180" w:type="dxa"/>
            <w:vAlign w:val="bottom"/>
            <w:tcBorders>
              <w:bottom w:val="single" w:sz="8" w:color="auto"/>
            </w:tcBorders>
            <w:shd w:val="clear" w:color="auto" w:fill="D2EDFE"/>
          </w:tcPr>
          <w:p>
            <w:pPr>
              <w:jc w:val="right"/>
              <w:ind w:right="154"/>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D2EDFE"/>
          </w:tcPr>
          <w:p>
            <w:pPr>
              <w:spacing w:after="0"/>
              <w:rPr>
                <w:sz w:val="21"/>
                <w:szCs w:val="21"/>
                <w:color w:val="auto"/>
              </w:rPr>
            </w:pPr>
          </w:p>
        </w:tc>
        <w:tc>
          <w:tcPr>
            <w:tcW w:w="620" w:type="dxa"/>
            <w:vAlign w:val="bottom"/>
            <w:tcBorders>
              <w:bottom w:val="single" w:sz="8" w:color="auto"/>
            </w:tcBorders>
            <w:shd w:val="clear" w:color="auto" w:fill="D2EDFE"/>
          </w:tcPr>
          <w:p>
            <w:pPr>
              <w:spacing w:after="0"/>
              <w:rPr>
                <w:sz w:val="21"/>
                <w:szCs w:val="21"/>
                <w:color w:val="auto"/>
              </w:rPr>
            </w:pPr>
          </w:p>
        </w:tc>
        <w:tc>
          <w:tcPr>
            <w:tcW w:w="940" w:type="dxa"/>
            <w:vAlign w:val="bottom"/>
            <w:tcBorders>
              <w:bottom w:val="single" w:sz="8" w:color="auto"/>
            </w:tcBorders>
            <w:shd w:val="clear" w:color="auto" w:fill="D2EDFE"/>
          </w:tcPr>
          <w:p>
            <w:pPr>
              <w:jc w:val="right"/>
              <w:ind w:right="152"/>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D2EDFE"/>
          </w:tcPr>
          <w:p>
            <w:pPr>
              <w:spacing w:after="0"/>
              <w:rPr>
                <w:sz w:val="21"/>
                <w:szCs w:val="21"/>
                <w:color w:val="auto"/>
              </w:rPr>
            </w:pPr>
          </w:p>
        </w:tc>
        <w:tc>
          <w:tcPr>
            <w:tcW w:w="360" w:type="dxa"/>
            <w:vAlign w:val="bottom"/>
            <w:tcBorders>
              <w:bottom w:val="single" w:sz="8" w:color="auto"/>
            </w:tcBorders>
            <w:shd w:val="clear" w:color="auto" w:fill="D2EDFE"/>
          </w:tcPr>
          <w:p>
            <w:pPr>
              <w:spacing w:after="0"/>
              <w:rPr>
                <w:sz w:val="21"/>
                <w:szCs w:val="21"/>
                <w:color w:val="auto"/>
              </w:rPr>
            </w:pPr>
          </w:p>
        </w:tc>
        <w:tc>
          <w:tcPr>
            <w:tcW w:w="1200" w:type="dxa"/>
            <w:vAlign w:val="bottom"/>
            <w:tcBorders>
              <w:bottom w:val="single" w:sz="8" w:color="auto"/>
            </w:tcBorders>
            <w:shd w:val="clear" w:color="auto" w:fill="D2EDFE"/>
          </w:tcPr>
          <w:p>
            <w:pPr>
              <w:jc w:val="right"/>
              <w:ind w:right="154"/>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D2EDFE"/>
          </w:tcPr>
          <w:p>
            <w:pPr>
              <w:spacing w:after="0"/>
              <w:rPr>
                <w:sz w:val="21"/>
                <w:szCs w:val="21"/>
                <w:color w:val="auto"/>
              </w:rPr>
            </w:pPr>
          </w:p>
        </w:tc>
        <w:tc>
          <w:tcPr>
            <w:tcW w:w="580" w:type="dxa"/>
            <w:vAlign w:val="bottom"/>
            <w:tcBorders>
              <w:bottom w:val="single" w:sz="8" w:color="auto"/>
            </w:tcBorders>
            <w:shd w:val="clear" w:color="auto" w:fill="D2EDFE"/>
          </w:tcPr>
          <w:p>
            <w:pPr>
              <w:spacing w:after="0"/>
              <w:rPr>
                <w:sz w:val="21"/>
                <w:szCs w:val="21"/>
                <w:color w:val="auto"/>
              </w:rPr>
            </w:pPr>
          </w:p>
        </w:tc>
        <w:tc>
          <w:tcPr>
            <w:tcW w:w="980" w:type="dxa"/>
            <w:vAlign w:val="bottom"/>
            <w:tcBorders>
              <w:bottom w:val="single" w:sz="8" w:color="auto"/>
            </w:tcBorders>
            <w:shd w:val="clear" w:color="auto" w:fill="D2EDFE"/>
          </w:tcPr>
          <w:p>
            <w:pPr>
              <w:jc w:val="right"/>
              <w:ind w:right="112"/>
              <w:spacing w:after="0"/>
              <w:rPr>
                <w:sz w:val="20"/>
                <w:szCs w:val="20"/>
                <w:color w:val="auto"/>
              </w:rPr>
            </w:pPr>
            <w:r>
              <w:rPr>
                <w:rFonts w:ascii="Arial" w:cs="Arial" w:eastAsia="Arial" w:hAnsi="Arial"/>
                <w:sz w:val="18"/>
                <w:szCs w:val="18"/>
                <w:color w:val="auto"/>
              </w:rPr>
              <w:t>(149)</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14,612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13,977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24,068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22,919</w:t>
            </w:r>
          </w:p>
        </w:tc>
      </w:tr>
      <w:tr>
        <w:trPr>
          <w:trHeight w:val="223"/>
        </w:trPr>
        <w:tc>
          <w:tcPr>
            <w:tcW w:w="468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26.2 %</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28.1 %</w:t>
            </w:r>
          </w:p>
        </w:tc>
        <w:tc>
          <w:tcPr>
            <w:tcW w:w="12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23.7 %</w:t>
            </w: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Arial" w:cs="Arial" w:eastAsia="Arial" w:hAnsi="Arial"/>
                <w:sz w:val="18"/>
                <w:szCs w:val="18"/>
                <w:b w:val="1"/>
                <w:bCs w:val="1"/>
                <w:color w:val="auto"/>
              </w:rPr>
              <w:t>25.7 %</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June 30, 2023 and 2022, pre-opening de novo and relocation costs were $1.4 million and $1.2 million, respectively. For the six months ended June 30, 2023 and 2022, pre-opening de novo and relocation costs were $2.7 million and $2.1 million, respectively.</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Adjusted Net Income and Adjusted Net Income per Share to net income/(loss), the most directly comparable GAAP financial measure: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498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D2EDFE"/>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98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income/(loss)</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D2EDFE"/>
          </w:tcPr>
          <w:p>
            <w:pPr>
              <w:spacing w:after="0"/>
              <w:rPr>
                <w:sz w:val="19"/>
                <w:szCs w:val="19"/>
                <w:color w:val="auto"/>
              </w:rPr>
            </w:pPr>
          </w:p>
        </w:tc>
        <w:tc>
          <w:tcPr>
            <w:tcW w:w="420" w:type="dxa"/>
            <w:vAlign w:val="bottom"/>
            <w:shd w:val="clear" w:color="auto" w:fill="D2EDFE"/>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6"/>
        </w:trPr>
        <w:tc>
          <w:tcPr>
            <w:tcW w:w="49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Equity-based compensation</w:t>
            </w:r>
          </w:p>
        </w:tc>
        <w:tc>
          <w:tcPr>
            <w:tcW w:w="360" w:type="dxa"/>
            <w:vAlign w:val="bottom"/>
            <w:shd w:val="clear" w:color="auto" w:fill="D2EDFE"/>
          </w:tcPr>
          <w:p>
            <w:pPr>
              <w:spacing w:after="0"/>
              <w:rPr>
                <w:sz w:val="20"/>
                <w:szCs w:val="20"/>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4,603</w:t>
            </w:r>
          </w:p>
        </w:tc>
        <w:tc>
          <w:tcPr>
            <w:tcW w:w="80" w:type="dxa"/>
            <w:vAlign w:val="bottom"/>
            <w:shd w:val="clear" w:color="auto" w:fill="D2EDFE"/>
          </w:tcPr>
          <w:p>
            <w:pPr>
              <w:spacing w:after="0"/>
              <w:rPr>
                <w:sz w:val="20"/>
                <w:szCs w:val="20"/>
                <w:color w:val="auto"/>
              </w:rPr>
            </w:pPr>
          </w:p>
        </w:tc>
        <w:tc>
          <w:tcPr>
            <w:tcW w:w="420" w:type="dxa"/>
            <w:vAlign w:val="bottom"/>
            <w:shd w:val="clear" w:color="auto" w:fill="D2EDFE"/>
          </w:tcPr>
          <w:p>
            <w:pPr>
              <w:spacing w:after="0"/>
              <w:rPr>
                <w:sz w:val="20"/>
                <w:szCs w:val="20"/>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D2EDFE"/>
          </w:tcPr>
          <w:p>
            <w:pPr>
              <w:spacing w:after="0"/>
              <w:rPr>
                <w:sz w:val="20"/>
                <w:szCs w:val="20"/>
                <w:color w:val="auto"/>
              </w:rPr>
            </w:pPr>
          </w:p>
        </w:tc>
        <w:tc>
          <w:tcPr>
            <w:tcW w:w="360" w:type="dxa"/>
            <w:vAlign w:val="bottom"/>
            <w:shd w:val="clear" w:color="auto" w:fill="D2EDFE"/>
          </w:tcPr>
          <w:p>
            <w:pPr>
              <w:spacing w:after="0"/>
              <w:rPr>
                <w:sz w:val="20"/>
                <w:szCs w:val="20"/>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D2EDFE"/>
          </w:tcPr>
          <w:p>
            <w:pPr>
              <w:spacing w:after="0"/>
              <w:rPr>
                <w:sz w:val="20"/>
                <w:szCs w:val="20"/>
                <w:color w:val="auto"/>
              </w:rPr>
            </w:pPr>
          </w:p>
        </w:tc>
        <w:tc>
          <w:tcPr>
            <w:tcW w:w="560" w:type="dxa"/>
            <w:vAlign w:val="bottom"/>
            <w:shd w:val="clear" w:color="auto" w:fill="D2EDFE"/>
          </w:tcPr>
          <w:p>
            <w:pPr>
              <w:spacing w:after="0"/>
              <w:rPr>
                <w:sz w:val="20"/>
                <w:szCs w:val="20"/>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14,591</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49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60" w:type="dxa"/>
            <w:vAlign w:val="bottom"/>
            <w:shd w:val="clear" w:color="auto" w:fill="D2EDFE"/>
          </w:tcPr>
          <w:p>
            <w:pPr>
              <w:spacing w:after="0"/>
              <w:rPr>
                <w:sz w:val="21"/>
                <w:szCs w:val="21"/>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2,151</w:t>
            </w:r>
          </w:p>
        </w:tc>
        <w:tc>
          <w:tcPr>
            <w:tcW w:w="80" w:type="dxa"/>
            <w:vAlign w:val="bottom"/>
            <w:shd w:val="clear" w:color="auto" w:fill="D2EDFE"/>
          </w:tcPr>
          <w:p>
            <w:pPr>
              <w:spacing w:after="0"/>
              <w:rPr>
                <w:sz w:val="21"/>
                <w:szCs w:val="21"/>
                <w:color w:val="auto"/>
              </w:rPr>
            </w:pPr>
          </w:p>
        </w:tc>
        <w:tc>
          <w:tcPr>
            <w:tcW w:w="420" w:type="dxa"/>
            <w:vAlign w:val="bottom"/>
            <w:shd w:val="clear" w:color="auto" w:fill="D2EDFE"/>
          </w:tcPr>
          <w:p>
            <w:pPr>
              <w:spacing w:after="0"/>
              <w:rPr>
                <w:sz w:val="21"/>
                <w:szCs w:val="21"/>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D2EDFE"/>
          </w:tcPr>
          <w:p>
            <w:pPr>
              <w:spacing w:after="0"/>
              <w:rPr>
                <w:sz w:val="21"/>
                <w:szCs w:val="21"/>
                <w:color w:val="auto"/>
              </w:rPr>
            </w:pPr>
          </w:p>
        </w:tc>
        <w:tc>
          <w:tcPr>
            <w:tcW w:w="360" w:type="dxa"/>
            <w:vAlign w:val="bottom"/>
            <w:shd w:val="clear" w:color="auto" w:fill="D2EDFE"/>
          </w:tcPr>
          <w:p>
            <w:pPr>
              <w:spacing w:after="0"/>
              <w:rPr>
                <w:sz w:val="21"/>
                <w:szCs w:val="21"/>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D2EDFE"/>
          </w:tcPr>
          <w:p>
            <w:pPr>
              <w:spacing w:after="0"/>
              <w:rPr>
                <w:sz w:val="21"/>
                <w:szCs w:val="21"/>
                <w:color w:val="auto"/>
              </w:rPr>
            </w:pPr>
          </w:p>
        </w:tc>
        <w:tc>
          <w:tcPr>
            <w:tcW w:w="560" w:type="dxa"/>
            <w:vAlign w:val="bottom"/>
            <w:shd w:val="clear" w:color="auto" w:fill="D2EDFE"/>
          </w:tcPr>
          <w:p>
            <w:pPr>
              <w:spacing w:after="0"/>
              <w:rPr>
                <w:sz w:val="21"/>
                <w:szCs w:val="21"/>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(Gain)/loss on disposal of long-lived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4980" w:type="dxa"/>
            <w:vAlign w:val="bottom"/>
            <w:tcBorders>
              <w:bottom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Tax effect of adjustments</w:t>
            </w:r>
          </w:p>
        </w:tc>
        <w:tc>
          <w:tcPr>
            <w:tcW w:w="360" w:type="dxa"/>
            <w:vAlign w:val="bottom"/>
            <w:tcBorders>
              <w:bottom w:val="single" w:sz="8" w:color="auto"/>
            </w:tcBorders>
            <w:shd w:val="clear" w:color="auto" w:fill="D2EDFE"/>
          </w:tcPr>
          <w:p>
            <w:pPr>
              <w:spacing w:after="0"/>
              <w:rPr>
                <w:sz w:val="19"/>
                <w:szCs w:val="19"/>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(869)</w:t>
            </w:r>
          </w:p>
        </w:tc>
        <w:tc>
          <w:tcPr>
            <w:tcW w:w="80" w:type="dxa"/>
            <w:vAlign w:val="bottom"/>
            <w:tcBorders>
              <w:bottom w:val="single" w:sz="8" w:color="D2EDFE"/>
            </w:tcBorders>
            <w:shd w:val="clear" w:color="auto" w:fill="D2EDFE"/>
          </w:tcPr>
          <w:p>
            <w:pPr>
              <w:spacing w:after="0"/>
              <w:rPr>
                <w:sz w:val="19"/>
                <w:szCs w:val="19"/>
                <w:color w:val="auto"/>
              </w:rPr>
            </w:pPr>
          </w:p>
        </w:tc>
        <w:tc>
          <w:tcPr>
            <w:tcW w:w="420" w:type="dxa"/>
            <w:vAlign w:val="bottom"/>
            <w:tcBorders>
              <w:bottom w:val="single" w:sz="8" w:color="auto"/>
            </w:tcBorders>
            <w:shd w:val="clear" w:color="auto" w:fill="D2EDFE"/>
          </w:tcPr>
          <w:p>
            <w:pPr>
              <w:spacing w:after="0"/>
              <w:rPr>
                <w:sz w:val="19"/>
                <w:szCs w:val="19"/>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D2EDFE"/>
            </w:tcBorders>
            <w:shd w:val="clear" w:color="auto" w:fill="D2EDFE"/>
          </w:tcPr>
          <w:p>
            <w:pPr>
              <w:spacing w:after="0"/>
              <w:rPr>
                <w:sz w:val="19"/>
                <w:szCs w:val="19"/>
                <w:color w:val="auto"/>
              </w:rPr>
            </w:pPr>
          </w:p>
        </w:tc>
        <w:tc>
          <w:tcPr>
            <w:tcW w:w="36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D2EDFE"/>
            </w:tcBorders>
            <w:shd w:val="clear" w:color="auto" w:fill="D2EDFE"/>
          </w:tcPr>
          <w:p>
            <w:pPr>
              <w:spacing w:after="0"/>
              <w:rPr>
                <w:sz w:val="19"/>
                <w:szCs w:val="19"/>
                <w:color w:val="auto"/>
              </w:rPr>
            </w:pPr>
          </w:p>
        </w:tc>
        <w:tc>
          <w:tcPr>
            <w:tcW w:w="560" w:type="dxa"/>
            <w:vAlign w:val="bottom"/>
            <w:tcBorders>
              <w:bottom w:val="single" w:sz="8" w:color="auto"/>
            </w:tcBorders>
            <w:shd w:val="clear" w:color="auto" w:fill="D2EDFE"/>
          </w:tcPr>
          <w:p>
            <w:pPr>
              <w:spacing w:after="0"/>
              <w:rPr>
                <w:sz w:val="19"/>
                <w:szCs w:val="19"/>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7,643</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8,158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12,528</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15,169</w:t>
            </w:r>
          </w:p>
        </w:tc>
      </w:tr>
      <w:tr>
        <w:trPr>
          <w:trHeight w:val="250"/>
        </w:trPr>
        <w:tc>
          <w:tcPr>
            <w:tcW w:w="4980" w:type="dxa"/>
            <w:vAlign w:val="bottom"/>
            <w:tcBorders>
              <w:top w:val="single" w:sz="8" w:color="D2EDFE"/>
            </w:tcBorders>
            <w:shd w:val="clear" w:color="auto" w:fill="D2EDFE"/>
          </w:tcPr>
          <w:p>
            <w:pPr>
              <w:spacing w:after="0"/>
              <w:rPr>
                <w:sz w:val="21"/>
                <w:szCs w:val="21"/>
                <w:color w:val="auto"/>
              </w:rPr>
            </w:pPr>
          </w:p>
        </w:tc>
        <w:tc>
          <w:tcPr>
            <w:tcW w:w="360" w:type="dxa"/>
            <w:vAlign w:val="bottom"/>
            <w:tcBorders>
              <w:top w:val="single" w:sz="8" w:color="auto"/>
            </w:tcBorders>
            <w:shd w:val="clear" w:color="auto" w:fill="D2EDFE"/>
          </w:tcPr>
          <w:p>
            <w:pPr>
              <w:spacing w:after="0"/>
              <w:rPr>
                <w:sz w:val="21"/>
                <w:szCs w:val="21"/>
                <w:color w:val="auto"/>
              </w:rPr>
            </w:pPr>
          </w:p>
        </w:tc>
        <w:tc>
          <w:tcPr>
            <w:tcW w:w="1140" w:type="dxa"/>
            <w:vAlign w:val="bottom"/>
            <w:tcBorders>
              <w:top w:val="single" w:sz="8" w:color="auto"/>
            </w:tcBorders>
            <w:shd w:val="clear" w:color="auto" w:fill="D2EDFE"/>
          </w:tcPr>
          <w:p>
            <w:pPr>
              <w:spacing w:after="0"/>
              <w:rPr>
                <w:sz w:val="21"/>
                <w:szCs w:val="21"/>
                <w:color w:val="auto"/>
              </w:rPr>
            </w:pPr>
          </w:p>
        </w:tc>
        <w:tc>
          <w:tcPr>
            <w:tcW w:w="80" w:type="dxa"/>
            <w:vAlign w:val="bottom"/>
            <w:tcBorders>
              <w:top w:val="single" w:sz="8" w:color="D2EDFE"/>
            </w:tcBorders>
            <w:shd w:val="clear" w:color="auto" w:fill="D2EDFE"/>
          </w:tcPr>
          <w:p>
            <w:pPr>
              <w:spacing w:after="0"/>
              <w:rPr>
                <w:sz w:val="21"/>
                <w:szCs w:val="21"/>
                <w:color w:val="auto"/>
              </w:rPr>
            </w:pPr>
          </w:p>
        </w:tc>
        <w:tc>
          <w:tcPr>
            <w:tcW w:w="420" w:type="dxa"/>
            <w:vAlign w:val="bottom"/>
            <w:tcBorders>
              <w:top w:val="single" w:sz="8" w:color="auto"/>
            </w:tcBorders>
            <w:shd w:val="clear" w:color="auto" w:fill="D2EDFE"/>
          </w:tcPr>
          <w:p>
            <w:pPr>
              <w:spacing w:after="0"/>
              <w:rPr>
                <w:sz w:val="21"/>
                <w:szCs w:val="21"/>
                <w:color w:val="auto"/>
              </w:rPr>
            </w:pPr>
          </w:p>
        </w:tc>
        <w:tc>
          <w:tcPr>
            <w:tcW w:w="1080" w:type="dxa"/>
            <w:vAlign w:val="bottom"/>
            <w:tcBorders>
              <w:top w:val="single" w:sz="8" w:color="auto"/>
            </w:tcBorders>
            <w:shd w:val="clear" w:color="auto" w:fill="D2EDFE"/>
          </w:tcPr>
          <w:p>
            <w:pPr>
              <w:spacing w:after="0"/>
              <w:rPr>
                <w:sz w:val="21"/>
                <w:szCs w:val="21"/>
                <w:color w:val="auto"/>
              </w:rPr>
            </w:pPr>
          </w:p>
        </w:tc>
        <w:tc>
          <w:tcPr>
            <w:tcW w:w="100" w:type="dxa"/>
            <w:vAlign w:val="bottom"/>
            <w:tcBorders>
              <w:top w:val="single" w:sz="8" w:color="D2EDFE"/>
            </w:tcBorders>
            <w:shd w:val="clear" w:color="auto" w:fill="D2EDFE"/>
          </w:tcPr>
          <w:p>
            <w:pPr>
              <w:spacing w:after="0"/>
              <w:rPr>
                <w:sz w:val="21"/>
                <w:szCs w:val="21"/>
                <w:color w:val="auto"/>
              </w:rPr>
            </w:pPr>
          </w:p>
        </w:tc>
        <w:tc>
          <w:tcPr>
            <w:tcW w:w="360" w:type="dxa"/>
            <w:vAlign w:val="bottom"/>
            <w:tcBorders>
              <w:top w:val="single" w:sz="8" w:color="auto"/>
            </w:tcBorders>
            <w:shd w:val="clear" w:color="auto" w:fill="D2EDFE"/>
          </w:tcPr>
          <w:p>
            <w:pPr>
              <w:spacing w:after="0"/>
              <w:rPr>
                <w:sz w:val="21"/>
                <w:szCs w:val="21"/>
                <w:color w:val="auto"/>
              </w:rPr>
            </w:pPr>
          </w:p>
        </w:tc>
        <w:tc>
          <w:tcPr>
            <w:tcW w:w="1120" w:type="dxa"/>
            <w:vAlign w:val="bottom"/>
            <w:tcBorders>
              <w:top w:val="single" w:sz="8" w:color="auto"/>
            </w:tcBorders>
            <w:shd w:val="clear" w:color="auto" w:fill="D2EDFE"/>
          </w:tcPr>
          <w:p>
            <w:pPr>
              <w:spacing w:after="0"/>
              <w:rPr>
                <w:sz w:val="21"/>
                <w:szCs w:val="21"/>
                <w:color w:val="auto"/>
              </w:rPr>
            </w:pPr>
          </w:p>
        </w:tc>
        <w:tc>
          <w:tcPr>
            <w:tcW w:w="120" w:type="dxa"/>
            <w:vAlign w:val="bottom"/>
            <w:tcBorders>
              <w:top w:val="single" w:sz="8" w:color="D2EDFE"/>
            </w:tcBorders>
            <w:shd w:val="clear" w:color="auto" w:fill="D2EDFE"/>
          </w:tcPr>
          <w:p>
            <w:pPr>
              <w:spacing w:after="0"/>
              <w:rPr>
                <w:sz w:val="21"/>
                <w:szCs w:val="21"/>
                <w:color w:val="auto"/>
              </w:rPr>
            </w:pPr>
          </w:p>
        </w:tc>
        <w:tc>
          <w:tcPr>
            <w:tcW w:w="560" w:type="dxa"/>
            <w:vAlign w:val="bottom"/>
            <w:tcBorders>
              <w:top w:val="single" w:sz="8" w:color="auto"/>
            </w:tcBorders>
            <w:shd w:val="clear" w:color="auto" w:fill="D2EDFE"/>
          </w:tcPr>
          <w:p>
            <w:pPr>
              <w:spacing w:after="0"/>
              <w:rPr>
                <w:sz w:val="21"/>
                <w:szCs w:val="21"/>
                <w:color w:val="auto"/>
              </w:rPr>
            </w:pPr>
          </w:p>
        </w:tc>
        <w:tc>
          <w:tcPr>
            <w:tcW w:w="920" w:type="dxa"/>
            <w:vAlign w:val="bottom"/>
            <w:tcBorders>
              <w:top w:val="single" w:sz="8" w:color="auto"/>
            </w:tcBorders>
            <w:shd w:val="clear" w:color="auto" w:fill="D2EDFE"/>
          </w:tcPr>
          <w:p>
            <w:pPr>
              <w:spacing w:after="0"/>
              <w:rPr>
                <w:sz w:val="21"/>
                <w:szCs w:val="21"/>
                <w:color w:val="auto"/>
              </w:rPr>
            </w:pP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color w:val="auto"/>
              </w:rPr>
              <w:t xml:space="preserve">Adjusted net income per share of common stock </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980" w:type="dxa"/>
            <w:vAlign w:val="bottom"/>
            <w:shd w:val="clear" w:color="auto" w:fill="D2EDFE"/>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0.13</w:t>
            </w:r>
          </w:p>
        </w:tc>
        <w:tc>
          <w:tcPr>
            <w:tcW w:w="500" w:type="dxa"/>
            <w:vAlign w:val="bottom"/>
            <w:gridSpan w:val="2"/>
            <w:shd w:val="clear" w:color="auto" w:fill="D2EDFE"/>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0.15</w:t>
            </w:r>
          </w:p>
        </w:tc>
        <w:tc>
          <w:tcPr>
            <w:tcW w:w="460" w:type="dxa"/>
            <w:vAlign w:val="bottom"/>
            <w:gridSpan w:val="2"/>
            <w:shd w:val="clear" w:color="auto" w:fill="D2EDFE"/>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0.22</w:t>
            </w:r>
          </w:p>
        </w:tc>
        <w:tc>
          <w:tcPr>
            <w:tcW w:w="680" w:type="dxa"/>
            <w:vAlign w:val="bottom"/>
            <w:gridSpan w:val="2"/>
            <w:shd w:val="clear" w:color="auto" w:fill="D2EDFE"/>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0.27</w:t>
            </w:r>
          </w:p>
        </w:tc>
      </w:tr>
      <w:tr>
        <w:trPr>
          <w:trHeight w:val="263"/>
        </w:trPr>
        <w:tc>
          <w:tcPr>
            <w:tcW w:w="49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57"/>
        </w:trPr>
        <w:tc>
          <w:tcPr>
            <w:tcW w:w="498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D2EDFE"/>
            </w:tcBorders>
            <w:shd w:val="clear" w:color="auto" w:fill="D2EDFE"/>
          </w:tcPr>
          <w:p>
            <w:pPr>
              <w:spacing w:after="0"/>
              <w:rPr>
                <w:sz w:val="22"/>
                <w:szCs w:val="22"/>
                <w:color w:val="auto"/>
              </w:rPr>
            </w:pPr>
          </w:p>
        </w:tc>
        <w:tc>
          <w:tcPr>
            <w:tcW w:w="1140" w:type="dxa"/>
            <w:vAlign w:val="bottom"/>
            <w:tcBorders>
              <w:bottom w:val="single" w:sz="8" w:color="D2EDFE"/>
            </w:tcBorders>
            <w:shd w:val="clear" w:color="auto" w:fill="D2EDFE"/>
          </w:tcPr>
          <w:p>
            <w:pPr>
              <w:spacing w:after="0"/>
              <w:rPr>
                <w:sz w:val="22"/>
                <w:szCs w:val="22"/>
                <w:color w:val="auto"/>
              </w:rPr>
            </w:pPr>
          </w:p>
        </w:tc>
        <w:tc>
          <w:tcPr>
            <w:tcW w:w="80" w:type="dxa"/>
            <w:vAlign w:val="bottom"/>
            <w:tcBorders>
              <w:bottom w:val="single" w:sz="8" w:color="D2EDFE"/>
            </w:tcBorders>
            <w:shd w:val="clear" w:color="auto" w:fill="D2EDFE"/>
          </w:tcPr>
          <w:p>
            <w:pPr>
              <w:spacing w:after="0"/>
              <w:rPr>
                <w:sz w:val="22"/>
                <w:szCs w:val="22"/>
                <w:color w:val="auto"/>
              </w:rPr>
            </w:pPr>
          </w:p>
        </w:tc>
        <w:tc>
          <w:tcPr>
            <w:tcW w:w="420" w:type="dxa"/>
            <w:vAlign w:val="bottom"/>
            <w:tcBorders>
              <w:bottom w:val="single" w:sz="8" w:color="D2EDFE"/>
            </w:tcBorders>
            <w:shd w:val="clear" w:color="auto" w:fill="D2EDFE"/>
          </w:tcPr>
          <w:p>
            <w:pPr>
              <w:spacing w:after="0"/>
              <w:rPr>
                <w:sz w:val="22"/>
                <w:szCs w:val="22"/>
                <w:color w:val="auto"/>
              </w:rPr>
            </w:pPr>
          </w:p>
        </w:tc>
        <w:tc>
          <w:tcPr>
            <w:tcW w:w="1080" w:type="dxa"/>
            <w:vAlign w:val="bottom"/>
            <w:tcBorders>
              <w:bottom w:val="single" w:sz="8" w:color="D2EDFE"/>
            </w:tcBorders>
            <w:shd w:val="clear" w:color="auto" w:fill="D2EDFE"/>
          </w:tcPr>
          <w:p>
            <w:pPr>
              <w:spacing w:after="0"/>
              <w:rPr>
                <w:sz w:val="22"/>
                <w:szCs w:val="22"/>
                <w:color w:val="auto"/>
              </w:rPr>
            </w:pPr>
          </w:p>
        </w:tc>
        <w:tc>
          <w:tcPr>
            <w:tcW w:w="100" w:type="dxa"/>
            <w:vAlign w:val="bottom"/>
            <w:tcBorders>
              <w:bottom w:val="single" w:sz="8" w:color="D2EDFE"/>
            </w:tcBorders>
            <w:shd w:val="clear" w:color="auto" w:fill="D2EDFE"/>
          </w:tcPr>
          <w:p>
            <w:pPr>
              <w:spacing w:after="0"/>
              <w:rPr>
                <w:sz w:val="22"/>
                <w:szCs w:val="22"/>
                <w:color w:val="auto"/>
              </w:rPr>
            </w:pPr>
          </w:p>
        </w:tc>
        <w:tc>
          <w:tcPr>
            <w:tcW w:w="360" w:type="dxa"/>
            <w:vAlign w:val="bottom"/>
            <w:tcBorders>
              <w:bottom w:val="single" w:sz="8" w:color="D2EDFE"/>
            </w:tcBorders>
            <w:shd w:val="clear" w:color="auto" w:fill="D2EDFE"/>
          </w:tcPr>
          <w:p>
            <w:pPr>
              <w:spacing w:after="0"/>
              <w:rPr>
                <w:sz w:val="22"/>
                <w:szCs w:val="22"/>
                <w:color w:val="auto"/>
              </w:rPr>
            </w:pPr>
          </w:p>
        </w:tc>
        <w:tc>
          <w:tcPr>
            <w:tcW w:w="1120" w:type="dxa"/>
            <w:vAlign w:val="bottom"/>
            <w:tcBorders>
              <w:bottom w:val="single" w:sz="8" w:color="D2EDFE"/>
            </w:tcBorders>
            <w:shd w:val="clear" w:color="auto" w:fill="D2EDFE"/>
          </w:tcPr>
          <w:p>
            <w:pPr>
              <w:spacing w:after="0"/>
              <w:rPr>
                <w:sz w:val="22"/>
                <w:szCs w:val="22"/>
                <w:color w:val="auto"/>
              </w:rPr>
            </w:pPr>
          </w:p>
        </w:tc>
        <w:tc>
          <w:tcPr>
            <w:tcW w:w="120" w:type="dxa"/>
            <w:vAlign w:val="bottom"/>
            <w:tcBorders>
              <w:bottom w:val="single" w:sz="8" w:color="D2EDFE"/>
            </w:tcBorders>
            <w:shd w:val="clear" w:color="auto" w:fill="D2EDFE"/>
          </w:tcPr>
          <w:p>
            <w:pPr>
              <w:spacing w:after="0"/>
              <w:rPr>
                <w:sz w:val="22"/>
                <w:szCs w:val="22"/>
                <w:color w:val="auto"/>
              </w:rPr>
            </w:pPr>
          </w:p>
        </w:tc>
        <w:tc>
          <w:tcPr>
            <w:tcW w:w="560" w:type="dxa"/>
            <w:vAlign w:val="bottom"/>
            <w:tcBorders>
              <w:bottom w:val="single" w:sz="8" w:color="D2EDFE"/>
            </w:tcBorders>
            <w:shd w:val="clear" w:color="auto" w:fill="D2EDFE"/>
          </w:tcPr>
          <w:p>
            <w:pPr>
              <w:spacing w:after="0"/>
              <w:rPr>
                <w:sz w:val="22"/>
                <w:szCs w:val="22"/>
                <w:color w:val="auto"/>
              </w:rPr>
            </w:pPr>
          </w:p>
        </w:tc>
        <w:tc>
          <w:tcPr>
            <w:tcW w:w="920" w:type="dxa"/>
            <w:vAlign w:val="bottom"/>
            <w:tcBorders>
              <w:bottom w:val="single" w:sz="8" w:color="D2EDFE"/>
            </w:tcBorders>
            <w:shd w:val="clear" w:color="auto" w:fill="D2EDFE"/>
          </w:tcPr>
          <w:p>
            <w:pPr>
              <w:spacing w:after="0"/>
              <w:rPr>
                <w:sz w:val="22"/>
                <w:szCs w:val="22"/>
                <w:color w:val="auto"/>
              </w:rPr>
            </w:pPr>
          </w:p>
        </w:tc>
      </w:tr>
      <w:tr>
        <w:trPr>
          <w:trHeight w:val="263"/>
        </w:trPr>
        <w:tc>
          <w:tcPr>
            <w:tcW w:w="498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56,753,498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55,640,154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56,599,291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55,640,154</w:t>
            </w:r>
          </w:p>
        </w:tc>
      </w:tr>
      <w:tr>
        <w:trPr>
          <w:trHeight w:val="277"/>
        </w:trPr>
        <w:tc>
          <w:tcPr>
            <w:tcW w:w="4980" w:type="dxa"/>
            <w:vAlign w:val="bottom"/>
            <w:shd w:val="clear" w:color="auto" w:fill="D2EDFE"/>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D2EDFE"/>
          </w:tcPr>
          <w:p>
            <w:pPr>
              <w:spacing w:after="0"/>
              <w:rPr>
                <w:sz w:val="24"/>
                <w:szCs w:val="24"/>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58,511,766</w:t>
            </w:r>
          </w:p>
        </w:tc>
        <w:tc>
          <w:tcPr>
            <w:tcW w:w="80" w:type="dxa"/>
            <w:vAlign w:val="bottom"/>
            <w:shd w:val="clear" w:color="auto" w:fill="D2EDFE"/>
          </w:tcPr>
          <w:p>
            <w:pPr>
              <w:spacing w:after="0"/>
              <w:rPr>
                <w:sz w:val="24"/>
                <w:szCs w:val="24"/>
                <w:color w:val="auto"/>
              </w:rPr>
            </w:pPr>
          </w:p>
        </w:tc>
        <w:tc>
          <w:tcPr>
            <w:tcW w:w="420" w:type="dxa"/>
            <w:vAlign w:val="bottom"/>
            <w:shd w:val="clear" w:color="auto" w:fill="D2EDFE"/>
          </w:tcPr>
          <w:p>
            <w:pPr>
              <w:spacing w:after="0"/>
              <w:rPr>
                <w:sz w:val="24"/>
                <w:szCs w:val="24"/>
                <w:color w:val="auto"/>
              </w:rPr>
            </w:pPr>
          </w:p>
        </w:tc>
        <w:tc>
          <w:tcPr>
            <w:tcW w:w="10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58,360,685</w:t>
            </w:r>
          </w:p>
        </w:tc>
        <w:tc>
          <w:tcPr>
            <w:tcW w:w="100" w:type="dxa"/>
            <w:vAlign w:val="bottom"/>
            <w:shd w:val="clear" w:color="auto" w:fill="D2EDFE"/>
          </w:tcPr>
          <w:p>
            <w:pPr>
              <w:spacing w:after="0"/>
              <w:rPr>
                <w:sz w:val="24"/>
                <w:szCs w:val="24"/>
                <w:color w:val="auto"/>
              </w:rPr>
            </w:pPr>
          </w:p>
        </w:tc>
        <w:tc>
          <w:tcPr>
            <w:tcW w:w="360" w:type="dxa"/>
            <w:vAlign w:val="bottom"/>
            <w:shd w:val="clear" w:color="auto" w:fill="D2EDFE"/>
          </w:tcPr>
          <w:p>
            <w:pPr>
              <w:spacing w:after="0"/>
              <w:rPr>
                <w:sz w:val="24"/>
                <w:szCs w:val="24"/>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58,095,736</w:t>
            </w:r>
          </w:p>
        </w:tc>
        <w:tc>
          <w:tcPr>
            <w:tcW w:w="120" w:type="dxa"/>
            <w:vAlign w:val="bottom"/>
            <w:shd w:val="clear" w:color="auto" w:fill="D2EDFE"/>
          </w:tcPr>
          <w:p>
            <w:pPr>
              <w:spacing w:after="0"/>
              <w:rPr>
                <w:sz w:val="24"/>
                <w:szCs w:val="24"/>
                <w:color w:val="auto"/>
              </w:rPr>
            </w:pPr>
          </w:p>
        </w:tc>
        <w:tc>
          <w:tcPr>
            <w:tcW w:w="560" w:type="dxa"/>
            <w:vAlign w:val="bottom"/>
            <w:shd w:val="clear" w:color="auto" w:fill="D2EDFE"/>
          </w:tcPr>
          <w:p>
            <w:pPr>
              <w:spacing w:after="0"/>
              <w:rPr>
                <w:sz w:val="24"/>
                <w:szCs w:val="24"/>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w w:val="90"/>
              </w:rPr>
              <w:t>58,360,685</w:t>
            </w:r>
          </w:p>
        </w:tc>
      </w:tr>
    </w:tbl>
    <w:p>
      <w:pPr>
        <w:spacing w:after="0" w:line="292" w:lineRule="exact"/>
        <w:rPr>
          <w:sz w:val="20"/>
          <w:szCs w:val="20"/>
          <w:color w:val="auto"/>
        </w:rPr>
      </w:pPr>
    </w:p>
    <w:p>
      <w:pPr>
        <w:ind w:left="660" w:hanging="652"/>
        <w:spacing w:after="0" w:line="293" w:lineRule="auto"/>
        <w:tabs>
          <w:tab w:leader="none" w:pos="328" w:val="left"/>
        </w:tabs>
        <w:numPr>
          <w:ilvl w:val="0"/>
          <w:numId w:val="5"/>
        </w:numPr>
        <w:rPr>
          <w:rFonts w:ascii="Arial" w:cs="Arial" w:eastAsia="Arial" w:hAnsi="Arial"/>
          <w:sz w:val="14"/>
          <w:szCs w:val="14"/>
          <w:color w:val="auto"/>
        </w:rPr>
      </w:pPr>
      <w:r>
        <w:rPr>
          <w:rFonts w:ascii="Arial" w:cs="Arial" w:eastAsia="Arial" w:hAnsi="Arial"/>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92"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Three Months Ended</w:t>
      </w:r>
    </w:p>
    <w:p>
      <w:pPr>
        <w:jc w:val="center"/>
        <w:ind w:left="488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13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340" w:type="dxa"/>
            <w:vAlign w:val="bottom"/>
            <w:vMerge w:val="restart"/>
          </w:tcPr>
          <w:p>
            <w:pPr>
              <w:spacing w:after="0"/>
              <w:rPr>
                <w:sz w:val="11"/>
                <w:szCs w:val="11"/>
                <w:color w:val="auto"/>
              </w:rPr>
            </w:pPr>
          </w:p>
        </w:tc>
        <w:tc>
          <w:tcPr>
            <w:tcW w:w="1240" w:type="dxa"/>
            <w:vAlign w:val="bottom"/>
          </w:tcPr>
          <w:p>
            <w:pPr>
              <w:jc w:val="right"/>
              <w:ind w:right="553"/>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right"/>
              <w:ind w:right="556"/>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90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55,703</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2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gridSpan w:val="2"/>
            <w:shd w:val="clear" w:color="auto" w:fill="D2EDFE"/>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49,654</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D2EDFE"/>
          </w:tcPr>
          <w:p>
            <w:pPr>
              <w:ind w:left="14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D2EDFE"/>
          </w:tcPr>
          <w:p>
            <w:pPr>
              <w:spacing w:after="0"/>
              <w:rPr>
                <w:sz w:val="20"/>
                <w:szCs w:val="20"/>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19,952</w:t>
            </w:r>
          </w:p>
        </w:tc>
        <w:tc>
          <w:tcPr>
            <w:tcW w:w="100" w:type="dxa"/>
            <w:vAlign w:val="bottom"/>
            <w:shd w:val="clear" w:color="auto" w:fill="D2EDFE"/>
          </w:tcPr>
          <w:p>
            <w:pPr>
              <w:spacing w:after="0"/>
              <w:rPr>
                <w:sz w:val="20"/>
                <w:szCs w:val="20"/>
                <w:color w:val="auto"/>
              </w:rPr>
            </w:pPr>
          </w:p>
        </w:tc>
        <w:tc>
          <w:tcPr>
            <w:tcW w:w="340" w:type="dxa"/>
            <w:vAlign w:val="bottom"/>
            <w:shd w:val="clear" w:color="auto" w:fill="D2EDFE"/>
          </w:tcPr>
          <w:p>
            <w:pPr>
              <w:spacing w:after="0"/>
              <w:rPr>
                <w:sz w:val="20"/>
                <w:szCs w:val="20"/>
                <w:color w:val="auto"/>
              </w:rPr>
            </w:pPr>
          </w:p>
        </w:tc>
        <w:tc>
          <w:tcPr>
            <w:tcW w:w="12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D2EDFE"/>
          </w:tcPr>
          <w:p>
            <w:pPr>
              <w:spacing w:after="0"/>
              <w:rPr>
                <w:sz w:val="20"/>
                <w:szCs w:val="20"/>
                <w:color w:val="auto"/>
              </w:rPr>
            </w:pPr>
          </w:p>
        </w:tc>
        <w:tc>
          <w:tcPr>
            <w:tcW w:w="280" w:type="dxa"/>
            <w:vAlign w:val="bottom"/>
            <w:shd w:val="clear" w:color="auto" w:fill="D2EDFE"/>
          </w:tcPr>
          <w:p>
            <w:pPr>
              <w:spacing w:after="0"/>
              <w:rPr>
                <w:sz w:val="20"/>
                <w:szCs w:val="20"/>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17,492</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26,010</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43"/>
        </w:trPr>
        <w:tc>
          <w:tcPr>
            <w:tcW w:w="490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D2EDFE"/>
          </w:tcPr>
          <w:p>
            <w:pPr>
              <w:spacing w:after="0"/>
              <w:rPr>
                <w:sz w:val="21"/>
                <w:szCs w:val="21"/>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spacing w:after="0"/>
              <w:rPr>
                <w:sz w:val="21"/>
                <w:szCs w:val="21"/>
                <w:color w:val="auto"/>
              </w:rPr>
            </w:pPr>
          </w:p>
        </w:tc>
        <w:tc>
          <w:tcPr>
            <w:tcW w:w="12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D2EDFE"/>
          </w:tcPr>
          <w:p>
            <w:pPr>
              <w:spacing w:after="0"/>
              <w:rPr>
                <w:sz w:val="21"/>
                <w:szCs w:val="21"/>
                <w:color w:val="auto"/>
              </w:rPr>
            </w:pPr>
          </w:p>
        </w:tc>
        <w:tc>
          <w:tcPr>
            <w:tcW w:w="280" w:type="dxa"/>
            <w:vAlign w:val="bottom"/>
            <w:shd w:val="clear" w:color="auto" w:fill="D2EDFE"/>
          </w:tcPr>
          <w:p>
            <w:pPr>
              <w:spacing w:after="0"/>
              <w:rPr>
                <w:sz w:val="21"/>
                <w:szCs w:val="21"/>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1,962</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(Gain)/loss on disposal of long-lived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D2EDFE"/>
          </w:tcPr>
          <w:p>
            <w:pPr>
              <w:spacing w:after="0"/>
              <w:rPr>
                <w:sz w:val="19"/>
                <w:szCs w:val="19"/>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50,341</w:t>
            </w:r>
          </w:p>
        </w:tc>
        <w:tc>
          <w:tcPr>
            <w:tcW w:w="100" w:type="dxa"/>
            <w:vAlign w:val="bottom"/>
            <w:tcBorders>
              <w:bottom w:val="single" w:sz="8" w:color="D2EDFE"/>
            </w:tcBorders>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spacing w:after="0"/>
              <w:rPr>
                <w:sz w:val="19"/>
                <w:szCs w:val="19"/>
                <w:color w:val="auto"/>
              </w:rPr>
            </w:pPr>
          </w:p>
        </w:tc>
        <w:tc>
          <w:tcPr>
            <w:tcW w:w="12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90.4 %</w:t>
            </w:r>
          </w:p>
        </w:tc>
        <w:tc>
          <w:tcPr>
            <w:tcW w:w="100" w:type="dxa"/>
            <w:vAlign w:val="bottom"/>
            <w:tcBorders>
              <w:bottom w:val="single" w:sz="8" w:color="D2EDFE"/>
            </w:tcBorders>
            <w:shd w:val="clear" w:color="auto" w:fill="D2EDFE"/>
          </w:tcPr>
          <w:p>
            <w:pPr>
              <w:spacing w:after="0"/>
              <w:rPr>
                <w:sz w:val="19"/>
                <w:szCs w:val="19"/>
                <w:color w:val="auto"/>
              </w:rPr>
            </w:pPr>
          </w:p>
        </w:tc>
        <w:tc>
          <w:tcPr>
            <w:tcW w:w="28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45,691</w:t>
            </w:r>
          </w:p>
        </w:tc>
        <w:tc>
          <w:tcPr>
            <w:tcW w:w="40" w:type="dxa"/>
            <w:vAlign w:val="bottom"/>
            <w:tcBorders>
              <w:bottom w:val="single" w:sz="8" w:color="auto"/>
            </w:tcBorders>
            <w:shd w:val="clear" w:color="auto" w:fill="D2EDFE"/>
          </w:tcPr>
          <w:p>
            <w:pPr>
              <w:spacing w:after="0"/>
              <w:rPr>
                <w:sz w:val="19"/>
                <w:szCs w:val="19"/>
                <w:color w:val="auto"/>
              </w:rPr>
            </w:pPr>
          </w:p>
        </w:tc>
        <w:tc>
          <w:tcPr>
            <w:tcW w:w="100" w:type="dxa"/>
            <w:vAlign w:val="bottom"/>
            <w:tcBorders>
              <w:bottom w:val="single" w:sz="8" w:color="D2EDFE"/>
            </w:tcBorders>
            <w:shd w:val="clear" w:color="auto" w:fill="D2EDFE"/>
          </w:tcPr>
          <w:p>
            <w:pPr>
              <w:spacing w:after="0"/>
              <w:rPr>
                <w:sz w:val="19"/>
                <w:szCs w:val="19"/>
                <w:color w:val="auto"/>
              </w:rPr>
            </w:pPr>
          </w:p>
        </w:tc>
        <w:tc>
          <w:tcPr>
            <w:tcW w:w="15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92.0 %</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3,963</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D2EDFE"/>
          </w:tcPr>
          <w:p>
            <w:pPr>
              <w:spacing w:after="0"/>
              <w:rPr>
                <w:sz w:val="20"/>
                <w:szCs w:val="20"/>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D2EDFE"/>
            </w:tcBorders>
            <w:shd w:val="clear" w:color="auto" w:fill="D2EDFE"/>
          </w:tcPr>
          <w:p>
            <w:pPr>
              <w:spacing w:after="0"/>
              <w:rPr>
                <w:sz w:val="20"/>
                <w:szCs w:val="20"/>
                <w:color w:val="auto"/>
              </w:rPr>
            </w:pPr>
          </w:p>
        </w:tc>
        <w:tc>
          <w:tcPr>
            <w:tcW w:w="340" w:type="dxa"/>
            <w:vAlign w:val="bottom"/>
            <w:tcBorders>
              <w:bottom w:val="single" w:sz="8" w:color="auto"/>
            </w:tcBorders>
            <w:shd w:val="clear" w:color="auto" w:fill="D2EDFE"/>
          </w:tcPr>
          <w:p>
            <w:pPr>
              <w:spacing w:after="0"/>
              <w:rPr>
                <w:sz w:val="20"/>
                <w:szCs w:val="20"/>
                <w:color w:val="auto"/>
              </w:rPr>
            </w:pPr>
          </w:p>
        </w:tc>
        <w:tc>
          <w:tcPr>
            <w:tcW w:w="12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D2EDFE"/>
            </w:tcBorders>
            <w:shd w:val="clear" w:color="auto" w:fill="D2EDFE"/>
          </w:tcPr>
          <w:p>
            <w:pPr>
              <w:spacing w:after="0"/>
              <w:rPr>
                <w:sz w:val="20"/>
                <w:szCs w:val="20"/>
                <w:color w:val="auto"/>
              </w:rPr>
            </w:pPr>
          </w:p>
        </w:tc>
        <w:tc>
          <w:tcPr>
            <w:tcW w:w="280" w:type="dxa"/>
            <w:vAlign w:val="bottom"/>
            <w:tcBorders>
              <w:bottom w:val="single" w:sz="8" w:color="auto"/>
            </w:tcBorders>
            <w:shd w:val="clear" w:color="auto" w:fill="D2EDFE"/>
          </w:tcPr>
          <w:p>
            <w:pPr>
              <w:spacing w:after="0"/>
              <w:rPr>
                <w:sz w:val="20"/>
                <w:szCs w:val="20"/>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1,559</w:t>
            </w:r>
          </w:p>
        </w:tc>
        <w:tc>
          <w:tcPr>
            <w:tcW w:w="40" w:type="dxa"/>
            <w:vAlign w:val="bottom"/>
            <w:tcBorders>
              <w:bottom w:val="single" w:sz="8" w:color="auto"/>
            </w:tcBorders>
            <w:shd w:val="clear" w:color="auto" w:fill="D2EDFE"/>
          </w:tcPr>
          <w:p>
            <w:pPr>
              <w:spacing w:after="0"/>
              <w:rPr>
                <w:sz w:val="20"/>
                <w:szCs w:val="20"/>
                <w:color w:val="auto"/>
              </w:rPr>
            </w:pPr>
          </w:p>
        </w:tc>
        <w:tc>
          <w:tcPr>
            <w:tcW w:w="100" w:type="dxa"/>
            <w:vAlign w:val="bottom"/>
            <w:tcBorders>
              <w:bottom w:val="single" w:sz="8" w:color="D2EDFE"/>
            </w:tcBorders>
            <w:shd w:val="clear" w:color="auto" w:fill="D2EDFE"/>
          </w:tcPr>
          <w:p>
            <w:pPr>
              <w:spacing w:after="0"/>
              <w:rPr>
                <w:sz w:val="20"/>
                <w:szCs w:val="20"/>
                <w:color w:val="auto"/>
              </w:rPr>
            </w:pPr>
          </w:p>
        </w:tc>
        <w:tc>
          <w:tcPr>
            <w:tcW w:w="158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Pre-tax net income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2,404</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490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D2EDFE"/>
          </w:tcPr>
          <w:p>
            <w:pPr>
              <w:spacing w:after="0"/>
              <w:rPr>
                <w:sz w:val="21"/>
                <w:szCs w:val="21"/>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spacing w:after="0"/>
              <w:rPr>
                <w:sz w:val="21"/>
                <w:szCs w:val="21"/>
                <w:color w:val="auto"/>
              </w:rPr>
            </w:pPr>
          </w:p>
        </w:tc>
        <w:tc>
          <w:tcPr>
            <w:tcW w:w="12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D2EDFE"/>
          </w:tcPr>
          <w:p>
            <w:pPr>
              <w:spacing w:after="0"/>
              <w:rPr>
                <w:sz w:val="21"/>
                <w:szCs w:val="21"/>
                <w:color w:val="auto"/>
              </w:rPr>
            </w:pPr>
          </w:p>
        </w:tc>
        <w:tc>
          <w:tcPr>
            <w:tcW w:w="280" w:type="dxa"/>
            <w:vAlign w:val="bottom"/>
            <w:shd w:val="clear" w:color="auto" w:fill="D2EDFE"/>
          </w:tcPr>
          <w:p>
            <w:pPr>
              <w:spacing w:after="0"/>
              <w:rPr>
                <w:sz w:val="21"/>
                <w:szCs w:val="21"/>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1,821</w:t>
            </w:r>
          </w:p>
        </w:tc>
        <w:tc>
          <w:tcPr>
            <w:tcW w:w="17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Our financial results for the three months ended June 30, 2023 compared to the three months ended June 30, 2022 reflect the addition of six de</w:t>
      </w:r>
      <w:r>
        <w:rPr>
          <w:rFonts w:ascii="Arial" w:cs="Arial" w:eastAsia="Arial" w:hAnsi="Arial"/>
          <w:sz w:val="18"/>
          <w:szCs w:val="18"/>
          <w:i w:val="1"/>
          <w:iCs w:val="1"/>
          <w:color w:val="auto"/>
        </w:rPr>
        <w:t xml:space="preserve"> </w:t>
      </w:r>
      <w:r>
        <w:rPr>
          <w:rFonts w:ascii="Arial" w:cs="Arial" w:eastAsia="Arial" w:hAnsi="Arial"/>
          <w:sz w:val="18"/>
          <w:szCs w:val="18"/>
          <w:color w:val="auto"/>
        </w:rPr>
        <w:t>novo centers and expansion of existing centers which increased our procedure rooms by 15.</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Our revenue increased $6.0 million, or 12.2%, compared to the same period in 2022. The increase is the result of adding six de novo centers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expanded our footprint from 19 centers to 25 centers and our number of procedure rooms from 38 to 53 as of June 30, 2023.</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Cost of Service—</w:t>
      </w:r>
      <w:r>
        <w:rPr>
          <w:rFonts w:ascii="Arial" w:cs="Arial" w:eastAsia="Arial" w:hAnsi="Arial"/>
          <w:sz w:val="18"/>
          <w:szCs w:val="18"/>
          <w:color w:val="auto"/>
        </w:rPr>
        <w:t>Our cost of services increased $2.5 million, or 14.1%, compared to the three months ended June 30, 2022. This increase is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six centers since the 2022 period. Cost of service was 35.8% and 35.2% as a percentage of revenue for the three months ended June 30, 2023 and 2022, respectively. Cost of service as a percent of revenue was in line year over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increased $1.9 million, or 7.2%,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compared to the same period in 2022. This increase is related to additional expenses we incurred for marketing and corporate support as we grow our center count through de novo expansion and providing support for our centers, offset by a decrease in our equity-based compensation expense. We expect our marketing and corporate support costs to continue to increase as we open de novo centers and expand the support we provide to our centers. Selling, general and administrative expenses as a percent of revenue was at 50.1% and 52.4% for the three months ended June 30, 2023 and 2022, respectively.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expenses consist of advertising costs for social, digital and traditional marketing and sales and marketing personnel. Total selling expenses were approximately $9.4 million and $7.6 million for the three months ended June 30, 2023 and 2022, respectively. Our customer acquisition costs were approximately $2,250 and $2,000 per customer in the three months ended June 30, 2023 and 2022,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$18.5 million and $18.4 million for the three months ended June 30, 2023 and 2022, respectively. We expect to continue to expand our corporate team to support the opening of new centers and growth at existing facilities.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$2.5 million for the three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 million for the same period in 2022. This increase is the result of having six additional de novo centers during the three months ended June 30, 2023 as compared to the 2022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(Gain)/loss on disposal of long-lived assets—</w:t>
      </w:r>
      <w:r>
        <w:rPr>
          <w:rFonts w:ascii="Arial" w:cs="Arial" w:eastAsia="Arial" w:hAnsi="Arial"/>
          <w:sz w:val="18"/>
          <w:szCs w:val="18"/>
          <w:color w:val="auto"/>
        </w:rPr>
        <w:t>We recognized a $18.0 thousand gain related to the disposal of previous long-lived assets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relocations to expand certain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Interest expense increased to $1.9 million from $1.6 million for the three months ended June 30, 2023 and 2022,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due to rising interest rates in the current quarter as compared to prior quarter.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Expense/(Benefit)— </w:t>
      </w:r>
      <w:r>
        <w:rPr>
          <w:rFonts w:ascii="Arial" w:cs="Arial" w:eastAsia="Arial" w:hAnsi="Arial"/>
          <w:sz w:val="18"/>
          <w:szCs w:val="18"/>
          <w:color w:val="auto"/>
        </w:rPr>
        <w:t>Our effective tax rate is 48.8% and 75.7% for the three months ended June 30, 2023 and 2022, respectively. The main</w:t>
      </w:r>
      <w:r>
        <w:rPr>
          <w:rFonts w:ascii="Arial" w:cs="Arial" w:eastAsia="Arial" w:hAnsi="Arial"/>
          <w:sz w:val="18"/>
          <w:szCs w:val="18"/>
          <w:i w:val="1"/>
          <w:iCs w:val="1"/>
          <w:color w:val="auto"/>
        </w:rPr>
        <w:t xml:space="preserve"> </w:t>
      </w:r>
      <w:r>
        <w:rPr>
          <w:rFonts w:ascii="Arial" w:cs="Arial" w:eastAsia="Arial" w:hAnsi="Arial"/>
          <w:sz w:val="18"/>
          <w:szCs w:val="18"/>
          <w:color w:val="auto"/>
        </w:rPr>
        <w:t>driver of the difference between the effective and statutory rate is non-deductible executive compensation under Section 162(m) of the Internal Revenue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 the percentage relationship to revenue for the periods indicated:</w:t>
      </w:r>
    </w:p>
    <w:p>
      <w:pPr>
        <w:spacing w:after="0" w:line="192"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Six Months Ended</w:t>
      </w:r>
    </w:p>
    <w:p>
      <w:pPr>
        <w:jc w:val="center"/>
        <w:ind w:left="660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90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336"/>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7"/>
        </w:trPr>
        <w:tc>
          <w:tcPr>
            <w:tcW w:w="66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662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101,516</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280" w:type="dxa"/>
            <w:vAlign w:val="bottom"/>
            <w:gridSpan w:val="2"/>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89,198</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D2EDFE"/>
          </w:tcPr>
          <w:p>
            <w:pPr>
              <w:spacing w:after="0"/>
              <w:rPr>
                <w:sz w:val="20"/>
                <w:szCs w:val="20"/>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37,969</w:t>
            </w:r>
          </w:p>
        </w:tc>
        <w:tc>
          <w:tcPr>
            <w:tcW w:w="100" w:type="dxa"/>
            <w:vAlign w:val="bottom"/>
            <w:shd w:val="clear" w:color="auto" w:fill="D2EDFE"/>
          </w:tcPr>
          <w:p>
            <w:pPr>
              <w:spacing w:after="0"/>
              <w:rPr>
                <w:sz w:val="20"/>
                <w:szCs w:val="20"/>
                <w:color w:val="auto"/>
              </w:rPr>
            </w:pPr>
          </w:p>
        </w:tc>
        <w:tc>
          <w:tcPr>
            <w:tcW w:w="240" w:type="dxa"/>
            <w:vAlign w:val="bottom"/>
            <w:shd w:val="clear" w:color="auto" w:fill="D2EDFE"/>
          </w:tcPr>
          <w:p>
            <w:pPr>
              <w:spacing w:after="0"/>
              <w:rPr>
                <w:sz w:val="20"/>
                <w:szCs w:val="20"/>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D2EDFE"/>
          </w:tcPr>
          <w:p>
            <w:pPr>
              <w:spacing w:after="0"/>
              <w:rPr>
                <w:sz w:val="20"/>
                <w:szCs w:val="20"/>
                <w:color w:val="auto"/>
              </w:rPr>
            </w:pPr>
          </w:p>
        </w:tc>
        <w:tc>
          <w:tcPr>
            <w:tcW w:w="180" w:type="dxa"/>
            <w:vAlign w:val="bottom"/>
            <w:shd w:val="clear" w:color="auto" w:fill="D2EDFE"/>
          </w:tcPr>
          <w:p>
            <w:pPr>
              <w:spacing w:after="0"/>
              <w:rPr>
                <w:sz w:val="20"/>
                <w:szCs w:val="20"/>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32,154</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50,177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43"/>
        </w:trPr>
        <w:tc>
          <w:tcPr>
            <w:tcW w:w="66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D2EDFE"/>
          </w:tcPr>
          <w:p>
            <w:pPr>
              <w:spacing w:after="0"/>
              <w:rPr>
                <w:sz w:val="21"/>
                <w:szCs w:val="21"/>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D2EDFE"/>
          </w:tcPr>
          <w:p>
            <w:pPr>
              <w:spacing w:after="0"/>
              <w:rPr>
                <w:sz w:val="21"/>
                <w:szCs w:val="21"/>
                <w:color w:val="auto"/>
              </w:rPr>
            </w:pPr>
          </w:p>
        </w:tc>
        <w:tc>
          <w:tcPr>
            <w:tcW w:w="240" w:type="dxa"/>
            <w:vAlign w:val="bottom"/>
            <w:shd w:val="clear" w:color="auto" w:fill="D2EDFE"/>
          </w:tcPr>
          <w:p>
            <w:pPr>
              <w:spacing w:after="0"/>
              <w:rPr>
                <w:sz w:val="21"/>
                <w:szCs w:val="21"/>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D2EDFE"/>
          </w:tcPr>
          <w:p>
            <w:pPr>
              <w:spacing w:after="0"/>
              <w:rPr>
                <w:sz w:val="21"/>
                <w:szCs w:val="21"/>
                <w:color w:val="auto"/>
              </w:rPr>
            </w:pPr>
          </w:p>
        </w:tc>
        <w:tc>
          <w:tcPr>
            <w:tcW w:w="180" w:type="dxa"/>
            <w:vAlign w:val="bottom"/>
            <w:shd w:val="clear" w:color="auto" w:fill="D2EDFE"/>
          </w:tcPr>
          <w:p>
            <w:pPr>
              <w:spacing w:after="0"/>
              <w:rPr>
                <w:sz w:val="21"/>
                <w:szCs w:val="21"/>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3,848</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(Gain)/loss on disposal of long-lived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D2EDFE"/>
            </w:tcBorders>
            <w:shd w:val="clear" w:color="auto" w:fill="D2EDFE"/>
          </w:tcPr>
          <w:p>
            <w:pPr>
              <w:ind w:left="1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D2EDFE"/>
          </w:tcPr>
          <w:p>
            <w:pPr>
              <w:spacing w:after="0"/>
              <w:rPr>
                <w:sz w:val="19"/>
                <w:szCs w:val="19"/>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94,392</w:t>
            </w:r>
          </w:p>
        </w:tc>
        <w:tc>
          <w:tcPr>
            <w:tcW w:w="100" w:type="dxa"/>
            <w:vAlign w:val="bottom"/>
            <w:tcBorders>
              <w:bottom w:val="single" w:sz="8" w:color="D2EDFE"/>
            </w:tcBorders>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93.0 %</w:t>
            </w:r>
          </w:p>
        </w:tc>
        <w:tc>
          <w:tcPr>
            <w:tcW w:w="100" w:type="dxa"/>
            <w:vAlign w:val="bottom"/>
            <w:tcBorders>
              <w:bottom w:val="single" w:sz="8" w:color="D2EDFE"/>
            </w:tcBorders>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86,406</w:t>
            </w:r>
          </w:p>
        </w:tc>
        <w:tc>
          <w:tcPr>
            <w:tcW w:w="40" w:type="dxa"/>
            <w:vAlign w:val="bottom"/>
            <w:tcBorders>
              <w:bottom w:val="single" w:sz="8" w:color="auto"/>
            </w:tcBorders>
            <w:shd w:val="clear" w:color="auto" w:fill="D2EDFE"/>
          </w:tcPr>
          <w:p>
            <w:pPr>
              <w:spacing w:after="0"/>
              <w:rPr>
                <w:sz w:val="19"/>
                <w:szCs w:val="19"/>
                <w:color w:val="auto"/>
              </w:rPr>
            </w:pPr>
          </w:p>
        </w:tc>
        <w:tc>
          <w:tcPr>
            <w:tcW w:w="100" w:type="dxa"/>
            <w:vAlign w:val="bottom"/>
            <w:tcBorders>
              <w:bottom w:val="single" w:sz="8" w:color="D2EDFE"/>
            </w:tcBorders>
            <w:shd w:val="clear" w:color="auto" w:fill="D2EDFE"/>
          </w:tcPr>
          <w:p>
            <w:pPr>
              <w:spacing w:after="0"/>
              <w:rPr>
                <w:sz w:val="19"/>
                <w:szCs w:val="19"/>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96.9 %</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D2EDFE"/>
          </w:tcPr>
          <w:p>
            <w:pPr>
              <w:spacing w:after="0"/>
              <w:rPr>
                <w:sz w:val="20"/>
                <w:szCs w:val="20"/>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D2EDFE"/>
            </w:tcBorders>
            <w:shd w:val="clear" w:color="auto" w:fill="D2EDFE"/>
          </w:tcPr>
          <w:p>
            <w:pPr>
              <w:spacing w:after="0"/>
              <w:rPr>
                <w:sz w:val="20"/>
                <w:szCs w:val="20"/>
                <w:color w:val="auto"/>
              </w:rPr>
            </w:pPr>
          </w:p>
        </w:tc>
        <w:tc>
          <w:tcPr>
            <w:tcW w:w="240" w:type="dxa"/>
            <w:vAlign w:val="bottom"/>
            <w:tcBorders>
              <w:bottom w:val="single" w:sz="8" w:color="auto"/>
            </w:tcBorders>
            <w:shd w:val="clear" w:color="auto" w:fill="D2EDFE"/>
          </w:tcPr>
          <w:p>
            <w:pPr>
              <w:spacing w:after="0"/>
              <w:rPr>
                <w:sz w:val="20"/>
                <w:szCs w:val="20"/>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D2EDFE"/>
            </w:tcBorders>
            <w:shd w:val="clear" w:color="auto" w:fill="D2EDFE"/>
          </w:tcPr>
          <w:p>
            <w:pPr>
              <w:spacing w:after="0"/>
              <w:rPr>
                <w:sz w:val="20"/>
                <w:szCs w:val="20"/>
                <w:color w:val="auto"/>
              </w:rPr>
            </w:pPr>
          </w:p>
        </w:tc>
        <w:tc>
          <w:tcPr>
            <w:tcW w:w="180" w:type="dxa"/>
            <w:vAlign w:val="bottom"/>
            <w:tcBorders>
              <w:bottom w:val="single" w:sz="8" w:color="auto"/>
            </w:tcBorders>
            <w:shd w:val="clear" w:color="auto" w:fill="D2EDFE"/>
          </w:tcPr>
          <w:p>
            <w:pPr>
              <w:spacing w:after="0"/>
              <w:rPr>
                <w:sz w:val="20"/>
                <w:szCs w:val="20"/>
                <w:color w:val="auto"/>
              </w:rPr>
            </w:pPr>
          </w:p>
        </w:tc>
        <w:tc>
          <w:tcPr>
            <w:tcW w:w="8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3,051</w:t>
            </w:r>
          </w:p>
        </w:tc>
        <w:tc>
          <w:tcPr>
            <w:tcW w:w="40" w:type="dxa"/>
            <w:vAlign w:val="bottom"/>
            <w:tcBorders>
              <w:bottom w:val="single" w:sz="8" w:color="auto"/>
            </w:tcBorders>
            <w:shd w:val="clear" w:color="auto" w:fill="D2EDFE"/>
          </w:tcPr>
          <w:p>
            <w:pPr>
              <w:spacing w:after="0"/>
              <w:rPr>
                <w:sz w:val="20"/>
                <w:szCs w:val="20"/>
                <w:color w:val="auto"/>
              </w:rPr>
            </w:pPr>
          </w:p>
        </w:tc>
        <w:tc>
          <w:tcPr>
            <w:tcW w:w="100" w:type="dxa"/>
            <w:vAlign w:val="bottom"/>
            <w:tcBorders>
              <w:bottom w:val="single" w:sz="8" w:color="D2EDFE"/>
            </w:tcBorders>
            <w:shd w:val="clear" w:color="auto" w:fill="D2EDFE"/>
          </w:tcPr>
          <w:p>
            <w:pPr>
              <w:spacing w:after="0"/>
              <w:rPr>
                <w:sz w:val="20"/>
                <w:szCs w:val="20"/>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Pre-tax net income/(loss)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620" w:type="dxa"/>
            <w:vAlign w:val="bottom"/>
            <w:shd w:val="clear" w:color="auto" w:fill="D2EDFE"/>
          </w:tcPr>
          <w:p>
            <w:pPr>
              <w:ind w:left="20"/>
              <w:spacing w:after="0"/>
              <w:rPr>
                <w:sz w:val="20"/>
                <w:szCs w:val="20"/>
                <w:color w:val="auto"/>
              </w:rPr>
            </w:pPr>
            <w:r>
              <w:rPr>
                <w:rFonts w:ascii="Arial" w:cs="Arial" w:eastAsia="Arial" w:hAnsi="Arial"/>
                <w:sz w:val="18"/>
                <w:szCs w:val="18"/>
                <w:color w:val="auto"/>
              </w:rPr>
              <w:t>Income tax expense/(benefit)</w:t>
            </w:r>
          </w:p>
        </w:tc>
        <w:tc>
          <w:tcPr>
            <w:tcW w:w="180" w:type="dxa"/>
            <w:vAlign w:val="bottom"/>
            <w:shd w:val="clear" w:color="auto" w:fill="D2EDFE"/>
          </w:tcPr>
          <w:p>
            <w:pPr>
              <w:spacing w:after="0"/>
              <w:rPr>
                <w:sz w:val="21"/>
                <w:szCs w:val="21"/>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D2EDFE"/>
          </w:tcPr>
          <w:p>
            <w:pPr>
              <w:spacing w:after="0"/>
              <w:rPr>
                <w:sz w:val="21"/>
                <w:szCs w:val="21"/>
                <w:color w:val="auto"/>
              </w:rPr>
            </w:pPr>
          </w:p>
        </w:tc>
        <w:tc>
          <w:tcPr>
            <w:tcW w:w="240" w:type="dxa"/>
            <w:vAlign w:val="bottom"/>
            <w:shd w:val="clear" w:color="auto" w:fill="D2EDFE"/>
          </w:tcPr>
          <w:p>
            <w:pPr>
              <w:spacing w:after="0"/>
              <w:rPr>
                <w:sz w:val="21"/>
                <w:szCs w:val="21"/>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D2EDFE"/>
          </w:tcPr>
          <w:p>
            <w:pPr>
              <w:spacing w:after="0"/>
              <w:rPr>
                <w:sz w:val="21"/>
                <w:szCs w:val="21"/>
                <w:color w:val="auto"/>
              </w:rPr>
            </w:pPr>
          </w:p>
        </w:tc>
        <w:tc>
          <w:tcPr>
            <w:tcW w:w="180" w:type="dxa"/>
            <w:vAlign w:val="bottom"/>
            <w:shd w:val="clear" w:color="auto" w:fill="D2EDFE"/>
          </w:tcPr>
          <w:p>
            <w:pPr>
              <w:spacing w:after="0"/>
              <w:rPr>
                <w:sz w:val="21"/>
                <w:szCs w:val="21"/>
                <w:color w:val="auto"/>
              </w:rPr>
            </w:pPr>
          </w:p>
        </w:tc>
        <w:tc>
          <w:tcPr>
            <w:tcW w:w="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(149)</w:t>
            </w:r>
          </w:p>
        </w:tc>
        <w:tc>
          <w:tcPr>
            <w:tcW w:w="128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Net income/(loss)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Our financial results for the six months ended June 30, 2023 compared to the six months ended June 30, 2022 reflect the addition of six de</w:t>
      </w:r>
      <w:r>
        <w:rPr>
          <w:rFonts w:ascii="Arial" w:cs="Arial" w:eastAsia="Arial" w:hAnsi="Arial"/>
          <w:sz w:val="18"/>
          <w:szCs w:val="18"/>
          <w:i w:val="1"/>
          <w:iCs w:val="1"/>
          <w:color w:val="auto"/>
        </w:rPr>
        <w:t xml:space="preserve"> </w:t>
      </w:r>
      <w:r>
        <w:rPr>
          <w:rFonts w:ascii="Arial" w:cs="Arial" w:eastAsia="Arial" w:hAnsi="Arial"/>
          <w:sz w:val="18"/>
          <w:szCs w:val="18"/>
          <w:color w:val="auto"/>
        </w:rPr>
        <w:t>novo centers.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$12.3 million, or 13.8%, compared to the same period in 2022. The increase is the result of adding six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increased our footprint from 19 centers to 25 centers as of June 30, 2023. Revenue per case decreased (0.4)% over the prior year as the increase in overall revenue was volume based.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Cost of Service—</w:t>
      </w:r>
      <w:r>
        <w:rPr>
          <w:rFonts w:ascii="Arial" w:cs="Arial" w:eastAsia="Arial" w:hAnsi="Arial"/>
          <w:sz w:val="17"/>
          <w:szCs w:val="17"/>
          <w:color w:val="auto"/>
        </w:rPr>
        <w:t>Our cost of service increased $5.8 million, or 18.1%, compared to the six months ended June 30, 2022. This increase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opening six de novo centers since the 2022 period. Cost of service was 37.4% and 36.0% as a percentage of revenue for the six months ended June 30, 2023 and 2022, respectively. This increase is primarily due to adding six de novo centers over the prior period. Cost of service as a percent of revenue is higher for a de novo center in the first year until the center reaches maturity, which can take up to two years.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Selling, general and administrative expenses increased $1.6 million, or 3.2%,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2023 compared to the same period in 2022. This increase is related to additional expenses we incurred for marketing and corporate support as we grow our center count through de novo expansion and providing support for our centers, offset by a decrease in our equity-based compensation expense. We expect our marketing and corporate support costs to continue to increase as we open de novo centers and expand the support we provide to our centers. Selling, general and administrative expenses as a percent of revenue were 51.0% and 56.3% for the six months ended June 30, 2023 and 2022, respectively.</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expenses consist of advertising costs for social, digital and traditional marketing and sales and marketing personnel. Total selling expenses were approximately $18.0 million and $14.7 million for the six months ended June 30, 2023 and 2022, respectively. Our customer acquisition costs were approximately $2,300 and $2,150 per customer in the six months ended June 30, 2023 and 2022,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$33.8 million and $35.5 million for the six months ended June 30, 2023 and 2022, respectively. A decrease in equity-based compensation is the main driver of this decrease, offset by the costs associated with expanding our corporate team. We expect to continue growing our corporate team to support the opening of new centers and growth at existing facilities.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$4.9 million for the six months ended June 30,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$3.8 million for the same period in 2022. This increase is the result of having six additional de novo centers during the six months ended June 30, 2023 as compared to the 2022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(Gain)/loss on disposal of long-lived assets—</w:t>
      </w:r>
      <w:r>
        <w:rPr>
          <w:rFonts w:ascii="Arial" w:cs="Arial" w:eastAsia="Arial" w:hAnsi="Arial"/>
          <w:sz w:val="18"/>
          <w:szCs w:val="18"/>
          <w:color w:val="auto"/>
        </w:rPr>
        <w:t>We recognized a $202.0 thousand gain related to the disposal of previous leasehold improvements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relocation to expand certain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Interest expense increased to $3.6 million from $3.1 million for the six months ended June 30, 2023 and 2022,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due to rising interest rates in the current year as compared to prior year.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Our effective tax rate is 49.6% and 57.5% for the six months ended June 30, 2023 and 2022, respectively. The main driver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 between the effective and statutory rate is non-deductible executive compensation under Section 162(m) of the Internal Revenue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the addition of new procedure rooms to our existing locations, and payments due under our existing credit facilities for at least the next 12 months.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had $20.8 million in cash and cash equivalents and an available amount of $5.0 million under our revolving credit facility. We do not have any letters of credit outstanding as of June 30, 2023.</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$9.6 million in cash and cash equivalents and an available amount of $5.0 million under our revolving credit facility. We did not have any letters of credit outstanding as of December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net cash provided by (used for) operating activities, investing activities and financing activities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620"/>
              <w:spacing w:after="0"/>
              <w:rPr>
                <w:sz w:val="20"/>
                <w:szCs w:val="20"/>
                <w:color w:val="auto"/>
              </w:rPr>
            </w:pPr>
            <w:r>
              <w:rPr>
                <w:rFonts w:ascii="Arial" w:cs="Arial" w:eastAsia="Arial" w:hAnsi="Arial"/>
                <w:sz w:val="14"/>
                <w:szCs w:val="14"/>
                <w:b w:val="1"/>
                <w:bCs w:val="1"/>
                <w:color w:val="auto"/>
                <w:w w:val="95"/>
              </w:rPr>
              <w:t>Six Months Ended</w:t>
            </w:r>
          </w:p>
        </w:tc>
        <w:tc>
          <w:tcPr>
            <w:tcW w:w="940" w:type="dxa"/>
            <w:vAlign w:val="bottom"/>
          </w:tcPr>
          <w:p>
            <w:pPr>
              <w:spacing w:after="0"/>
              <w:rPr>
                <w:sz w:val="14"/>
                <w:szCs w:val="14"/>
                <w:color w:val="auto"/>
              </w:rPr>
            </w:pPr>
          </w:p>
        </w:tc>
      </w:t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29"/>
        </w:trPr>
        <w:tc>
          <w:tcPr>
            <w:tcW w:w="814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Cash Flows Provided By (Used For):</w:t>
            </w:r>
          </w:p>
        </w:tc>
        <w:tc>
          <w:tcPr>
            <w:tcW w:w="360" w:type="dxa"/>
            <w:vAlign w:val="bottom"/>
            <w:shd w:val="clear" w:color="auto" w:fill="D2EDFE"/>
          </w:tcPr>
          <w:p>
            <w:pPr>
              <w:spacing w:after="0"/>
              <w:rPr>
                <w:sz w:val="19"/>
                <w:szCs w:val="19"/>
                <w:color w:val="auto"/>
              </w:rPr>
            </w:pPr>
          </w:p>
        </w:tc>
        <w:tc>
          <w:tcPr>
            <w:tcW w:w="1140" w:type="dxa"/>
            <w:vAlign w:val="bottom"/>
            <w:shd w:val="clear" w:color="auto" w:fill="D2EDFE"/>
          </w:tcPr>
          <w:p>
            <w:pPr>
              <w:spacing w:after="0"/>
              <w:rPr>
                <w:sz w:val="19"/>
                <w:szCs w:val="19"/>
                <w:color w:val="auto"/>
              </w:rPr>
            </w:pPr>
          </w:p>
        </w:tc>
        <w:tc>
          <w:tcPr>
            <w:tcW w:w="12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40" w:type="dxa"/>
            <w:vAlign w:val="bottom"/>
            <w:shd w:val="clear" w:color="auto" w:fill="D2EDFE"/>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18,455</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17,478</w:t>
            </w:r>
          </w:p>
        </w:tc>
      </w:tr>
      <w:tr>
        <w:trPr>
          <w:trHeight w:val="229"/>
        </w:trPr>
        <w:tc>
          <w:tcPr>
            <w:tcW w:w="814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40" w:type="dxa"/>
            <w:vAlign w:val="bottom"/>
            <w:shd w:val="clear" w:color="auto" w:fill="D2EDFE"/>
          </w:tcPr>
          <w:p>
            <w:pPr>
              <w:ind w:left="580"/>
              <w:spacing w:after="0"/>
              <w:rPr>
                <w:sz w:val="20"/>
                <w:szCs w:val="20"/>
                <w:color w:val="auto"/>
              </w:rPr>
            </w:pPr>
            <w:r>
              <w:rPr>
                <w:rFonts w:ascii="Arial" w:cs="Arial" w:eastAsia="Arial" w:hAnsi="Arial"/>
                <w:sz w:val="18"/>
                <w:szCs w:val="18"/>
                <w:color w:val="auto"/>
                <w:w w:val="94"/>
              </w:rPr>
              <w:t>(5,976)</w:t>
            </w:r>
          </w:p>
        </w:tc>
        <w:tc>
          <w:tcPr>
            <w:tcW w:w="12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(6,139)</w:t>
            </w:r>
          </w:p>
        </w:tc>
      </w:tr>
      <w:tr>
        <w:trPr>
          <w:trHeight w:val="237"/>
        </w:trPr>
        <w:tc>
          <w:tcPr>
            <w:tcW w:w="814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94"/>
              </w:rPr>
              <w:t>(1,316)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36"/>
        </w:trPr>
        <w:tc>
          <w:tcPr>
            <w:tcW w:w="8140" w:type="dxa"/>
            <w:vAlign w:val="bottom"/>
            <w:shd w:val="clear" w:color="auto" w:fill="D2EDFE"/>
          </w:tcPr>
          <w:p>
            <w:pPr>
              <w:ind w:left="1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D2EDFE"/>
          </w:tcPr>
          <w:p>
            <w:pPr>
              <w:spacing w:after="0"/>
              <w:rPr>
                <w:sz w:val="20"/>
                <w:szCs w:val="20"/>
                <w:color w:val="auto"/>
              </w:rPr>
            </w:pPr>
          </w:p>
        </w:tc>
        <w:tc>
          <w:tcPr>
            <w:tcW w:w="1140" w:type="dxa"/>
            <w:vAlign w:val="bottom"/>
            <w:shd w:val="clear" w:color="auto" w:fill="D2EDFE"/>
          </w:tcPr>
          <w:p>
            <w:pPr>
              <w:ind w:left="580"/>
              <w:spacing w:after="0"/>
              <w:rPr>
                <w:sz w:val="20"/>
                <w:szCs w:val="20"/>
                <w:color w:val="auto"/>
              </w:rPr>
            </w:pPr>
            <w:r>
              <w:rPr>
                <w:rFonts w:ascii="Arial" w:cs="Arial" w:eastAsia="Arial" w:hAnsi="Arial"/>
                <w:sz w:val="18"/>
                <w:szCs w:val="18"/>
                <w:color w:val="auto"/>
                <w:w w:val="98"/>
              </w:rPr>
              <w:t>11,163</w:t>
            </w:r>
          </w:p>
        </w:tc>
        <w:tc>
          <w:tcPr>
            <w:tcW w:w="120" w:type="dxa"/>
            <w:vAlign w:val="bottom"/>
            <w:shd w:val="clear" w:color="auto" w:fill="D2EDFE"/>
          </w:tcPr>
          <w:p>
            <w:pPr>
              <w:spacing w:after="0"/>
              <w:rPr>
                <w:sz w:val="20"/>
                <w:szCs w:val="20"/>
                <w:color w:val="auto"/>
              </w:rPr>
            </w:pPr>
          </w:p>
        </w:tc>
        <w:tc>
          <w:tcPr>
            <w:tcW w:w="540" w:type="dxa"/>
            <w:vAlign w:val="bottom"/>
            <w:shd w:val="clear" w:color="auto" w:fill="D2EDFE"/>
          </w:tcPr>
          <w:p>
            <w:pPr>
              <w:spacing w:after="0"/>
              <w:rPr>
                <w:sz w:val="20"/>
                <w:szCs w:val="20"/>
                <w:color w:val="auto"/>
              </w:rPr>
            </w:pP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9,906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source of our operating cash flow is the collection of patient payments received prior to performing surgical procedures. For the six months ended June 30, 2023, our operating cash flow increased by $1.0 million compared to the same period in 2022. The increase is the result of adding six de novo centers which increased our footprint from 19 centers to 25 centers and our number of procedure rooms from 38 to 53 as of June 30, 2023. At June 30, 2023, we had working capital of $2.9 million compared to $(5.6) million at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2023 and 2022 was $6.0 million and $6.1 million, respectively. Investing activities during both periods were attributable to the expansion of multiple existing facilities and opening of de novo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during the six months ended June 30, 2023 was $1.3 million. During the six months ended June 30, 2023, we made principal payments on our debt of $1.1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2022 was $1.4 million. For the six months ended June 30, 2022, we made distributions to EBS Parent, LLC of $1.0 million and paid scheduled principal payments on our debt of $0.4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total indebtedness was $83.0 million and $83.5 million, which includes unamortized deferred financing costs and issuance discount of $0.9 million and $1.5 million, as of June 30, 2023 and December 31,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June 30, 2023, the interest rate was 7.65%.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summary of significant accounting policies is disclosed in our Annual Report on Form 10-K dated March 10, 2023 filed with the Securities and Exchange Commission (“SEC”) pursuant to Section 13 or 15d of the Securities Exchange Act of 1934, as amended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March 10,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June 30,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2022 dated March 10, 2023 and filed with the Securities and Exchange Commission ("SEC") pursuant to Section 13 or 15(d) of the 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743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7"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Description of Exhibit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Certificate of Incorporation</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u w:val="single" w:color="auto"/>
          <w:color w:val="auto"/>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u w:val="single" w:color="auto"/>
          <w:color w:val="auto"/>
        </w:rPr>
        <w:t>Certification of Principal Executive Officer Pursuant to 18 U.S.C. Section 1350, as Adopted Pursuant to Section 906 of the Sarbanes-Oxley Act of 2002</w:t>
      </w:r>
    </w:p>
    <w:p>
      <w:pPr>
        <w:spacing w:after="0" w:line="5" w:lineRule="exact"/>
        <w:rPr>
          <w:sz w:val="20"/>
          <w:szCs w:val="20"/>
          <w:color w:val="auto"/>
        </w:rPr>
      </w:pPr>
    </w:p>
    <w:p>
      <w:pPr>
        <w:sectPr>
          <w:pgSz w:w="11900" w:h="16838" w:orient="portrait"/>
          <w:cols w:equalWidth="0" w:num="2">
            <w:col w:w="1280" w:space="180"/>
            <w:col w:w="9780"/>
          </w:cols>
          <w:pgMar w:left="320" w:top="517" w:right="339" w:bottom="1440" w:gutter="0" w:footer="0" w:header="0"/>
        </w:sect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2"/>
              </w:rPr>
              <w:t>32.2*†</w:t>
            </w:r>
          </w:p>
        </w:tc>
        <w:tc>
          <w:tcPr>
            <w:tcW w:w="220" w:type="dxa"/>
            <w:vAlign w:val="bottom"/>
          </w:tcPr>
          <w:p>
            <w:pPr>
              <w:spacing w:after="0"/>
              <w:rPr>
                <w:sz w:val="17"/>
                <w:szCs w:val="17"/>
                <w:color w:val="auto"/>
              </w:rPr>
            </w:pPr>
          </w:p>
        </w:tc>
        <w:tc>
          <w:tcPr>
            <w:tcW w:w="9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2"/>
              </w:rPr>
              <w:t>Oxley Act of 2002</w:t>
            </w:r>
          </w:p>
        </w:tc>
        <w:tc>
          <w:tcPr>
            <w:tcW w:w="8380" w:type="dxa"/>
            <w:vAlign w:val="bottom"/>
          </w:tcPr>
          <w:p>
            <w:pPr>
              <w:spacing w:after="0"/>
              <w:rPr>
                <w:sz w:val="15"/>
                <w:szCs w:val="15"/>
                <w:color w:val="auto"/>
              </w:rPr>
            </w:pPr>
          </w:p>
        </w:tc>
      </w:tr>
      <w:tr>
        <w:trPr>
          <w:trHeight w:val="249"/>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30"/>
        </w:trPr>
        <w:tc>
          <w:tcPr>
            <w:tcW w:w="920" w:type="dxa"/>
            <w:vAlign w:val="bottom"/>
          </w:tcPr>
          <w:p>
            <w:pPr>
              <w:spacing w:after="0"/>
              <w:rPr>
                <w:sz w:val="20"/>
                <w:szCs w:val="20"/>
                <w:color w:val="auto"/>
              </w:rPr>
            </w:pP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101.SCH*</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8"/>
              </w:rPr>
              <w:t>101.CAL*</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7"/>
              </w:rPr>
              <w:t>101.DEF*</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9"/>
              </w:rPr>
              <w:t>101.LAB*</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101.PRE*</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660" w:hanging="652"/>
        <w:spacing w:after="0" w:line="253" w:lineRule="auto"/>
        <w:tabs>
          <w:tab w:leader="none" w:pos="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ind w:left="840"/>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Dean</w:t>
            </w:r>
          </w:p>
        </w:tc>
      </w:tr>
      <w:tr>
        <w:trPr>
          <w:trHeight w:val="224"/>
        </w:trPr>
        <w:tc>
          <w:tcPr>
            <w:tcW w:w="234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Dennis Dean</w:t>
            </w:r>
          </w:p>
        </w:tc>
      </w:tr>
      <w:tr>
        <w:trPr>
          <w:trHeight w:val="241"/>
        </w:trPr>
        <w:tc>
          <w:tcPr>
            <w:tcW w:w="23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3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r>
        <w:trPr>
          <w:trHeight w:val="526"/>
        </w:trPr>
        <w:tc>
          <w:tcPr>
            <w:tcW w:w="2340" w:type="dxa"/>
            <w:vAlign w:val="bottom"/>
          </w:tcPr>
          <w:p>
            <w:pPr>
              <w:spacing w:after="0"/>
              <w:rPr>
                <w:sz w:val="20"/>
                <w:szCs w:val="20"/>
                <w:color w:val="auto"/>
              </w:rPr>
            </w:pPr>
            <w:r>
              <w:rPr>
                <w:rFonts w:ascii="Arial" w:cs="Arial" w:eastAsia="Arial" w:hAnsi="Arial"/>
                <w:sz w:val="18"/>
                <w:szCs w:val="18"/>
                <w:color w:val="auto"/>
              </w:rPr>
              <w:t>Date: August 11, 2023</w:t>
            </w:r>
          </w:p>
        </w:tc>
        <w:tc>
          <w:tcPr>
            <w:tcW w:w="5920" w:type="dxa"/>
            <w:vAlign w:val="bottom"/>
          </w:tcPr>
          <w:p>
            <w:pPr>
              <w:spacing w:after="0"/>
              <w:rPr>
                <w:sz w:val="24"/>
                <w:szCs w:val="24"/>
                <w:color w:val="auto"/>
              </w:rPr>
            </w:pPr>
          </w:p>
        </w:tc>
      </w:tr>
      <w:tr>
        <w:trPr>
          <w:trHeight w:val="824"/>
        </w:trPr>
        <w:tc>
          <w:tcPr>
            <w:tcW w:w="2340" w:type="dxa"/>
            <w:vAlign w:val="bottom"/>
          </w:tcPr>
          <w:p>
            <w:pPr>
              <w:spacing w:after="0"/>
              <w:rPr>
                <w:sz w:val="24"/>
                <w:szCs w:val="24"/>
                <w:color w:val="auto"/>
              </w:rPr>
            </w:pPr>
          </w:p>
        </w:tc>
        <w:tc>
          <w:tcPr>
            <w:tcW w:w="5920" w:type="dxa"/>
            <w:vAlign w:val="bottom"/>
          </w:tcPr>
          <w:p>
            <w:pPr>
              <w:ind w:left="320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517" w:right="339" w:bottom="1440" w:gutter="0" w:footer="0" w:header="0"/>
        </w:sectPr>
      </w:pPr>
    </w:p>
    <w:bookmarkStart w:id="28" w:name="page29"/>
    <w:bookmarkEnd w:id="28"/>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jc w:val="center"/>
        <w:spacing w:after="0" w:line="219"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AIRSCULPT TECHNOLOGIES,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jc w:val="center"/>
        <w:spacing w:after="0"/>
        <w:rPr>
          <w:sz w:val="20"/>
          <w:szCs w:val="20"/>
          <w:color w:val="auto"/>
        </w:rPr>
      </w:pPr>
      <w:r>
        <w:rPr>
          <w:rFonts w:ascii="Arial" w:cs="Arial" w:eastAsia="Arial" w:hAnsi="Arial"/>
          <w:sz w:val="18"/>
          <w:szCs w:val="18"/>
          <w:b w:val="1"/>
          <w:bCs w:val="1"/>
          <w:color w:val="auto"/>
        </w:rPr>
        <w:t>NAME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AirSculpt Technologies,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18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The address of the Corporation’s registered office in the State of Delaware is Corporation Trust Center, 1209 Orange Street, Wilmington, Delaware 19801, County of New Castle, and the name of its registered agent at such address is The Corporation Trust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69"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as it now exists or may hereafter be amended and supplemented.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Corporation is authorized to issue two classes of stock to be designated, respectively, “</w:t>
      </w:r>
      <w:r>
        <w:rPr>
          <w:rFonts w:ascii="Arial" w:cs="Arial" w:eastAsia="Arial" w:hAnsi="Arial"/>
          <w:sz w:val="16"/>
          <w:szCs w:val="16"/>
          <w:u w:val="single" w:color="auto"/>
          <w:color w:val="auto"/>
        </w:rPr>
        <w:t>Common Stock</w:t>
      </w:r>
      <w:r>
        <w:rPr>
          <w:rFonts w:ascii="Arial" w:cs="Arial" w:eastAsia="Arial" w:hAnsi="Arial"/>
          <w:sz w:val="16"/>
          <w:szCs w:val="16"/>
          <w:color w:val="auto"/>
        </w:rPr>
        <w:t>” and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total number</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shares of capital stock which the Corporation shall have authority to issue is 500,000,000. The total number of shares of Common Stock that the Corporation is authorized to issue is 450,000,000, having a par value of $0.001 per share, and the total number of shares of Preferred Stock that the Corporation is authorized to issue is 50,000,000, having a par value of $0.001 per share.</w:t>
      </w:r>
    </w:p>
    <w:p>
      <w:pPr>
        <w:spacing w:after="0" w:line="176"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ind w:left="660" w:hanging="21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firstLine="1000"/>
        <w:spacing w:after="0" w:line="224" w:lineRule="auto"/>
        <w:tabs>
          <w:tab w:leader="none" w:pos="1187"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and outstanding from time to time.</w:t>
      </w:r>
    </w:p>
    <w:p>
      <w:pPr>
        <w:spacing w:after="0" w:line="176" w:lineRule="exact"/>
        <w:rPr>
          <w:rFonts w:ascii="Arial" w:cs="Arial" w:eastAsia="Arial" w:hAnsi="Arial"/>
          <w:sz w:val="18"/>
          <w:szCs w:val="18"/>
          <w:color w:val="auto"/>
        </w:rPr>
      </w:pPr>
    </w:p>
    <w:p>
      <w:pPr>
        <w:jc w:val="both"/>
        <w:ind w:firstLine="1000"/>
        <w:spacing w:after="0" w:line="244"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Amended and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Amended and Restated Certificate (including any Certificate of Designation) or pursuant to the DGCL.</w:t>
      </w:r>
    </w:p>
    <w:p>
      <w:pPr>
        <w:spacing w:after="0" w:line="162" w:lineRule="exact"/>
        <w:rPr>
          <w:sz w:val="20"/>
          <w:szCs w:val="20"/>
          <w:color w:val="auto"/>
        </w:rPr>
      </w:pPr>
    </w:p>
    <w:p>
      <w:pPr>
        <w:jc w:val="both"/>
        <w:ind w:firstLine="992"/>
        <w:spacing w:after="0" w:line="224" w:lineRule="auto"/>
        <w:rPr>
          <w:sz w:val="20"/>
          <w:szCs w:val="20"/>
          <w:color w:val="auto"/>
        </w:rPr>
      </w:pPr>
      <w:r>
        <w:rPr>
          <w:rFonts w:ascii="Arial" w:cs="Arial" w:eastAsia="Arial" w:hAnsi="Arial"/>
          <w:sz w:val="18"/>
          <w:szCs w:val="18"/>
          <w:color w:val="auto"/>
        </w:rPr>
        <w:t>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84" w:lineRule="exact"/>
        <w:rPr>
          <w:sz w:val="20"/>
          <w:szCs w:val="20"/>
          <w:color w:val="auto"/>
        </w:rPr>
      </w:pPr>
    </w:p>
    <w:p>
      <w:pPr>
        <w:jc w:val="both"/>
        <w:ind w:firstLine="1000"/>
        <w:spacing w:after="0" w:line="229"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63" w:lineRule="exact"/>
        <w:rPr>
          <w:rFonts w:ascii="Arial" w:cs="Arial" w:eastAsia="Arial" w:hAnsi="Arial"/>
          <w:sz w:val="18"/>
          <w:szCs w:val="18"/>
          <w:color w:val="auto"/>
        </w:rPr>
      </w:pPr>
    </w:p>
    <w:p>
      <w:pPr>
        <w:jc w:val="both"/>
        <w:ind w:firstLine="1000"/>
        <w:spacing w:after="0" w:line="223" w:lineRule="auto"/>
        <w:tabs>
          <w:tab w:leader="none" w:pos="1176"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number of shares of Common Stock held by each such holder.</w:t>
      </w:r>
    </w:p>
    <w:p>
      <w:pPr>
        <w:spacing w:after="0" w:line="162" w:lineRule="exact"/>
        <w:rPr>
          <w:rFonts w:ascii="Arial" w:cs="Arial" w:eastAsia="Arial" w:hAnsi="Arial"/>
          <w:sz w:val="18"/>
          <w:szCs w:val="18"/>
          <w:color w:val="auto"/>
        </w:rPr>
      </w:pPr>
    </w:p>
    <w:p>
      <w:pPr>
        <w:ind w:left="660" w:hanging="21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19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Authority is hereby expressly granted to the Board of Directors from time to time to issue the Preferred Stock in one or more series, and in</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connection with the creation of any such series, by adopting a resolution or resolutions providing for the issuance of the shares thereof and by filing a certificate of designation relating thereto in accordance with the DGCL (a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to determine and fix the number of shares of such series and such voting powers, full or limited, or no voting powers, and such designations, preferences and relative participating, optional or other special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foregoing, the resolution or resolutions providing for the creation and issuance of any series of Preferred Stock may provide that such series shall be superior or rank equally or be junior to any other series of Preferred Stock to the extent permitted by law and this Amended and Restated Certificate (including any Certificate of Designation). Except as otherwise required by law, holders of any series of Preferred Stock shall be entitled only to such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voting rights, if any, as shall expressly be granted thereto by this Amended and Restated Certificate (including any Certificate of Designation).</w:t>
      </w:r>
    </w:p>
    <w:p>
      <w:pPr>
        <w:spacing w:after="0" w:line="180"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6"/>
          <w:szCs w:val="16"/>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w:t>
      </w:r>
    </w:p>
    <w:p>
      <w:pPr>
        <w:spacing w:after="0"/>
        <w:rPr>
          <w:sz w:val="20"/>
          <w:szCs w:val="20"/>
          <w:color w:val="auto"/>
        </w:rPr>
      </w:pPr>
      <w:r>
        <w:rPr>
          <w:rFonts w:ascii="Arial" w:cs="Arial" w:eastAsia="Arial" w:hAnsi="Arial"/>
          <w:sz w:val="18"/>
          <w:szCs w:val="18"/>
          <w:color w:val="auto"/>
        </w:rPr>
        <w:t>DGCL.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management of the business and for the conduct of the affairs of the Corporation it is further provided that:</w:t>
      </w:r>
    </w:p>
    <w:p>
      <w:pPr>
        <w:spacing w:after="0" w:line="185"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6"/>
          <w:szCs w:val="16"/>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w:t>
      </w:r>
    </w:p>
    <w:p>
      <w:pPr>
        <w:jc w:val="both"/>
        <w:spacing w:after="0" w:line="234" w:lineRule="auto"/>
        <w:rPr>
          <w:sz w:val="20"/>
          <w:szCs w:val="20"/>
          <w:color w:val="auto"/>
        </w:rPr>
      </w:pPr>
      <w:r>
        <w:rPr>
          <w:rFonts w:ascii="Arial" w:cs="Arial" w:eastAsia="Arial" w:hAnsi="Arial"/>
          <w:sz w:val="16"/>
          <w:szCs w:val="16"/>
          <w:color w:val="auto"/>
        </w:rPr>
        <w:t>Class I directors shall serve for a term expiring at the first annual meeting of the stockholders following the date of this Amended and Restated Certificate; the initial Class II directors shall serve for a term expiring at the second annual meeting of the stockholders following the date of this Amended and Restated Certificate; and the initial Class III directors shall serve for a term expiring at the third annual meeting of the stockholders following the date of</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Amended and Restated Certificate. At each annual meeting of the stockholders of the Corporation beginning with the first annual meeting of the stockholders following the date of this Amended and Restated Certificate,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 Each director shall hold office until his or her</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 subject to the terms of the Stockholders Agreement, dated on or about the date hereof, by and among the Corporation and the other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signatories thereto (so long as such agreement remains in effect) (as the same may be amended, supplemented, restated or otherwise modified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highlight w:val="white"/>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0" w:name="page31"/>
    <w:bookmarkEnd w:id="30"/>
    <w:p>
      <w:pPr>
        <w:jc w:val="both"/>
        <w:ind w:firstLine="441"/>
        <w:spacing w:after="0" w:line="248" w:lineRule="auto"/>
        <w:rPr>
          <w:sz w:val="20"/>
          <w:szCs w:val="20"/>
          <w:color w:val="auto"/>
        </w:rPr>
      </w:pPr>
      <w:r>
        <w:rPr>
          <w:rFonts w:ascii="Arial" w:cs="Arial" w:eastAsia="Arial" w:hAnsi="Arial"/>
          <w:sz w:val="16"/>
          <w:szCs w:val="16"/>
          <w:color w:val="auto"/>
        </w:rPr>
        <w:t>B. Except as otherwise expressly provided by the DGCL or this Amended and Restated Certificate, the business and affairs of the Corporation shall be managed by or under the direction of the Board of Directors. The number of directors which shall constitute the whole Board of Directors shall be fixed</w:t>
      </w:r>
    </w:p>
    <w:p>
      <w:pPr>
        <w:spacing w:after="0"/>
        <w:rPr>
          <w:sz w:val="20"/>
          <w:szCs w:val="20"/>
          <w:color w:val="auto"/>
        </w:rPr>
      </w:pPr>
      <w:r>
        <w:rPr>
          <w:rFonts w:ascii="Arial" w:cs="Arial" w:eastAsia="Arial" w:hAnsi="Arial"/>
          <w:sz w:val="17"/>
          <w:szCs w:val="17"/>
          <w:color w:val="auto"/>
        </w:rPr>
        <w:t>exclusively by one or more resolutions adopted from time to time by the Board of Directors, subject to the terms of the Stockholders Agreement.</w:t>
      </w:r>
    </w:p>
    <w:p>
      <w:pPr>
        <w:spacing w:after="0" w:line="180"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6"/>
          <w:szCs w:val="16"/>
          <w:color w:val="auto"/>
        </w:rPr>
        <w:t>C. Subject to the special rights of the holders of one or more outstanding series of Preferred Stock to elect directors and subject to the terms of the Stockholders Agreement, the Board of Directors or any individual director may be removed from office at any time but only for cause and only by the</w:t>
      </w:r>
    </w:p>
    <w:p>
      <w:pPr>
        <w:jc w:val="both"/>
        <w:spacing w:after="0" w:line="226" w:lineRule="auto"/>
        <w:rPr>
          <w:sz w:val="20"/>
          <w:szCs w:val="20"/>
          <w:color w:val="auto"/>
        </w:rPr>
      </w:pPr>
      <w:r>
        <w:rPr>
          <w:rFonts w:ascii="Arial" w:cs="Arial" w:eastAsia="Arial" w:hAnsi="Arial"/>
          <w:sz w:val="18"/>
          <w:szCs w:val="18"/>
          <w:color w:val="auto"/>
        </w:rPr>
        <w:t>affirmative vote of the holders of at least two-thirds (66 and 2/3%) of the voting power of all of the then outstanding shares of voting stock of the Corporation entitled to vote at an election of directors.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 Subject to the special rights of the holders of one or more outstanding series of Preferred Stock to elect directors and subject to the terms of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Stockholders Agreement,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76"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Amended and Restated Certificate (including any Certificate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Designation). Notwithstanding anything to the contrary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the number of directors that may be elected by the holders of any such series of Preferred Stock shall be in addition to the number fixed pursuant to paragraph B of this </w:t>
      </w:r>
      <w:r>
        <w:rPr>
          <w:rFonts w:ascii="Arial" w:cs="Arial" w:eastAsia="Arial" w:hAnsi="Arial"/>
          <w:sz w:val="16"/>
          <w:szCs w:val="16"/>
          <w:u w:val="single" w:color="auto"/>
          <w:color w:val="auto"/>
        </w:rPr>
        <w:t>Article V</w:t>
      </w:r>
      <w:r>
        <w:rPr>
          <w:rFonts w:ascii="Arial" w:cs="Arial" w:eastAsia="Arial" w:hAnsi="Arial"/>
          <w:sz w:val="16"/>
          <w:szCs w:val="16"/>
          <w:color w:val="auto"/>
        </w:rPr>
        <w:t>, and the total number of directors constituting the whole Board of Directors shall be automatically adjusted accordingly. Except as otherwise provided in the Certificate of Designation(s) in respect of one or more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forthwith terminate (in which case each such director thereupon shall cease to be qualified as, and shall cease to be, a director) and the total authorized number of directors of the Corporation shall automatically be reduced accordingly.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 In furtherance and not in limitation of the powers conferred by statute, the Board of Directors is expressly authorized to adopt, amend or repeal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Amended and Restated Bylaws of the Corporation (as amended and/or restated from time to time, the “ </w:t>
      </w:r>
      <w:r>
        <w:rPr>
          <w:rFonts w:ascii="Arial" w:cs="Arial" w:eastAsia="Arial" w:hAnsi="Arial"/>
          <w:sz w:val="16"/>
          <w:szCs w:val="16"/>
          <w:u w:val="single" w:color="auto"/>
          <w:color w:val="auto"/>
        </w:rPr>
        <w:t>Bylaws</w:t>
      </w:r>
      <w:r>
        <w:rPr>
          <w:rFonts w:ascii="Arial" w:cs="Arial" w:eastAsia="Arial" w:hAnsi="Arial"/>
          <w:sz w:val="16"/>
          <w:szCs w:val="16"/>
          <w:color w:val="auto"/>
        </w:rPr>
        <w:t>”). In addition to any vote of the holders of any class or series of stock of the Corporation required by applicable law or by this Amended and Restated Certificate (including any Certificate of Designation in respect of one or more series of Preferred Stock) or the Bylaws of the Corporation, the adoption, amendment or repeal of the Bylaws by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stockholders of the Corporation shall require the affirmative vote of the holders of at least two-thirds (66 and 2/3%) of the voting power of all of the then outstanding shares of voting stock of the Corporation entitled to vote generally in an election of directors.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 The directors of the Corporation need not be elected by written ballot unless the Bylaws so provide.</w:t>
      </w:r>
    </w:p>
    <w:p>
      <w:pPr>
        <w:spacing w:after="0" w:line="198" w:lineRule="exact"/>
        <w:rPr>
          <w:sz w:val="20"/>
          <w:szCs w:val="20"/>
          <w:color w:val="auto"/>
        </w:rPr>
      </w:pPr>
    </w:p>
    <w:p>
      <w:pPr>
        <w:jc w:val="both"/>
        <w:ind w:firstLine="449"/>
        <w:spacing w:after="0" w:line="219"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so long as the VSCP Investor (as defined in the Stockholders Agreement) is entitled to designate at least one VSCP Designee (as defined in the Stockholders Agreement), a quorum for a meeting of the Board shall require the attendance in person, telephonically, or in any other manner permitted by applicable law, of at least one VSCP Designee. For so long as Rollins (as defined in the Stockholders Agreement) is entitled to designate a Rollins Designee (as defined in the Stockholders Agreement), a quorum for a meeting of the Board shall require the attendance in person, telephonically, or in any other manner permitted by applicable law, of the Rollins Designee.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18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series, may be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31" w:name="page32"/>
    <w:bookmarkEnd w:id="31"/>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w:t>
      </w:r>
    </w:p>
    <w:p>
      <w:pPr>
        <w:jc w:val="both"/>
        <w:spacing w:after="0" w:line="218" w:lineRule="auto"/>
        <w:rPr>
          <w:sz w:val="20"/>
          <w:szCs w:val="20"/>
          <w:color w:val="auto"/>
        </w:rPr>
      </w:pPr>
      <w:r>
        <w:rPr>
          <w:rFonts w:ascii="Arial" w:cs="Arial" w:eastAsia="Arial" w:hAnsi="Arial"/>
          <w:sz w:val="18"/>
          <w:szCs w:val="18"/>
          <w:color w:val="auto"/>
        </w:rPr>
        <w:t>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7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B. Subject to the special rights of the holders of one or more series of Preferred Stock, special meetings of the stockholders of the Corporation may be called, for any purpose or purposes, at any time only by or at the direction of the Board of Directors or the Chairperson of the Board of Directors, and shall not be called by any other person or persons.</w:t>
      </w:r>
    </w:p>
    <w:p>
      <w:pPr>
        <w:spacing w:after="0" w:line="17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C.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jc w:val="center"/>
        <w:spacing w:after="0"/>
        <w:rPr>
          <w:sz w:val="20"/>
          <w:szCs w:val="20"/>
          <w:color w:val="auto"/>
        </w:rPr>
      </w:pPr>
      <w:r>
        <w:rPr>
          <w:rFonts w:ascii="Arial" w:cs="Arial" w:eastAsia="Arial" w:hAnsi="Arial"/>
          <w:sz w:val="18"/>
          <w:szCs w:val="18"/>
          <w:b w:val="1"/>
          <w:bCs w:val="1"/>
          <w:color w:val="auto"/>
        </w:rPr>
        <w:t>LIABILITY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 director of the Corporation shall have any personal liability to the Corporation or its stockholders for monetary damages for any breach of</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fiduciary duty as a director, except to the extent such exemption from liability or limitation thereof is not permitted under the DGCL as the same exists or hereafter may be amended. Any amendment, repeal or modification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the adoption of any provision of the Amended and Restated Certificate inconsistent with this </w:t>
      </w:r>
      <w:r>
        <w:rPr>
          <w:rFonts w:ascii="Arial" w:cs="Arial" w:eastAsia="Arial" w:hAnsi="Arial"/>
          <w:sz w:val="16"/>
          <w:szCs w:val="16"/>
          <w:u w:val="single" w:color="auto"/>
          <w:color w:val="auto"/>
        </w:rPr>
        <w:t>Article VII</w:t>
      </w:r>
      <w:r>
        <w:rPr>
          <w:rFonts w:ascii="Arial" w:cs="Arial" w:eastAsia="Arial" w:hAnsi="Arial"/>
          <w:sz w:val="16"/>
          <w:szCs w:val="16"/>
          <w:color w:val="auto"/>
        </w:rPr>
        <w:t>, shall not adversely affect any right or protection of a director of the Corporation with respect to any act or</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omission occurring prior to such amendment, repeal, modification or adoption. If the DGCL is amended after approval by the stockholders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to authorize corporate action further eliminating or limiting the personal liability of directors, then the liability of a director of the Corporation shall be eliminated or limited to the fullest extent permitted by the DGCL as so amended.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Corporation shall have the power to provide rights to indemnification and advancement of expenses to its current and former officers, directors,</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employees and agents and to any person who is or was serving at the request of the Corporation as a director, officer, employee or agent of another corporation, partnership, joint venture, trust or other enterprise.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 AND CORPORATE OPPORTUNITIES</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In recognition and anticipation that (i) certain directors, officers, principals, partners, members, managers, employees, agents and/or other representatives of the VSCP Entities (“</w:t>
      </w:r>
      <w:r>
        <w:rPr>
          <w:rFonts w:ascii="Arial" w:cs="Arial" w:eastAsia="Arial" w:hAnsi="Arial"/>
          <w:sz w:val="16"/>
          <w:szCs w:val="16"/>
          <w:u w:val="single" w:color="auto"/>
          <w:color w:val="auto"/>
        </w:rPr>
        <w:t>VSCP Non-Employee Agents</w:t>
      </w:r>
      <w:r>
        <w:rPr>
          <w:rFonts w:ascii="Arial" w:cs="Arial" w:eastAsia="Arial" w:hAnsi="Arial"/>
          <w:sz w:val="16"/>
          <w:szCs w:val="16"/>
          <w:color w:val="auto"/>
          <w:highlight w:val="white"/>
        </w:rPr>
        <w:t>”) and their respective Affiliates and Affiliated Entities (each, as defined below)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05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serve as directors, officers or agents of the Corporation and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 the VSCP Entities and their respective Affiliates may now engage and may continue to</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engage in the same or similar activities or related lines of business as those in which the Corporation, directly or indirectly, may engage and/or other </w:t>
      </w:r>
      <w:r>
        <w:rPr>
          <w:rFonts w:ascii="Arial" w:cs="Arial" w:eastAsia="Arial" w:hAnsi="Arial"/>
          <w:sz w:val="16"/>
          <w:szCs w:val="16"/>
          <w:color w:val="auto"/>
          <w:highlight w:val="white"/>
        </w:rPr>
        <w:t xml:space="preserve">business activities that overlap with or compete with those in which the Corporation, directly or indirectly, may engage, the provisions of this Article IX </w:t>
      </w:r>
      <w:r>
        <w:rPr>
          <w:rFonts w:ascii="Arial" w:cs="Arial" w:eastAsia="Arial" w:hAnsi="Arial"/>
          <w:sz w:val="16"/>
          <w:szCs w:val="16"/>
          <w:color w:val="auto"/>
        </w:rPr>
        <w:t>are</w:t>
      </w:r>
      <w:r>
        <w:rPr>
          <w:rFonts w:ascii="Arial" w:cs="Arial" w:eastAsia="Arial" w:hAnsi="Arial"/>
          <w:sz w:val="16"/>
          <w:szCs w:val="16"/>
          <w:color w:val="auto"/>
          <w:highlight w:val="white"/>
        </w:rPr>
        <w:t xml:space="preserve"> </w:t>
      </w:r>
      <w:r>
        <w:rPr>
          <w:rFonts w:ascii="Arial" w:cs="Arial" w:eastAsia="Arial" w:hAnsi="Arial"/>
          <w:sz w:val="16"/>
          <w:szCs w:val="16"/>
          <w:color w:val="auto"/>
        </w:rPr>
        <w:t>set forth to regulate and define the conduct of certain affairs of the Corporation with respect to certain classes or categories of business opportunities as they may involve any of the VSCP Non-Employee Agents, the VSCP Entities or their respective Affiliates, and the powers, rights, duties and liabilities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the Corporation and its directors, officers and stockholders in connection therewith.</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 None of (i) any VSCP Non-Employee Agent or his or her Affiliates or Affiliated Entities or (ii) the VSCP Entities or any of their respective Affiliates (the Persons (as defined below)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highlight w:val="white"/>
        </w:rPr>
        <w:t>” and, individually, as an “</w:t>
      </w:r>
      <w:r>
        <w:rPr>
          <w:rFonts w:ascii="Arial" w:cs="Arial" w:eastAsia="Arial" w:hAnsi="Arial"/>
          <w:sz w:val="16"/>
          <w:szCs w:val="16"/>
          <w:u w:val="single" w:color="auto"/>
          <w:color w:val="auto"/>
          <w:highlight w:val="white"/>
        </w:rPr>
        <w:t>Identified Person</w:t>
      </w:r>
      <w:r>
        <w:rPr>
          <w:rFonts w:ascii="Arial" w:cs="Arial" w:eastAsia="Arial" w:hAnsi="Arial"/>
          <w:sz w:val="16"/>
          <w:szCs w:val="16"/>
          <w:color w:val="auto"/>
        </w:rPr>
        <w:t xml:space="preserve"> </w:t>
      </w:r>
      <w:r>
        <w:rPr>
          <w:rFonts w:ascii="Arial" w:cs="Arial" w:eastAsia="Arial" w:hAnsi="Arial"/>
          <w:sz w:val="16"/>
          <w:szCs w:val="16"/>
          <w:color w:val="auto"/>
          <w:highlight w:val="white"/>
        </w:rPr>
        <w:t>”) shall,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51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Corporation for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w:t>
      </w:r>
    </w:p>
    <w:p>
      <w:pPr>
        <w:jc w:val="both"/>
        <w:spacing w:after="0" w:line="234" w:lineRule="auto"/>
        <w:rPr>
          <w:sz w:val="20"/>
          <w:szCs w:val="20"/>
          <w:color w:val="auto"/>
        </w:rPr>
      </w:pPr>
      <w:r>
        <w:rPr>
          <w:rFonts w:ascii="Arial" w:cs="Arial" w:eastAsia="Arial" w:hAnsi="Arial"/>
          <w:sz w:val="16"/>
          <w:szCs w:val="16"/>
          <w:color w:val="auto"/>
        </w:rPr>
        <w:t>a corporate opportunity for an Identified Person and the Corporation or any of its Affiliates, except as provided in paragraph C of this Article IX. Subject to said paragraph C of this Article IX, in the event that any Identified Person acquires knowledge of a potential transaction or other business opportunity that may be a corporate opportunity for itself, herself or himself and the Corporation or any of its Affiliates, such Identified Person shall,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9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opportunity for itself, herself or himself, or offers or directs such corporate opportunity to another Person or does not communicate information regarding </w:t>
      </w:r>
      <w:r>
        <w:rPr>
          <w:rFonts w:ascii="Arial" w:cs="Arial" w:eastAsia="Arial" w:hAnsi="Arial"/>
          <w:sz w:val="18"/>
          <w:szCs w:val="18"/>
          <w:color w:val="auto"/>
          <w:highlight w:val="white"/>
        </w:rPr>
        <w:t>such corporate opportunity to the Corporation.</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C. Notwithstanding the foregoing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highlight w:val="white"/>
        </w:rPr>
        <w:t>, the Corporation does not renounce its interest in any corporate opportunity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to any VSCP Non-Employee Agent if such opportunity is expressly offered to such VSCP Non-Employee Agent solely in his or her capacity as a director, officer or agent of the Corporation, and the provisions of paragraph B of this Article IX shall not apply to any such corporate opportunity. In addition, notwithstanding anything to the contrary set forth herein,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release any Person who is or was an employee of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Corporation or any of its subsidiaries from any obligations or duties that such Person may have pursuant to any other agreement that such Person may have </w:t>
      </w:r>
      <w:r>
        <w:rPr>
          <w:rFonts w:ascii="Arial" w:cs="Arial" w:eastAsia="Arial" w:hAnsi="Arial"/>
          <w:sz w:val="18"/>
          <w:szCs w:val="18"/>
          <w:color w:val="auto"/>
          <w:highlight w:val="white"/>
        </w:rPr>
        <w:t>with the Corporation or any such subsidiary.</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D. In addition to and notwithstanding the foregoing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highlight w:val="white"/>
        </w:rPr>
        <w:t>, a potential corporate opportunity shall not be deemed to be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spacing w:after="0" w:line="218" w:lineRule="auto"/>
        <w:rPr>
          <w:sz w:val="20"/>
          <w:szCs w:val="20"/>
          <w:color w:val="auto"/>
        </w:rPr>
      </w:pPr>
      <w:r>
        <w:rPr>
          <w:rFonts w:ascii="Arial" w:cs="Arial" w:eastAsia="Arial" w:hAnsi="Arial"/>
          <w:sz w:val="18"/>
          <w:szCs w:val="18"/>
          <w:color w:val="auto"/>
        </w:rPr>
        <w:t xml:space="preserve">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w:t>
      </w:r>
      <w:r>
        <w:rPr>
          <w:rFonts w:ascii="Arial" w:cs="Arial" w:eastAsia="Arial" w:hAnsi="Arial"/>
          <w:sz w:val="18"/>
          <w:szCs w:val="18"/>
          <w:color w:val="auto"/>
          <w:highlight w:val="white"/>
        </w:rPr>
        <w:t>in which the Corporation has no interest or reasonable expectancy.</w:t>
      </w:r>
    </w:p>
    <w:p>
      <w:pPr>
        <w:spacing w:after="0" w:line="6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 xml:space="preserve">E. For purposes of this Article IX, (i) “Affiliate” </w:t>
      </w:r>
      <w:r>
        <w:rPr>
          <w:rFonts w:ascii="Arial" w:cs="Arial" w:eastAsia="Arial" w:hAnsi="Arial"/>
          <w:sz w:val="16"/>
          <w:szCs w:val="16"/>
          <w:color w:val="auto"/>
          <w:highlight w:val="white"/>
        </w:rPr>
        <w:t>shall mean (a) in respect of a VSCP Non-Employee Agent, any Person that, directly or indirectly,</w:t>
      </w:r>
      <w:r>
        <w:rPr>
          <w:rFonts w:ascii="Arial" w:cs="Arial" w:eastAsia="Arial" w:hAnsi="Arial"/>
          <w:sz w:val="16"/>
          <w:szCs w:val="16"/>
          <w:color w:val="auto"/>
        </w:rPr>
        <w:t xml:space="preserve"> is controlled by such VSCP Non-Employee Agent (other than the Corporation and any entity that is controlled by the Corporation), (b) in respect of any of the VSCP Entities, a Person that, directly or indirectly, is controlled by any of the VSCP Entities, controls any of the VSCP Entities or is under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471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 xml:space="preserve">control with any of the VSCP Entities and shall include any principal, member, director, partner, stockholder, officer, employee or other representative of any of the foregoing (other than the Corporation and any entity that is controlled by the Corporation), and (c) in respect of the Corporation, any Person that, </w:t>
      </w:r>
      <w:r>
        <w:rPr>
          <w:rFonts w:ascii="Arial" w:cs="Arial" w:eastAsia="Arial" w:hAnsi="Arial"/>
          <w:sz w:val="16"/>
          <w:szCs w:val="16"/>
          <w:color w:val="auto"/>
          <w:highlight w:val="white"/>
        </w:rPr>
        <w:t>directly or indirectly, is controlled by the Corporation; (ii) “Affiliated Entity” shall mean (A) any Person of which a VSCP Non-Employee Agent serves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753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16"/>
          <w:szCs w:val="16"/>
          <w:color w:val="auto"/>
          <w:highlight w:val="white"/>
        </w:rPr>
        <w:t>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“Person” shall mean any individual, corporation, general or limited partnership, limited liability company, joint venture, trust, association or any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6775450</wp:posOffset>
            </wp:positionH>
            <wp:positionV relativeFrom="paragraph">
              <wp:posOffset>-139700</wp:posOffset>
            </wp:positionV>
            <wp:extent cx="310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4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F. For the purposes of this Article IX</w:t>
      </w:r>
      <w:r>
        <w:rPr>
          <w:rFonts w:ascii="Arial" w:cs="Arial" w:eastAsia="Arial" w:hAnsi="Arial"/>
          <w:sz w:val="16"/>
          <w:szCs w:val="16"/>
          <w:color w:val="auto"/>
          <w:highlight w:val="white"/>
        </w:rPr>
        <w:t>, “control ,” including the terms “controlling</w:t>
      </w:r>
      <w:r>
        <w:rPr>
          <w:rFonts w:ascii="Arial" w:cs="Arial" w:eastAsia="Arial" w:hAnsi="Arial"/>
          <w:sz w:val="16"/>
          <w:szCs w:val="16"/>
          <w:color w:val="auto"/>
        </w:rPr>
        <w:t xml:space="preserve">,” “controlled by” </w:t>
      </w:r>
      <w:r>
        <w:rPr>
          <w:rFonts w:ascii="Arial" w:cs="Arial" w:eastAsia="Arial" w:hAnsi="Arial"/>
          <w:sz w:val="16"/>
          <w:szCs w:val="16"/>
          <w:color w:val="auto"/>
          <w:highlight w:val="white"/>
        </w:rPr>
        <w:t>and “under common control with,” means the</w:t>
      </w:r>
      <w:r>
        <w:rPr>
          <w:rFonts w:ascii="Arial" w:cs="Arial" w:eastAsia="Arial" w:hAnsi="Arial"/>
          <w:sz w:val="16"/>
          <w:szCs w:val="16"/>
          <w:color w:val="auto"/>
        </w:rPr>
        <w:t xml:space="preserv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582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jc w:val="both"/>
        <w:spacing w:after="0" w:line="227" w:lineRule="auto"/>
        <w:rPr>
          <w:sz w:val="20"/>
          <w:szCs w:val="20"/>
          <w:color w:val="auto"/>
        </w:rPr>
      </w:pPr>
      <w:r>
        <w:rPr>
          <w:rFonts w:ascii="Arial" w:cs="Arial" w:eastAsia="Arial" w:hAnsi="Arial"/>
          <w:sz w:val="17"/>
          <w:szCs w:val="17"/>
          <w:color w:val="auto"/>
        </w:rPr>
        <w:t xml:space="preserve">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the restrictions on business combinations set forth in Article X of this Amended and Restated Certificate, as an agent, bank, </w:t>
      </w:r>
      <w:r>
        <w:rPr>
          <w:rFonts w:ascii="Arial" w:cs="Arial" w:eastAsia="Arial" w:hAnsi="Arial"/>
          <w:sz w:val="17"/>
          <w:szCs w:val="17"/>
          <w:color w:val="auto"/>
          <w:highlight w:val="white"/>
        </w:rPr>
        <w:t>broker, nominee, custodian or trustee for one or more owners who do not individually or as a group have control of such entity.</w:t>
      </w:r>
    </w:p>
    <w:p>
      <w:pPr>
        <w:spacing w:after="0" w:line="6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G. To the fullest extent permitted by law, any Person purchasing or otherwise acquiring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DGCL SECTION 203 AND BUSINESS COMBINATIONS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12(g) of the Exchange Act of 1934, as amended (the “Exchange Act”), </w:t>
      </w:r>
      <w:r>
        <w:rPr>
          <w:rFonts w:ascii="Arial" w:cs="Arial" w:eastAsia="Arial" w:hAnsi="Arial"/>
          <w:sz w:val="18"/>
          <w:szCs w:val="18"/>
          <w:color w:val="auto"/>
          <w:highlight w:val="white"/>
        </w:rPr>
        <w:t>with any interested stockholder (as defined below) for a period of three years</w:t>
      </w:r>
      <w:r>
        <w:rPr>
          <w:rFonts w:ascii="Arial" w:cs="Arial" w:eastAsia="Arial" w:hAnsi="Arial"/>
          <w:sz w:val="18"/>
          <w:szCs w:val="18"/>
          <w:color w:val="auto"/>
        </w:rPr>
        <w:t xml:space="preserve"> </w:t>
      </w:r>
      <w:r>
        <w:rPr>
          <w:rFonts w:ascii="Arial" w:cs="Arial" w:eastAsia="Arial" w:hAnsi="Arial"/>
          <w:sz w:val="18"/>
          <w:szCs w:val="18"/>
          <w:color w:val="auto"/>
          <w:highlight w:val="white"/>
        </w:rPr>
        <w:t>following the time that such stockholder became an interested stockholder, unless:</w:t>
      </w:r>
    </w:p>
    <w:p>
      <w:pPr>
        <w:spacing w:after="0" w:line="67" w:lineRule="exact"/>
        <w:rPr>
          <w:sz w:val="20"/>
          <w:szCs w:val="20"/>
          <w:color w:val="auto"/>
        </w:rPr>
      </w:pPr>
    </w:p>
    <w:p>
      <w:pPr>
        <w:ind w:left="440" w:firstLine="657"/>
        <w:spacing w:after="0" w:line="235" w:lineRule="auto"/>
        <w:tabs>
          <w:tab w:leader="none" w:pos="1408" w:val="left"/>
        </w:tabs>
        <w:numPr>
          <w:ilvl w:val="2"/>
          <w:numId w:val="12"/>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53" w:lineRule="exact"/>
        <w:rPr>
          <w:rFonts w:ascii="Arial" w:cs="Arial" w:eastAsia="Arial" w:hAnsi="Arial"/>
          <w:sz w:val="18"/>
          <w:szCs w:val="18"/>
          <w:color w:val="auto"/>
        </w:rPr>
      </w:pPr>
    </w:p>
    <w:p>
      <w:pPr>
        <w:jc w:val="both"/>
        <w:ind w:left="440" w:firstLine="657"/>
        <w:spacing w:after="0" w:line="235" w:lineRule="auto"/>
        <w:tabs>
          <w:tab w:leader="none" w:pos="1424" w:val="left"/>
        </w:tabs>
        <w:numPr>
          <w:ilvl w:val="2"/>
          <w:numId w:val="1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55" w:lineRule="exact"/>
        <w:rPr>
          <w:rFonts w:ascii="Arial" w:cs="Arial" w:eastAsia="Arial" w:hAnsi="Arial"/>
          <w:sz w:val="17"/>
          <w:szCs w:val="17"/>
          <w:color w:val="auto"/>
        </w:rPr>
      </w:pPr>
    </w:p>
    <w:p>
      <w:pPr>
        <w:jc w:val="both"/>
        <w:ind w:left="440" w:firstLine="657"/>
        <w:spacing w:after="0" w:line="229" w:lineRule="auto"/>
        <w:tabs>
          <w:tab w:leader="none" w:pos="1291" w:val="left"/>
        </w:tabs>
        <w:numPr>
          <w:ilvl w:val="2"/>
          <w:numId w:val="1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(66 and 2/3%) of the voting power of all of the then outstanding shares of voting stock of the Corporation which is not owned by the interested stockholder.</w:t>
      </w:r>
    </w:p>
    <w:p>
      <w:pPr>
        <w:spacing w:after="0" w:line="5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C. For purposes of this </w:t>
      </w:r>
      <w:r>
        <w:rPr>
          <w:rFonts w:ascii="Arial" w:cs="Arial" w:eastAsia="Arial" w:hAnsi="Arial"/>
          <w:sz w:val="18"/>
          <w:szCs w:val="18"/>
          <w:u w:val="single" w:color="auto"/>
          <w:color w:val="auto"/>
        </w:rPr>
        <w:t>Article X</w:t>
      </w:r>
      <w:r>
        <w:rPr>
          <w:rFonts w:ascii="Arial" w:cs="Arial" w:eastAsia="Arial" w:hAnsi="Arial"/>
          <w:sz w:val="18"/>
          <w:szCs w:val="18"/>
          <w:color w:val="auto"/>
          <w:highlight w:val="white"/>
        </w:rPr>
        <w:t>, references to:</w:t>
      </w:r>
    </w:p>
    <w:p>
      <w:pPr>
        <w:spacing w:after="0" w:line="76" w:lineRule="exact"/>
        <w:rPr>
          <w:rFonts w:ascii="Arial" w:cs="Arial" w:eastAsia="Arial" w:hAnsi="Arial"/>
          <w:sz w:val="18"/>
          <w:szCs w:val="18"/>
          <w:color w:val="auto"/>
        </w:rPr>
      </w:pPr>
    </w:p>
    <w:p>
      <w:pPr>
        <w:ind w:left="440" w:firstLine="657"/>
        <w:spacing w:after="0" w:line="246" w:lineRule="auto"/>
        <w:tabs>
          <w:tab w:leader="none" w:pos="149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highlight w:val="white"/>
        </w:rPr>
        <w:t>” means a person that directly, or indirectly through one or more intermediaries, controls, or is controlled by, or is under</w:t>
      </w:r>
      <w:r>
        <w:rPr>
          <w:rFonts w:ascii="Arial" w:cs="Arial" w:eastAsia="Arial" w:hAnsi="Arial"/>
          <w:sz w:val="18"/>
          <w:szCs w:val="18"/>
          <w:color w:val="auto"/>
        </w:rPr>
        <w:t xml:space="preserve"> </w:t>
      </w:r>
      <w:r>
        <w:rPr>
          <w:rFonts w:ascii="Arial" w:cs="Arial" w:eastAsia="Arial" w:hAnsi="Arial"/>
          <w:sz w:val="18"/>
          <w:szCs w:val="18"/>
          <w:color w:val="auto"/>
          <w:highlight w:val="white"/>
        </w:rPr>
        <w:t>common control with, another person.</w:t>
      </w:r>
    </w:p>
    <w:p>
      <w:pPr>
        <w:spacing w:after="0" w:line="48" w:lineRule="exact"/>
        <w:rPr>
          <w:rFonts w:ascii="Arial" w:cs="Arial" w:eastAsia="Arial" w:hAnsi="Arial"/>
          <w:sz w:val="18"/>
          <w:szCs w:val="18"/>
          <w:color w:val="auto"/>
        </w:rPr>
      </w:pPr>
    </w:p>
    <w:p>
      <w:pPr>
        <w:jc w:val="both"/>
        <w:ind w:left="440" w:firstLine="657"/>
        <w:spacing w:after="0" w:line="248" w:lineRule="auto"/>
        <w:tabs>
          <w:tab w:leader="none" w:pos="1493" w:val="left"/>
        </w:tabs>
        <w:numPr>
          <w:ilvl w:val="2"/>
          <w:numId w:val="13"/>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w:t>
      </w:r>
    </w:p>
    <w:p>
      <w:pPr>
        <w:ind w:left="440" w:firstLine="9"/>
        <w:spacing w:after="0" w:line="268" w:lineRule="auto"/>
        <w:tabs>
          <w:tab w:leader="none" w:pos="71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any trust or other estate in which such person has at least a 20% beneficial interest or as to which such person serves as trustee or in a similar </w:t>
      </w:r>
      <w:r>
        <w:rPr>
          <w:rFonts w:ascii="Arial" w:cs="Arial" w:eastAsia="Arial" w:hAnsi="Arial"/>
          <w:sz w:val="16"/>
          <w:szCs w:val="16"/>
          <w:color w:val="auto"/>
          <w:highlight w:val="white"/>
        </w:rPr>
        <w:t>fiduciary capacity; and (iii) any relative or spouse of such person, or any relative of such spouse, who has the same residence as such person.</w:t>
      </w:r>
    </w:p>
    <w:p>
      <w:pPr>
        <w:spacing w:after="0" w:line="32" w:lineRule="exact"/>
        <w:rPr>
          <w:rFonts w:ascii="Arial" w:cs="Arial" w:eastAsia="Arial" w:hAnsi="Arial"/>
          <w:sz w:val="16"/>
          <w:szCs w:val="16"/>
          <w:color w:val="auto"/>
        </w:rPr>
      </w:pPr>
    </w:p>
    <w:p>
      <w:pPr>
        <w:ind w:left="1280" w:hanging="183"/>
        <w:spacing w:after="0"/>
        <w:tabs>
          <w:tab w:leader="none" w:pos="1280" w:val="left"/>
        </w:tabs>
        <w:numPr>
          <w:ilvl w:val="2"/>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highlight w:val="white"/>
        </w:rPr>
        <w:t>,” when used in reference to the Corporation and any interested stockholder of the Corporation, means:</w:t>
      </w:r>
    </w:p>
    <w:p>
      <w:pPr>
        <w:spacing w:after="0" w:line="101" w:lineRule="exact"/>
        <w:rPr>
          <w:rFonts w:ascii="Arial" w:cs="Arial" w:eastAsia="Arial" w:hAnsi="Arial"/>
          <w:sz w:val="17"/>
          <w:szCs w:val="17"/>
          <w:color w:val="auto"/>
        </w:rPr>
      </w:pPr>
    </w:p>
    <w:p>
      <w:pPr>
        <w:jc w:val="both"/>
        <w:ind w:left="1000" w:firstLine="648"/>
        <w:spacing w:after="0" w:line="223" w:lineRule="auto"/>
        <w:tabs>
          <w:tab w:leader="none" w:pos="1987" w:val="left"/>
        </w:tabs>
        <w:numPr>
          <w:ilvl w:val="3"/>
          <w:numId w:val="14"/>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54" w:lineRule="exact"/>
        <w:rPr>
          <w:rFonts w:ascii="Arial" w:cs="Arial" w:eastAsia="Arial" w:hAnsi="Arial"/>
          <w:sz w:val="18"/>
          <w:szCs w:val="18"/>
          <w:color w:val="auto"/>
        </w:rPr>
      </w:pPr>
    </w:p>
    <w:p>
      <w:pPr>
        <w:jc w:val="both"/>
        <w:ind w:left="1000" w:firstLine="648"/>
        <w:spacing w:after="0" w:line="219" w:lineRule="auto"/>
        <w:tabs>
          <w:tab w:leader="none" w:pos="1995" w:val="left"/>
        </w:tabs>
        <w:numPr>
          <w:ilvl w:val="3"/>
          <w:numId w:val="1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68" w:lineRule="exact"/>
        <w:rPr>
          <w:rFonts w:ascii="Arial" w:cs="Arial" w:eastAsia="Arial" w:hAnsi="Arial"/>
          <w:sz w:val="18"/>
          <w:szCs w:val="18"/>
          <w:color w:val="auto"/>
        </w:rPr>
      </w:pPr>
    </w:p>
    <w:p>
      <w:pPr>
        <w:jc w:val="both"/>
        <w:ind w:left="1000" w:firstLine="648"/>
        <w:spacing w:after="0"/>
        <w:tabs>
          <w:tab w:leader="none" w:pos="2086" w:val="left"/>
        </w:tabs>
        <w:numPr>
          <w:ilvl w:val="3"/>
          <w:numId w:val="14"/>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55" w:lineRule="exact"/>
        <w:rPr>
          <w:rFonts w:ascii="Arial" w:cs="Arial" w:eastAsia="Arial" w:hAnsi="Arial"/>
          <w:sz w:val="16"/>
          <w:szCs w:val="16"/>
          <w:color w:val="auto"/>
        </w:rPr>
      </w:pPr>
    </w:p>
    <w:p>
      <w:pPr>
        <w:jc w:val="both"/>
        <w:ind w:left="1000" w:firstLine="648"/>
        <w:spacing w:after="0" w:line="223" w:lineRule="auto"/>
        <w:tabs>
          <w:tab w:leader="none" w:pos="1989" w:val="left"/>
        </w:tabs>
        <w:numPr>
          <w:ilvl w:val="3"/>
          <w:numId w:val="14"/>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-3564890</wp:posOffset>
            </wp:positionV>
            <wp:extent cx="684974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49745" cy="24892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any purchase or redemption of any shares of stock not caused, directly or indirectly, by the interested stockholder; or</w:t>
      </w:r>
    </w:p>
    <w:p>
      <w:pPr>
        <w:spacing w:after="0" w:line="77" w:lineRule="exact"/>
        <w:rPr>
          <w:sz w:val="20"/>
          <w:szCs w:val="20"/>
          <w:color w:val="auto"/>
        </w:rPr>
      </w:pPr>
    </w:p>
    <w:p>
      <w:pPr>
        <w:jc w:val="both"/>
        <w:ind w:left="640" w:firstLine="648"/>
        <w:spacing w:after="0" w:line="248" w:lineRule="auto"/>
        <w:tabs>
          <w:tab w:leader="none" w:pos="166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ind w:left="860" w:hanging="2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(iv) above) provided by or through the Corporation or any direct or indirect majority-owned subsidiary.</w:t>
      </w:r>
    </w:p>
    <w:p>
      <w:pPr>
        <w:spacing w:after="0" w:line="61" w:lineRule="exact"/>
        <w:rPr>
          <w:sz w:val="20"/>
          <w:szCs w:val="20"/>
          <w:color w:val="auto"/>
        </w:rPr>
      </w:pPr>
    </w:p>
    <w:p>
      <w:pPr>
        <w:ind w:firstLine="640"/>
        <w:spacing w:after="0" w:line="246" w:lineRule="auto"/>
        <w:tabs>
          <w:tab w:leader="none" w:pos="10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highlight w:val="white"/>
        </w:rPr>
        <w:t>,” including the terms “controlling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highlight w:val="white"/>
        </w:rPr>
        <w:t>,” shall have the meaning set forth</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in paragraph F in </w:t>
      </w:r>
      <w:r>
        <w:rPr>
          <w:rFonts w:ascii="Arial" w:cs="Arial" w:eastAsia="Arial" w:hAnsi="Arial"/>
          <w:sz w:val="18"/>
          <w:szCs w:val="18"/>
          <w:u w:val="single" w:color="auto"/>
          <w:color w:val="auto"/>
          <w:highlight w:val="white"/>
        </w:rPr>
        <w:t>Article IX</w:t>
      </w:r>
      <w:r>
        <w:rPr>
          <w:rFonts w:ascii="Arial" w:cs="Arial" w:eastAsia="Arial" w:hAnsi="Arial"/>
          <w:sz w:val="18"/>
          <w:szCs w:val="18"/>
          <w:color w:val="auto"/>
          <w:highlight w:val="white"/>
        </w:rPr>
        <w:t>.</w:t>
      </w:r>
    </w:p>
    <w:p>
      <w:pPr>
        <w:spacing w:after="0" w:line="48" w:lineRule="exact"/>
        <w:rPr>
          <w:rFonts w:ascii="Arial" w:cs="Arial" w:eastAsia="Arial" w:hAnsi="Arial"/>
          <w:sz w:val="18"/>
          <w:szCs w:val="18"/>
          <w:color w:val="auto"/>
        </w:rPr>
      </w:pPr>
    </w:p>
    <w:p>
      <w:pPr>
        <w:jc w:val="both"/>
        <w:ind w:firstLine="640"/>
        <w:spacing w:after="0" w:line="225" w:lineRule="auto"/>
        <w:tabs>
          <w:tab w:leader="none" w:pos="10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VSCP, any VSCP Direct Transferee, any VSCP Indirect Transferee or any of their respective Affiliates or successors or any “group,” or any member of any such group, to which such persons are a party under Rule 13d-5 of the Exchange Act, (b) any person whose ownership of shares in excess of the 15% limitation set forth herein is the result of any action taken solely by the Corporation or (c) Rollins;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t>
      </w:r>
      <w:r>
        <w:rPr>
          <w:rFonts w:ascii="Arial" w:cs="Arial" w:eastAsia="Arial" w:hAnsi="Arial"/>
          <w:sz w:val="17"/>
          <w:szCs w:val="17"/>
          <w:color w:val="auto"/>
          <w:highlight w:val="white"/>
        </w:rPr>
        <w:t>warrants or options, or otherwise.</w:t>
      </w:r>
    </w:p>
    <w:p>
      <w:pPr>
        <w:spacing w:after="0" w:line="61" w:lineRule="exact"/>
        <w:rPr>
          <w:rFonts w:ascii="Arial" w:cs="Arial" w:eastAsia="Arial" w:hAnsi="Arial"/>
          <w:sz w:val="17"/>
          <w:szCs w:val="17"/>
          <w:color w:val="auto"/>
        </w:rPr>
      </w:pPr>
    </w:p>
    <w:p>
      <w:pPr>
        <w:ind w:firstLine="640"/>
        <w:spacing w:after="0" w:line="246" w:lineRule="auto"/>
        <w:tabs>
          <w:tab w:leader="none" w:pos="8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highlight w:val="white"/>
        </w:rPr>
        <w:t>” and “</w:t>
      </w:r>
      <w:r>
        <w:rPr>
          <w:rFonts w:ascii="Arial" w:cs="Arial" w:eastAsia="Arial" w:hAnsi="Arial"/>
          <w:sz w:val="18"/>
          <w:szCs w:val="18"/>
          <w:u w:val="single" w:color="auto"/>
          <w:color w:val="auto"/>
          <w:highlight w:val="white"/>
        </w:rPr>
        <w:t>owned</w:t>
      </w:r>
      <w:r>
        <w:rPr>
          <w:rFonts w:ascii="Arial" w:cs="Arial" w:eastAsia="Arial" w:hAnsi="Arial"/>
          <w:sz w:val="18"/>
          <w:szCs w:val="18"/>
          <w:color w:val="auto"/>
          <w:highlight w:val="white"/>
        </w:rPr>
        <w:t>,” when used with respect to any stock, means a person that individually or with or</w:t>
      </w:r>
      <w:r>
        <w:rPr>
          <w:rFonts w:ascii="Arial" w:cs="Arial" w:eastAsia="Arial" w:hAnsi="Arial"/>
          <w:sz w:val="18"/>
          <w:szCs w:val="18"/>
          <w:color w:val="auto"/>
        </w:rPr>
        <w:t xml:space="preserve"> through any of its Affiliates or associates:</w:t>
      </w:r>
    </w:p>
    <w:p>
      <w:pPr>
        <w:spacing w:after="0" w:line="48" w:lineRule="exact"/>
        <w:rPr>
          <w:rFonts w:ascii="Arial" w:cs="Arial" w:eastAsia="Arial" w:hAnsi="Arial"/>
          <w:sz w:val="18"/>
          <w:szCs w:val="18"/>
          <w:color w:val="auto"/>
        </w:rPr>
      </w:pPr>
    </w:p>
    <w:p>
      <w:pPr>
        <w:ind w:left="1120" w:hanging="176"/>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76" w:lineRule="exact"/>
        <w:rPr>
          <w:rFonts w:ascii="Arial" w:cs="Arial" w:eastAsia="Arial" w:hAnsi="Arial"/>
          <w:sz w:val="18"/>
          <w:szCs w:val="18"/>
          <w:color w:val="auto"/>
        </w:rPr>
      </w:pPr>
    </w:p>
    <w:p>
      <w:pPr>
        <w:jc w:val="both"/>
        <w:ind w:left="300" w:firstLine="644"/>
        <w:spacing w:after="0" w:line="229" w:lineRule="auto"/>
        <w:tabs>
          <w:tab w:leader="none" w:pos="1131"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71" w:lineRule="exact"/>
        <w:rPr>
          <w:rFonts w:ascii="Arial" w:cs="Arial" w:eastAsia="Arial" w:hAnsi="Arial"/>
          <w:sz w:val="17"/>
          <w:szCs w:val="17"/>
          <w:color w:val="auto"/>
        </w:rPr>
      </w:pPr>
    </w:p>
    <w:p>
      <w:pPr>
        <w:jc w:val="both"/>
        <w:ind w:left="300" w:firstLine="644"/>
        <w:spacing w:after="0" w:line="224" w:lineRule="auto"/>
        <w:tabs>
          <w:tab w:leader="none" w:pos="11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68" w:lineRule="exact"/>
        <w:rPr>
          <w:rFonts w:ascii="Arial" w:cs="Arial" w:eastAsia="Arial" w:hAnsi="Arial"/>
          <w:sz w:val="18"/>
          <w:szCs w:val="18"/>
          <w:color w:val="auto"/>
        </w:rPr>
      </w:pPr>
    </w:p>
    <w:p>
      <w:pPr>
        <w:ind w:left="820" w:hanging="18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highlight w:val="white"/>
        </w:rPr>
        <w:t>” means any individual, corporation, partnership, unincorporated association or other entity.</w:t>
      </w:r>
    </w:p>
    <w:p>
      <w:pPr>
        <w:spacing w:after="0" w:line="76" w:lineRule="exact"/>
        <w:rPr>
          <w:rFonts w:ascii="Arial" w:cs="Arial" w:eastAsia="Arial" w:hAnsi="Arial"/>
          <w:sz w:val="18"/>
          <w:szCs w:val="18"/>
          <w:color w:val="auto"/>
        </w:rPr>
      </w:pPr>
    </w:p>
    <w:p>
      <w:pPr>
        <w:ind w:left="820" w:hanging="18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76" w:lineRule="exact"/>
        <w:rPr>
          <w:rFonts w:ascii="Arial" w:cs="Arial" w:eastAsia="Arial" w:hAnsi="Arial"/>
          <w:sz w:val="18"/>
          <w:szCs w:val="18"/>
          <w:color w:val="auto"/>
        </w:rPr>
      </w:pPr>
    </w:p>
    <w:p>
      <w:pPr>
        <w:jc w:val="both"/>
        <w:ind w:firstLine="640"/>
        <w:spacing w:after="0" w:line="229" w:lineRule="auto"/>
        <w:tabs>
          <w:tab w:leader="none" w:pos="8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“voting stock” means stock of any class or series entitled to vote generally in the election of directors and, with respect to any entity that is </w:t>
      </w:r>
      <w:r>
        <w:rPr>
          <w:rFonts w:ascii="Arial" w:cs="Arial" w:eastAsia="Arial" w:hAnsi="Arial"/>
          <w:sz w:val="18"/>
          <w:szCs w:val="18"/>
          <w:color w:val="auto"/>
          <w:highlight w:val="white"/>
        </w:rPr>
        <w:t>not a corporation, any equity interest entitled to vote generally in the election of the governing body of such entity. Every reference to a percentage of voting stock shall refer to such percentages of the votes of such voting stock.</w:t>
      </w:r>
    </w:p>
    <w:p>
      <w:pPr>
        <w:spacing w:after="0" w:line="55" w:lineRule="exact"/>
        <w:rPr>
          <w:rFonts w:ascii="Arial" w:cs="Arial" w:eastAsia="Arial" w:hAnsi="Arial"/>
          <w:sz w:val="18"/>
          <w:szCs w:val="18"/>
          <w:color w:val="auto"/>
        </w:rPr>
      </w:pPr>
    </w:p>
    <w:p>
      <w:pPr>
        <w:ind w:left="900" w:hanging="26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VSCP</w:t>
      </w:r>
      <w:r>
        <w:rPr>
          <w:rFonts w:ascii="Arial" w:cs="Arial" w:eastAsia="Arial" w:hAnsi="Arial"/>
          <w:sz w:val="18"/>
          <w:szCs w:val="18"/>
          <w:color w:val="auto"/>
        </w:rPr>
        <w:t>” means the VSCP Entities and their respective successors and assigns.</w:t>
      </w:r>
    </w:p>
    <w:p>
      <w:pPr>
        <w:spacing w:after="0" w:line="76" w:lineRule="exact"/>
        <w:rPr>
          <w:rFonts w:ascii="Arial" w:cs="Arial" w:eastAsia="Arial" w:hAnsi="Arial"/>
          <w:sz w:val="18"/>
          <w:szCs w:val="18"/>
          <w:color w:val="auto"/>
        </w:rPr>
      </w:pPr>
    </w:p>
    <w:p>
      <w:pPr>
        <w:jc w:val="both"/>
        <w:ind w:firstLine="640"/>
        <w:spacing w:after="0" w:line="229" w:lineRule="auto"/>
        <w:tabs>
          <w:tab w:leader="none" w:pos="9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VSCP Direct Transferee</w:t>
      </w:r>
      <w:r>
        <w:rPr>
          <w:rFonts w:ascii="Arial" w:cs="Arial" w:eastAsia="Arial" w:hAnsi="Arial"/>
          <w:sz w:val="18"/>
          <w:szCs w:val="18"/>
          <w:color w:val="auto"/>
          <w:highlight w:val="white"/>
        </w:rPr>
        <w:t>” means any person that acquires (other than in a registered public offering) directly from VSCP or any of its</w:t>
      </w:r>
      <w:r>
        <w:rPr>
          <w:rFonts w:ascii="Arial" w:cs="Arial" w:eastAsia="Arial" w:hAnsi="Arial"/>
          <w:sz w:val="18"/>
          <w:szCs w:val="18"/>
          <w:color w:val="auto"/>
        </w:rPr>
        <w:t xml:space="preserve"> </w:t>
      </w:r>
      <w:r>
        <w:rPr>
          <w:rFonts w:ascii="Arial" w:cs="Arial" w:eastAsia="Arial" w:hAnsi="Arial"/>
          <w:sz w:val="18"/>
          <w:szCs w:val="18"/>
          <w:color w:val="auto"/>
          <w:highlight w:val="white"/>
        </w:rPr>
        <w:t>successors or any “group,” or any member of any such group, of which such persons are a party under Rule 13d-5 of the Exchange Act beneficial ownership of 15% or more of the then outstanding voting stock of the Corporation.</w:t>
      </w:r>
    </w:p>
    <w:p>
      <w:pPr>
        <w:spacing w:after="0" w:line="55" w:lineRule="exact"/>
        <w:rPr>
          <w:rFonts w:ascii="Arial" w:cs="Arial" w:eastAsia="Arial" w:hAnsi="Arial"/>
          <w:sz w:val="18"/>
          <w:szCs w:val="18"/>
          <w:color w:val="auto"/>
        </w:rPr>
      </w:pPr>
    </w:p>
    <w:p>
      <w:pPr>
        <w:ind w:firstLine="640"/>
        <w:spacing w:after="0" w:line="246" w:lineRule="auto"/>
        <w:tabs>
          <w:tab w:leader="none" w:pos="9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VSCP Entities</w:t>
      </w:r>
      <w:r>
        <w:rPr>
          <w:rFonts w:ascii="Arial" w:cs="Arial" w:eastAsia="Arial" w:hAnsi="Arial"/>
          <w:sz w:val="18"/>
          <w:szCs w:val="18"/>
          <w:color w:val="auto"/>
          <w:highlight w:val="white"/>
        </w:rPr>
        <w:t>” means investment funds affiliated with Vesey Street Capital Partners, L.L.C., a Delaware limited liability company, and</w:t>
      </w:r>
      <w:r>
        <w:rPr>
          <w:rFonts w:ascii="Arial" w:cs="Arial" w:eastAsia="Arial" w:hAnsi="Arial"/>
          <w:sz w:val="18"/>
          <w:szCs w:val="18"/>
          <w:color w:val="auto"/>
        </w:rPr>
        <w:t xml:space="preserve">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-5128895</wp:posOffset>
            </wp:positionV>
            <wp:extent cx="501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165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-4828540</wp:posOffset>
            </wp:positionV>
            <wp:extent cx="6917690" cy="127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17690" cy="127762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680" w:top="1440" w:right="339" w:bottom="1440" w:gutter="0" w:footer="0" w:header="0"/>
        </w:sectPr>
      </w:pPr>
    </w:p>
    <w:bookmarkStart w:id="35" w:name="page36"/>
    <w:bookmarkEnd w:id="35"/>
    <w:p>
      <w:pPr>
        <w:spacing w:after="0" w:line="76" w:lineRule="exact"/>
        <w:rPr>
          <w:sz w:val="20"/>
          <w:szCs w:val="20"/>
          <w:color w:val="auto"/>
        </w:rPr>
      </w:pPr>
    </w:p>
    <w:p>
      <w:pPr>
        <w:ind w:left="360" w:firstLine="640"/>
        <w:spacing w:after="0" w:line="289" w:lineRule="auto"/>
        <w:tabs>
          <w:tab w:leader="none" w:pos="12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“VSCP Indirect Transferee” </w:t>
      </w:r>
      <w:r>
        <w:rPr>
          <w:rFonts w:ascii="Arial" w:cs="Arial" w:eastAsia="Arial" w:hAnsi="Arial"/>
          <w:sz w:val="16"/>
          <w:szCs w:val="16"/>
          <w:color w:val="auto"/>
          <w:highlight w:val="white"/>
        </w:rPr>
        <w:t>means any person that acquires (other than in a registered public offering) directly from any VSCP Direct</w:t>
      </w:r>
      <w:r>
        <w:rPr>
          <w:rFonts w:ascii="Arial" w:cs="Arial" w:eastAsia="Arial" w:hAnsi="Arial"/>
          <w:sz w:val="16"/>
          <w:szCs w:val="16"/>
          <w:color w:val="auto"/>
        </w:rPr>
        <w:t xml:space="preserve"> </w:t>
      </w:r>
      <w:r>
        <w:rPr>
          <w:rFonts w:ascii="Arial" w:cs="Arial" w:eastAsia="Arial" w:hAnsi="Arial"/>
          <w:sz w:val="16"/>
          <w:szCs w:val="16"/>
          <w:color w:val="auto"/>
          <w:highlight w:val="white"/>
        </w:rPr>
        <w:t>Transferee or any other VSCP Indirect Transferee beneficial ownership of 15% or more of the then outstanding voting stock of the Corporation.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w:t>
      </w: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Unless the Corporation consents in writing to the selection of an alternative forum, (a) the Court of Chancery (the “</w:t>
      </w:r>
      <w:r>
        <w:rPr>
          <w:rFonts w:ascii="Arial" w:cs="Arial" w:eastAsia="Arial" w:hAnsi="Arial"/>
          <w:sz w:val="16"/>
          <w:szCs w:val="16"/>
          <w:u w:val="single" w:color="auto"/>
          <w:color w:val="auto"/>
        </w:rPr>
        <w:t>Chancery Court</w:t>
      </w:r>
      <w:r>
        <w:rPr>
          <w:rFonts w:ascii="Arial" w:cs="Arial" w:eastAsia="Arial" w:hAnsi="Arial"/>
          <w:sz w:val="16"/>
          <w:szCs w:val="16"/>
          <w:color w:val="auto"/>
        </w:rPr>
        <w:t>”) of the State of</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w:t>
      </w:r>
      <w:r>
        <w:rPr>
          <w:rFonts w:ascii="Arial" w:cs="Arial" w:eastAsia="Arial" w:hAnsi="Arial"/>
          <w:sz w:val="16"/>
          <w:szCs w:val="16"/>
          <w:u w:val="single" w:color="auto"/>
          <w:color w:val="auto"/>
        </w:rPr>
        <w:t>Proceeding</w:t>
      </w:r>
      <w:r>
        <w:rPr>
          <w:rFonts w:ascii="Arial" w:cs="Arial" w:eastAsia="Arial" w:hAnsi="Arial"/>
          <w:sz w:val="16"/>
          <w:szCs w:val="16"/>
          <w:color w:val="auto"/>
        </w:rPr>
        <w:t>”) brought on behalf of the Corporation, (ii) any Proceeding asserting a claim of breach of a fiduciary duty owed by any director, officer,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employee or stockholder of the Corporation to the Corporation or to the Corporation’s stockholders, (iii) any Proceeding arising out of or pursuant to any provision of the DGCL, this Amended and Restated Certificate or the Bylaws (in each case, as may be amended from time to time) or as to which the DGCL confers jurisdiction to the Court of Chancery of the State of Delaware, (iv) any Proceeding seeking to interpret, apply, enforce or determine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validity of this Amended and Restated Certificate or the Bylaws and (v) any Proceeding asserting a claim against the Corporation or any director, officer, other employee or stockholder of the Corporation governed by the internal affairs doctrine; and (b) subject to the preceding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to the fullest extent permitted by applicable law, the federal district courts of the United States of America shall be the exclusive forum for the resolution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complaint asserting a cause or causes of action arising under the Securities Act of 1933, as amended, including, without limitation, all causes of action asserted against any defendant to such complaint. If any Proceeding the subject matter of which is within the scope of clause (a) of the immediately preceding sentence is filed in a court other than the courts 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such stockholder shall be deemed to have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consented to (x) the personal jurisdiction of the state and federal courts in the State of Delaware in connection with any Proceeding brought in any such court to enforce the provisions of clause (a) of the immediately preceding sentence and (y) having service of process made upon such stockholder in any such Proceeding by service upon such stockholder’s counsel in the Foreign Action as agent for such stockholder. If any Proceeding the subject matter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which is within the scope of clause (b)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is filed in a court other than the federal district courts of the United States of America (a “</w:t>
      </w:r>
      <w:r>
        <w:rPr>
          <w:rFonts w:ascii="Arial" w:cs="Arial" w:eastAsia="Arial" w:hAnsi="Arial"/>
          <w:sz w:val="16"/>
          <w:szCs w:val="16"/>
          <w:u w:val="single" w:color="auto"/>
          <w:color w:val="auto"/>
        </w:rPr>
        <w:t>Foreign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 Act Action</w:t>
      </w:r>
      <w:r>
        <w:rPr>
          <w:rFonts w:ascii="Arial" w:cs="Arial" w:eastAsia="Arial" w:hAnsi="Arial"/>
          <w:sz w:val="16"/>
          <w:szCs w:val="16"/>
          <w:color w:val="auto"/>
        </w:rPr>
        <w:t xml:space="preserve"> ”) in the name of any stockholder, such stockholder shall be deemed to have consented to (i) the personal jurisdiction of the federal district courts of the United States of America in connection with any Proceeding brought in any such court to enforce clause (b) (a “ </w:t>
      </w:r>
      <w:r>
        <w:rPr>
          <w:rFonts w:ascii="Arial" w:cs="Arial" w:eastAsia="Arial" w:hAnsi="Arial"/>
          <w:sz w:val="16"/>
          <w:szCs w:val="16"/>
          <w:u w:val="single" w:color="auto"/>
          <w:color w:val="auto"/>
        </w:rPr>
        <w:t>Securities Act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Enforcement Action</w:t>
      </w:r>
      <w:r>
        <w:rPr>
          <w:rFonts w:ascii="Arial" w:cs="Arial" w:eastAsia="Arial" w:hAnsi="Arial"/>
          <w:sz w:val="18"/>
          <w:szCs w:val="18"/>
          <w:color w:val="auto"/>
        </w:rPr>
        <w:t>”), and (ii) having service of process made upon such stockholder in any such Securities Act Enforcement Action by service upon such stockholder’s counsel in the Foreign Securities Act Action as agent for such stockholder.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the avoidance of doubt,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is intended to benefit and may be enforced by the Corporation, its officers and directors, the underwriters</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any offering giving rise to any Proceeding, and any other professional or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18"/>
          <w:szCs w:val="18"/>
          <w:color w:val="auto"/>
        </w:rPr>
        <w:t xml:space="preserve">Any person or entity holding, owning, purchasing or otherwise acquiring any interest in any security of the Corporation shall be deemed to have notice of and consented to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56"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7"/>
          <w:szCs w:val="17"/>
          <w:color w:val="auto"/>
        </w:rPr>
        <w:t xml:space="preserve">If any provision or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be held to be invalid, illegal or unenforceable as applied to any circumstance for any reason whatsoever, (i) the validity, legality and enforceability of such provisions in any other circumstance and of the remaining provisions of this </w:t>
      </w:r>
      <w:r>
        <w:rPr>
          <w:rFonts w:ascii="Arial" w:cs="Arial" w:eastAsia="Arial" w:hAnsi="Arial"/>
          <w:sz w:val="17"/>
          <w:szCs w:val="17"/>
          <w:u w:val="single" w:color="auto"/>
          <w:color w:val="auto"/>
        </w:rPr>
        <w:t>Article XI</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(including, without limitation, each portion of any paragraph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containing any such provision held to be invalid, illegal or unenforceable that is not itself held to be invalid, illegal or unenforceable) shall not in any way be affected or impaired thereby and (ii) the application of such provision to other persons or entities and circumstances shall not in any way be affected or impaired thereby.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169"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6"/>
          <w:szCs w:val="16"/>
          <w:color w:val="auto"/>
        </w:rPr>
        <w:t>A. Notwithstanding anything contained in this Amended and Restated Certificate to the contrary, in addition to any vote required by applicable law, the following provisions in this Amended and Restated Certificate may be amended, altered, repealed or rescinded, in whole or in part, or any provision</w:t>
      </w:r>
    </w:p>
    <w:p>
      <w:pPr>
        <w:jc w:val="both"/>
        <w:spacing w:after="0" w:line="226" w:lineRule="auto"/>
        <w:rPr>
          <w:sz w:val="20"/>
          <w:szCs w:val="20"/>
          <w:color w:val="auto"/>
        </w:rPr>
      </w:pPr>
      <w:r>
        <w:rPr>
          <w:rFonts w:ascii="Arial" w:cs="Arial" w:eastAsia="Arial" w:hAnsi="Arial"/>
          <w:sz w:val="18"/>
          <w:szCs w:val="18"/>
          <w:color w:val="auto"/>
        </w:rPr>
        <w:t>inconsistent therewith or herewith may be adopted, only by the affirmative vote of the holders of at least two-thirds (66 and 2/3%) of the total voting power of all the then outstanding shares of stock of the Corporation entitled to vote thereon, voting together as a single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class: Part B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 If any provision or provisions of this Amended and Restated Certificate shall be held to be invalid, illegal or unenforceable as applied to any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circumstance for any reason whatsoever: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to the fullest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extent permitted by applicable law, in any way be affected or impaired thereby and (ii) to the fullest extent permitted by applicable law, the provisions of this Amended and Restated Certificate (including, without limitation, each such portion of any paragraph of this Amended and Restated Certificate containing any such provision held to be invalid, illegal or unenforceable) shall be construed so as to permit the Corporation to protect its directors,</w:t>
      </w:r>
    </w:p>
    <w:p>
      <w:pPr>
        <w:jc w:val="both"/>
        <w:spacing w:after="0" w:line="226" w:lineRule="auto"/>
        <w:rPr>
          <w:sz w:val="20"/>
          <w:szCs w:val="20"/>
          <w:color w:val="auto"/>
        </w:rPr>
      </w:pPr>
      <w:r>
        <w:rPr>
          <w:rFonts w:ascii="Arial" w:cs="Arial" w:eastAsia="Arial" w:hAnsi="Arial"/>
          <w:sz w:val="18"/>
          <w:szCs w:val="18"/>
          <w:color w:val="auto"/>
        </w:rPr>
        <w:t>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4640"/>
        <w:spacing w:after="0" w:line="221" w:lineRule="auto"/>
        <w:rPr>
          <w:sz w:val="20"/>
          <w:szCs w:val="20"/>
          <w:color w:val="auto"/>
        </w:rPr>
      </w:pPr>
      <w:r>
        <w:rPr>
          <w:rFonts w:ascii="Arial" w:cs="Arial" w:eastAsia="Arial" w:hAnsi="Arial"/>
          <w:sz w:val="18"/>
          <w:szCs w:val="18"/>
          <w:b w:val="1"/>
          <w:bCs w:val="1"/>
          <w:color w:val="auto"/>
        </w:rPr>
        <w:t>18 U.S.C. SECTION 1350</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AirSculpt Technologies, Inc.</w:t>
      </w:r>
    </w:p>
    <w:p>
      <w:pPr>
        <w:spacing w:after="0" w:line="175" w:lineRule="exact"/>
        <w:rPr>
          <w:sz w:val="20"/>
          <w:szCs w:val="20"/>
          <w:color w:val="auto"/>
        </w:rPr>
      </w:pPr>
    </w:p>
    <w:p>
      <w:pPr>
        <w:ind w:left="360"/>
        <w:spacing w:after="0"/>
        <w:tabs>
          <w:tab w:leader="none" w:pos="7340" w:val="left"/>
          <w:tab w:leader="none" w:pos="794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1843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Todd Magazine</w:t>
      </w:r>
    </w:p>
    <w:p>
      <w:pPr>
        <w:spacing w:after="0" w:line="3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4640"/>
        <w:spacing w:after="0" w:line="221" w:lineRule="auto"/>
        <w:rPr>
          <w:sz w:val="20"/>
          <w:szCs w:val="20"/>
          <w:color w:val="auto"/>
        </w:rPr>
      </w:pPr>
      <w:r>
        <w:rPr>
          <w:rFonts w:ascii="Arial" w:cs="Arial" w:eastAsia="Arial" w:hAnsi="Arial"/>
          <w:sz w:val="18"/>
          <w:szCs w:val="18"/>
          <w:b w:val="1"/>
          <w:bCs w:val="1"/>
          <w:color w:val="auto"/>
        </w:rPr>
        <w:t>18 U.S.C. SECTION 1350</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Dean, certify that: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sz w:val="20"/>
          <w:szCs w:val="20"/>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4"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40" w:val="left"/>
          <w:tab w:leader="none" w:pos="794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23495</wp:posOffset>
            </wp:positionV>
            <wp:extent cx="1843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4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Dennis Dean</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June 30, 2023,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67" w:lineRule="exact"/>
        <w:rPr>
          <w:sz w:val="20"/>
          <w:szCs w:val="20"/>
          <w:color w:val="auto"/>
        </w:rPr>
      </w:pPr>
    </w:p>
    <w:p>
      <w:pPr>
        <w:ind w:left="360"/>
        <w:spacing w:after="0"/>
        <w:tabs>
          <w:tab w:leader="none" w:pos="6960" w:val="left"/>
          <w:tab w:leader="none" w:pos="748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83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Todd Magazine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June 30, 2023,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6"/>
          <w:szCs w:val="16"/>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14605</wp:posOffset>
            </wp:positionV>
            <wp:extent cx="2374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23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Dennis Dean</w:t>
      </w:r>
    </w:p>
    <w:p>
      <w:pPr>
        <w:spacing w:after="0" w:line="252"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upperLetter"/>
      <w:start w:val="1"/>
    </w:lvl>
    <w:lvl w:ilvl="1">
      <w:lvlJc w:val="left"/>
      <w:lvlText w:val="%2."/>
      <w:numFmt w:val="decimal"/>
      <w:start w:val="1"/>
    </w:lvl>
  </w:abstractNum>
  <w:abstractNum w:abstractNumId="8">
    <w:nsid w:val="41A7C4C9"/>
    <w:multiLevelType w:val="hybridMultilevel"/>
    <w:lvl w:ilvl="0">
      <w:lvlJc w:val="left"/>
      <w:lvlText w:val="%1"/>
      <w:numFmt w:val="upperLetter"/>
      <w:start w:val="1"/>
    </w:lvl>
    <w:lvl w:ilvl="1">
      <w:lvlJc w:val="left"/>
      <w:lvlText w:val="%2."/>
      <w:numFmt w:val="decimal"/>
      <w:start w:val="3"/>
    </w:lvl>
  </w:abstractNum>
  <w:abstractNum w:abstractNumId="9">
    <w:nsid w:val="6B68079A"/>
    <w:multiLevelType w:val="hybridMultilevel"/>
    <w:lvl w:ilvl="0">
      <w:lvlJc w:val="left"/>
      <w:lvlText w:val="%1."/>
      <w:numFmt w:val="upperLetter"/>
      <w:start w:val="2"/>
    </w:lvl>
    <w:lvl w:ilvl="1">
      <w:lvlJc w:val="left"/>
      <w:lvlText w:val="%2"/>
      <w:numFmt w:val="decimal"/>
      <w:start w:val="1"/>
    </w:lvl>
  </w:abstractNum>
  <w:abstractNum w:abstractNumId="10">
    <w:nsid w:val="4E6AFB66"/>
    <w:multiLevelType w:val="hybridMultilevel"/>
    <w:lvl w:ilvl="0">
      <w:lvlJc w:val="left"/>
      <w:lvlText w:val="%1."/>
      <w:numFmt w:val="upperLetter"/>
      <w:start w:val="8"/>
    </w:lvl>
  </w:abstractNum>
  <w:abstractNum w:abstractNumId="11">
    <w:nsid w:val="25E45D3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2">
    <w:nsid w:val="519B500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3">
    <w:nsid w:val="431BD7B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14">
    <w:nsid w:val="3F2DBA31"/>
    <w:multiLevelType w:val="hybridMultilevel"/>
    <w:lvl w:ilvl="0">
      <w:lvlJc w:val="left"/>
      <w:lvlText w:val="%1"/>
      <w:numFmt w:val="lowerRoman"/>
      <w:start w:val="1"/>
    </w:lvl>
    <w:lvl w:ilvl="1">
      <w:lvlJc w:val="left"/>
      <w:lvlText w:val="%2."/>
      <w:numFmt w:val="lowerLetter"/>
      <w:start w:val="5"/>
    </w:lvl>
  </w:abstractNum>
  <w:abstractNum w:abstractNumId="15">
    <w:nsid w:val="7C83E458"/>
    <w:multiLevelType w:val="hybridMultilevel"/>
    <w:lvl w:ilvl="0">
      <w:lvlJc w:val="left"/>
      <w:lvlText w:val="(%1)"/>
      <w:numFmt w:val="lowerRoman"/>
      <w:start w:val="1"/>
    </w:lvl>
    <w:lvl w:ilvl="1">
      <w:lvlJc w:val="left"/>
      <w:lvlText w:val="%2"/>
      <w:numFmt w:val="lowerLetter"/>
      <w:start w:val="1"/>
    </w:lvl>
  </w:abstractNum>
  <w:abstractNum w:abstractNumId="16">
    <w:nsid w:val="257130A3"/>
    <w:multiLevelType w:val="hybridMultilevel"/>
    <w:lvl w:ilvl="0">
      <w:lvlJc w:val="left"/>
      <w:lvlText w:val="%1."/>
      <w:numFmt w:val="decimal"/>
      <w:start w:val="4"/>
    </w:lvl>
    <w:lvl w:ilvl="1">
      <w:lvlJc w:val="left"/>
      <w:lvlText w:val="%2."/>
      <w:numFmt w:val="lowerLetter"/>
      <w:start w:val="1"/>
    </w:lvl>
  </w:abstractNum>
  <w:abstractNum w:abstractNumId="17">
    <w:nsid w:val="62BBD95A"/>
    <w:multiLevelType w:val="hybridMultilevel"/>
    <w:lvl w:ilvl="0">
      <w:lvlJc w:val="left"/>
      <w:lvlText w:val="%1."/>
      <w:numFmt w:val="decimal"/>
      <w:start w:val="13"/>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2023-08-11T12:40:42Z</dcterms:created>
  <dcterms:modified xsi:type="dcterms:W3CDTF">2023-08-11T12:40:42Z</dcterms:modified>
</cp:coreProperties>
</file>