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21"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23"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quarterly period ended March 31, 2023</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09" w:lineRule="exact"/>
        <w:rPr>
          <w:sz w:val="24"/>
          <w:szCs w:val="24"/>
          <w:color w:val="auto"/>
        </w:rPr>
      </w:pPr>
    </w:p>
    <w:p>
      <w:pPr>
        <w:ind w:left="3620" w:right="2840" w:hanging="3612"/>
        <w:spacing w:after="0" w:line="396" w:lineRule="auto"/>
        <w:tabs>
          <w:tab w:leader="none" w:pos="19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 to __________.</w:t>
      </w:r>
    </w:p>
    <w:p>
      <w:pPr>
        <w:ind w:left="43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001-40973</w:t>
      </w:r>
    </w:p>
    <w:p>
      <w:pPr>
        <w:spacing w:after="0" w:line="104" w:lineRule="exact"/>
        <w:rPr>
          <w:sz w:val="24"/>
          <w:szCs w:val="24"/>
          <w:color w:val="auto"/>
        </w:rPr>
      </w:pPr>
    </w:p>
    <w:tbl>
      <w:tblPr>
        <w:tblLayout w:type="fixed"/>
        <w:tblInd w:w="1500" w:type="dxa"/>
        <w:tblCellMar>
          <w:top w:w="0" w:type="dxa"/>
          <w:left w:w="0" w:type="dxa"/>
          <w:bottom w:w="0" w:type="dxa"/>
          <w:right w:w="0" w:type="dxa"/>
        </w:tblCellMar>
      </w:tblPr>
      <w:tr>
        <w:trPr>
          <w:trHeight w:val="242"/>
        </w:trPr>
        <w:tc>
          <w:tcPr>
            <w:tcW w:w="6080" w:type="dxa"/>
            <w:vAlign w:val="bottom"/>
          </w:tcPr>
          <w:p>
            <w:pPr>
              <w:jc w:val="center"/>
              <w:ind w:left="2097"/>
              <w:spacing w:after="0"/>
              <w:rPr>
                <w:sz w:val="20"/>
                <w:szCs w:val="20"/>
                <w:color w:val="auto"/>
              </w:rPr>
            </w:pPr>
            <w:r>
              <w:rPr>
                <w:rFonts w:ascii="Arial" w:cs="Arial" w:eastAsia="Arial" w:hAnsi="Arial"/>
                <w:sz w:val="20"/>
                <w:szCs w:val="20"/>
                <w:b w:val="1"/>
                <w:bCs w:val="1"/>
                <w:color w:val="auto"/>
                <w:w w:val="88"/>
              </w:rPr>
              <w:t>AirSculpt Technologies, Inc.</w:t>
            </w:r>
          </w:p>
        </w:tc>
        <w:tc>
          <w:tcPr>
            <w:tcW w:w="1480" w:type="dxa"/>
            <w:vAlign w:val="bottom"/>
          </w:tcPr>
          <w:p>
            <w:pPr>
              <w:spacing w:after="0"/>
              <w:rPr>
                <w:sz w:val="21"/>
                <w:szCs w:val="21"/>
                <w:color w:val="auto"/>
              </w:rPr>
            </w:pPr>
          </w:p>
        </w:tc>
      </w:tr>
      <w:tr>
        <w:trPr>
          <w:trHeight w:val="206"/>
        </w:trPr>
        <w:tc>
          <w:tcPr>
            <w:tcW w:w="6080" w:type="dxa"/>
            <w:vAlign w:val="bottom"/>
          </w:tcPr>
          <w:p>
            <w:pPr>
              <w:jc w:val="center"/>
              <w:ind w:left="2097"/>
              <w:spacing w:after="0"/>
              <w:rPr>
                <w:sz w:val="20"/>
                <w:szCs w:val="20"/>
                <w:color w:val="auto"/>
              </w:rPr>
            </w:pPr>
            <w:r>
              <w:rPr>
                <w:rFonts w:ascii="Arial" w:cs="Arial" w:eastAsia="Arial" w:hAnsi="Arial"/>
                <w:sz w:val="16"/>
                <w:szCs w:val="16"/>
                <w:color w:val="auto"/>
                <w:w w:val="91"/>
              </w:rPr>
              <w:t>(Exact name of registrant as specified in its charter)</w:t>
            </w:r>
          </w:p>
        </w:tc>
        <w:tc>
          <w:tcPr>
            <w:tcW w:w="1480" w:type="dxa"/>
            <w:vAlign w:val="bottom"/>
          </w:tcPr>
          <w:p>
            <w:pPr>
              <w:spacing w:after="0"/>
              <w:rPr>
                <w:sz w:val="17"/>
                <w:szCs w:val="17"/>
                <w:color w:val="auto"/>
              </w:rPr>
            </w:pPr>
          </w:p>
        </w:tc>
      </w:tr>
      <w:tr>
        <w:trPr>
          <w:trHeight w:val="351"/>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93"/>
              </w:rPr>
              <w:t>Delaware</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87-1471855</w:t>
            </w:r>
          </w:p>
        </w:tc>
      </w:tr>
      <w:tr>
        <w:trPr>
          <w:trHeight w:val="239"/>
        </w:trPr>
        <w:tc>
          <w:tcPr>
            <w:tcW w:w="6080" w:type="dxa"/>
            <w:vAlign w:val="bottom"/>
          </w:tcPr>
          <w:p>
            <w:pPr>
              <w:jc w:val="center"/>
              <w:ind w:right="3397"/>
              <w:spacing w:after="0"/>
              <w:rPr>
                <w:sz w:val="20"/>
                <w:szCs w:val="20"/>
                <w:color w:val="auto"/>
              </w:rPr>
            </w:pPr>
            <w:r>
              <w:rPr>
                <w:rFonts w:ascii="Arial" w:cs="Arial" w:eastAsia="Arial" w:hAnsi="Arial"/>
                <w:sz w:val="16"/>
                <w:szCs w:val="16"/>
                <w:color w:val="auto"/>
                <w:w w:val="93"/>
              </w:rPr>
              <w:t>(State or other jurisdiction of</w:t>
            </w:r>
          </w:p>
        </w:tc>
        <w:tc>
          <w:tcPr>
            <w:tcW w:w="1480" w:type="dxa"/>
            <w:vAlign w:val="bottom"/>
          </w:tcPr>
          <w:p>
            <w:pPr>
              <w:jc w:val="center"/>
              <w:ind w:left="199"/>
              <w:spacing w:after="0"/>
              <w:rPr>
                <w:sz w:val="20"/>
                <w:szCs w:val="20"/>
                <w:color w:val="auto"/>
              </w:rPr>
            </w:pPr>
            <w:r>
              <w:rPr>
                <w:rFonts w:ascii="Arial" w:cs="Arial" w:eastAsia="Arial" w:hAnsi="Arial"/>
                <w:sz w:val="16"/>
                <w:szCs w:val="16"/>
                <w:color w:val="auto"/>
                <w:w w:val="95"/>
              </w:rPr>
              <w:t>(I.R.S. Employer</w:t>
            </w:r>
          </w:p>
        </w:tc>
      </w:tr>
      <w:tr>
        <w:trPr>
          <w:trHeight w:val="206"/>
        </w:trPr>
        <w:tc>
          <w:tcPr>
            <w:tcW w:w="6080" w:type="dxa"/>
            <w:vAlign w:val="bottom"/>
          </w:tcPr>
          <w:p>
            <w:pPr>
              <w:jc w:val="center"/>
              <w:ind w:right="3417"/>
              <w:spacing w:after="0"/>
              <w:rPr>
                <w:sz w:val="20"/>
                <w:szCs w:val="20"/>
                <w:color w:val="auto"/>
              </w:rPr>
            </w:pPr>
            <w:r>
              <w:rPr>
                <w:rFonts w:ascii="Arial" w:cs="Arial" w:eastAsia="Arial" w:hAnsi="Arial"/>
                <w:sz w:val="16"/>
                <w:szCs w:val="16"/>
                <w:color w:val="auto"/>
                <w:w w:val="93"/>
              </w:rPr>
              <w:t>incorporation or organization)</w:t>
            </w:r>
          </w:p>
        </w:tc>
        <w:tc>
          <w:tcPr>
            <w:tcW w:w="1480" w:type="dxa"/>
            <w:vAlign w:val="bottom"/>
          </w:tcPr>
          <w:p>
            <w:pPr>
              <w:jc w:val="center"/>
              <w:ind w:left="199"/>
              <w:spacing w:after="0"/>
              <w:rPr>
                <w:sz w:val="20"/>
                <w:szCs w:val="20"/>
                <w:color w:val="auto"/>
              </w:rPr>
            </w:pPr>
            <w:r>
              <w:rPr>
                <w:rFonts w:ascii="Arial" w:cs="Arial" w:eastAsia="Arial" w:hAnsi="Arial"/>
                <w:sz w:val="16"/>
                <w:szCs w:val="16"/>
                <w:color w:val="auto"/>
                <w:w w:val="96"/>
              </w:rPr>
              <w:t>Identification No.)</w:t>
            </w:r>
          </w:p>
        </w:tc>
      </w:tr>
      <w:tr>
        <w:trPr>
          <w:trHeight w:val="473"/>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89"/>
              </w:rPr>
              <w:t>1111 Lincoln Road, Suite 802</w:t>
            </w:r>
          </w:p>
        </w:tc>
        <w:tc>
          <w:tcPr>
            <w:tcW w:w="1480" w:type="dxa"/>
            <w:vAlign w:val="bottom"/>
          </w:tcPr>
          <w:p>
            <w:pPr>
              <w:spacing w:after="0"/>
              <w:rPr>
                <w:sz w:val="24"/>
                <w:szCs w:val="24"/>
                <w:color w:val="auto"/>
              </w:rPr>
            </w:pPr>
          </w:p>
        </w:tc>
      </w:tr>
      <w:tr>
        <w:trPr>
          <w:trHeight w:val="243"/>
        </w:trPr>
        <w:tc>
          <w:tcPr>
            <w:tcW w:w="6080" w:type="dxa"/>
            <w:vAlign w:val="bottom"/>
          </w:tcPr>
          <w:p>
            <w:pPr>
              <w:jc w:val="center"/>
              <w:ind w:right="3417"/>
              <w:spacing w:after="0"/>
              <w:rPr>
                <w:sz w:val="20"/>
                <w:szCs w:val="20"/>
                <w:color w:val="auto"/>
              </w:rPr>
            </w:pPr>
            <w:r>
              <w:rPr>
                <w:rFonts w:ascii="Arial" w:cs="Arial" w:eastAsia="Arial" w:hAnsi="Arial"/>
                <w:sz w:val="16"/>
                <w:szCs w:val="16"/>
                <w:b w:val="1"/>
                <w:bCs w:val="1"/>
                <w:color w:val="auto"/>
                <w:w w:val="96"/>
              </w:rPr>
              <w:t>Miami Beach, FL</w:t>
            </w: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33139</w:t>
            </w:r>
          </w:p>
        </w:tc>
      </w:tr>
      <w:tr>
        <w:trPr>
          <w:trHeight w:val="256"/>
        </w:trPr>
        <w:tc>
          <w:tcPr>
            <w:tcW w:w="6080" w:type="dxa"/>
            <w:vAlign w:val="bottom"/>
          </w:tcPr>
          <w:p>
            <w:pPr>
              <w:jc w:val="center"/>
              <w:ind w:right="3417"/>
              <w:spacing w:after="0"/>
              <w:rPr>
                <w:sz w:val="20"/>
                <w:szCs w:val="20"/>
                <w:color w:val="auto"/>
              </w:rPr>
            </w:pPr>
            <w:r>
              <w:rPr>
                <w:rFonts w:ascii="Arial" w:cs="Arial" w:eastAsia="Arial" w:hAnsi="Arial"/>
                <w:sz w:val="16"/>
                <w:szCs w:val="16"/>
                <w:color w:val="auto"/>
                <w:w w:val="94"/>
              </w:rPr>
              <w:t>(Address of principal executive offices)</w:t>
            </w:r>
          </w:p>
        </w:tc>
        <w:tc>
          <w:tcPr>
            <w:tcW w:w="1480" w:type="dxa"/>
            <w:vAlign w:val="bottom"/>
          </w:tcPr>
          <w:p>
            <w:pPr>
              <w:jc w:val="center"/>
              <w:ind w:left="199"/>
              <w:spacing w:after="0"/>
              <w:rPr>
                <w:sz w:val="20"/>
                <w:szCs w:val="20"/>
                <w:color w:val="auto"/>
              </w:rPr>
            </w:pPr>
            <w:r>
              <w:rPr>
                <w:rFonts w:ascii="Arial" w:cs="Arial" w:eastAsia="Arial" w:hAnsi="Arial"/>
                <w:sz w:val="16"/>
                <w:szCs w:val="16"/>
                <w:color w:val="auto"/>
                <w:w w:val="95"/>
              </w:rPr>
              <w:t>(Zip Code)</w:t>
            </w:r>
          </w:p>
        </w:tc>
      </w:tr>
    </w:tbl>
    <w:p>
      <w:pPr>
        <w:spacing w:after="0" w:line="208" w:lineRule="exact"/>
        <w:rPr>
          <w:sz w:val="24"/>
          <w:szCs w:val="24"/>
          <w:color w:val="auto"/>
        </w:rPr>
      </w:pPr>
    </w:p>
    <w:p>
      <w:pPr>
        <w:ind w:left="34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(786) 709-9690</w:t>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5" w:lineRule="exact"/>
        <w:rPr>
          <w:sz w:val="24"/>
          <w:szCs w:val="24"/>
          <w:color w:val="auto"/>
        </w:rPr>
      </w:pPr>
    </w:p>
    <w:tbl>
      <w:tblPr>
        <w:tblLayout w:type="fixed"/>
        <w:tblInd w:w="76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300" w:type="dxa"/>
            <w:vAlign w:val="bottom"/>
            <w:gridSpan w:val="2"/>
          </w:tcPr>
          <w:p>
            <w:pPr>
              <w:jc w:val="center"/>
              <w:ind w:left="121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44"/>
        </w:trPr>
        <w:tc>
          <w:tcPr>
            <w:tcW w:w="3520" w:type="dxa"/>
            <w:vAlign w:val="bottom"/>
            <w:gridSpan w:val="3"/>
          </w:tcPr>
          <w:p>
            <w:pPr>
              <w:jc w:val="center"/>
              <w:ind w:right="700"/>
              <w:spacing w:after="0"/>
              <w:rPr>
                <w:sz w:val="20"/>
                <w:szCs w:val="20"/>
                <w:color w:val="auto"/>
              </w:rPr>
            </w:pPr>
            <w:r>
              <w:rPr>
                <w:rFonts w:ascii="Arial" w:cs="Arial" w:eastAsia="Arial" w:hAnsi="Arial"/>
                <w:sz w:val="16"/>
                <w:szCs w:val="16"/>
                <w:color w:val="auto"/>
                <w:w w:val="91"/>
              </w:rPr>
              <w:t>Common Stock, par value $0.001 per share</w:t>
            </w:r>
          </w:p>
        </w:tc>
        <w:tc>
          <w:tcPr>
            <w:tcW w:w="68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AIRS</w:t>
            </w:r>
          </w:p>
        </w:tc>
        <w:tc>
          <w:tcPr>
            <w:tcW w:w="1300" w:type="dxa"/>
            <w:vAlign w:val="bottom"/>
          </w:tcPr>
          <w:p>
            <w:pPr>
              <w:spacing w:after="0"/>
              <w:rPr>
                <w:sz w:val="21"/>
                <w:szCs w:val="21"/>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226"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88" w:lineRule="exact"/>
        <w:rPr>
          <w:sz w:val="24"/>
          <w:szCs w:val="24"/>
          <w:color w:val="auto"/>
        </w:rPr>
      </w:pPr>
    </w:p>
    <w:p>
      <w:pPr>
        <w:jc w:val="both"/>
        <w:spacing w:after="0" w:line="30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2160" w:type="dxa"/>
        <w:tblCellMar>
          <w:top w:w="0" w:type="dxa"/>
          <w:left w:w="0" w:type="dxa"/>
          <w:bottom w:w="0" w:type="dxa"/>
          <w:right w:w="0" w:type="dxa"/>
        </w:tblCellMar>
      </w:tblPr>
      <w:tr>
        <w:trPr>
          <w:trHeight w:val="207"/>
        </w:trPr>
        <w:tc>
          <w:tcPr>
            <w:tcW w:w="1640" w:type="dxa"/>
            <w:vAlign w:val="bottom"/>
          </w:tcPr>
          <w:p>
            <w:pPr>
              <w:jc w:val="center"/>
              <w:ind w:right="99"/>
              <w:spacing w:after="0"/>
              <w:rPr>
                <w:sz w:val="20"/>
                <w:szCs w:val="20"/>
                <w:color w:val="auto"/>
              </w:rPr>
            </w:pPr>
            <w:r>
              <w:rPr>
                <w:rFonts w:ascii="Arial" w:cs="Arial" w:eastAsia="Arial" w:hAnsi="Arial"/>
                <w:sz w:val="16"/>
                <w:szCs w:val="16"/>
                <w:color w:val="auto"/>
                <w:w w:val="92"/>
              </w:rPr>
              <w:t>Large accelerated filer</w:t>
            </w:r>
          </w:p>
        </w:tc>
        <w:tc>
          <w:tcPr>
            <w:tcW w:w="1680" w:type="dxa"/>
            <w:vAlign w:val="bottom"/>
          </w:tcPr>
          <w:p>
            <w:pPr>
              <w:ind w:left="200"/>
              <w:spacing w:after="0"/>
              <w:rPr>
                <w:sz w:val="20"/>
                <w:szCs w:val="20"/>
                <w:color w:val="auto"/>
              </w:rPr>
            </w:pPr>
            <w:r>
              <w:rPr>
                <w:rFonts w:ascii="Arial" w:cs="Arial" w:eastAsia="Arial" w:hAnsi="Arial"/>
                <w:sz w:val="16"/>
                <w:szCs w:val="16"/>
                <w:color w:val="auto"/>
              </w:rPr>
              <w:t>o</w:t>
            </w:r>
          </w:p>
        </w:tc>
        <w:tc>
          <w:tcPr>
            <w:tcW w:w="3400" w:type="dxa"/>
            <w:vAlign w:val="bottom"/>
          </w:tcPr>
          <w:p>
            <w:pPr>
              <w:jc w:val="center"/>
              <w:ind w:left="1119"/>
              <w:spacing w:after="0"/>
              <w:rPr>
                <w:sz w:val="20"/>
                <w:szCs w:val="20"/>
                <w:color w:val="auto"/>
              </w:rPr>
            </w:pPr>
            <w:r>
              <w:rPr>
                <w:rFonts w:ascii="Arial" w:cs="Arial" w:eastAsia="Arial" w:hAnsi="Arial"/>
                <w:sz w:val="16"/>
                <w:szCs w:val="16"/>
                <w:color w:val="auto"/>
                <w:w w:val="94"/>
              </w:rPr>
              <w:t>Accelerated filer</w:t>
            </w:r>
          </w:p>
        </w:tc>
        <w:tc>
          <w:tcPr>
            <w:tcW w:w="300" w:type="dxa"/>
            <w:vAlign w:val="bottom"/>
          </w:tcPr>
          <w:p>
            <w:pPr>
              <w:ind w:left="220"/>
              <w:spacing w:after="0"/>
              <w:rPr>
                <w:sz w:val="20"/>
                <w:szCs w:val="20"/>
                <w:color w:val="auto"/>
              </w:rPr>
            </w:pPr>
            <w:r>
              <w:rPr>
                <w:rFonts w:ascii="Arial" w:cs="Arial" w:eastAsia="Arial" w:hAnsi="Arial"/>
                <w:sz w:val="15"/>
                <w:szCs w:val="15"/>
                <w:color w:val="auto"/>
                <w:w w:val="71"/>
              </w:rPr>
              <w:t>o</w:t>
            </w:r>
          </w:p>
        </w:tc>
      </w:tr>
      <w:tr>
        <w:trPr>
          <w:trHeight w:val="243"/>
        </w:trPr>
        <w:tc>
          <w:tcPr>
            <w:tcW w:w="1640" w:type="dxa"/>
            <w:vAlign w:val="bottom"/>
          </w:tcPr>
          <w:p>
            <w:pPr>
              <w:jc w:val="center"/>
              <w:ind w:right="99"/>
              <w:spacing w:after="0"/>
              <w:rPr>
                <w:sz w:val="20"/>
                <w:szCs w:val="20"/>
                <w:color w:val="auto"/>
              </w:rPr>
            </w:pPr>
            <w:r>
              <w:rPr>
                <w:rFonts w:ascii="Arial" w:cs="Arial" w:eastAsia="Arial" w:hAnsi="Arial"/>
                <w:sz w:val="16"/>
                <w:szCs w:val="16"/>
                <w:color w:val="auto"/>
                <w:w w:val="93"/>
              </w:rPr>
              <w:t>Non-accelerated filer</w:t>
            </w:r>
          </w:p>
        </w:tc>
        <w:tc>
          <w:tcPr>
            <w:tcW w:w="1680" w:type="dxa"/>
            <w:vAlign w:val="bottom"/>
          </w:tcPr>
          <w:p>
            <w:pPr>
              <w:ind w:left="200"/>
              <w:spacing w:after="0"/>
              <w:rPr>
                <w:sz w:val="20"/>
                <w:szCs w:val="20"/>
                <w:color w:val="auto"/>
              </w:rPr>
            </w:pPr>
            <w:r>
              <w:rPr>
                <w:rFonts w:ascii="Arial" w:cs="Arial" w:eastAsia="Arial" w:hAnsi="Arial"/>
                <w:sz w:val="16"/>
                <w:szCs w:val="16"/>
                <w:color w:val="auto"/>
              </w:rPr>
              <w:t>x</w:t>
            </w:r>
          </w:p>
        </w:tc>
        <w:tc>
          <w:tcPr>
            <w:tcW w:w="3400" w:type="dxa"/>
            <w:vAlign w:val="bottom"/>
          </w:tcPr>
          <w:p>
            <w:pPr>
              <w:jc w:val="center"/>
              <w:ind w:left="1119"/>
              <w:spacing w:after="0"/>
              <w:rPr>
                <w:sz w:val="20"/>
                <w:szCs w:val="20"/>
                <w:color w:val="auto"/>
              </w:rPr>
            </w:pPr>
            <w:r>
              <w:rPr>
                <w:rFonts w:ascii="Arial" w:cs="Arial" w:eastAsia="Arial" w:hAnsi="Arial"/>
                <w:sz w:val="16"/>
                <w:szCs w:val="16"/>
                <w:color w:val="auto"/>
                <w:w w:val="92"/>
              </w:rPr>
              <w:t>Smaller reporting company</w:t>
            </w:r>
          </w:p>
        </w:tc>
        <w:tc>
          <w:tcPr>
            <w:tcW w:w="300" w:type="dxa"/>
            <w:vAlign w:val="bottom"/>
          </w:tcPr>
          <w:p>
            <w:pPr>
              <w:ind w:left="220"/>
              <w:spacing w:after="0"/>
              <w:rPr>
                <w:sz w:val="20"/>
                <w:szCs w:val="20"/>
                <w:color w:val="auto"/>
              </w:rPr>
            </w:pPr>
            <w:r>
              <w:rPr>
                <w:rFonts w:ascii="Arial" w:cs="Arial" w:eastAsia="Arial" w:hAnsi="Arial"/>
                <w:sz w:val="16"/>
                <w:szCs w:val="16"/>
                <w:color w:val="auto"/>
                <w:w w:val="74"/>
              </w:rPr>
              <w:t>x</w:t>
            </w:r>
          </w:p>
        </w:tc>
      </w:tr>
      <w:tr>
        <w:trPr>
          <w:trHeight w:val="230"/>
        </w:trPr>
        <w:tc>
          <w:tcPr>
            <w:tcW w:w="1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400" w:type="dxa"/>
            <w:vAlign w:val="bottom"/>
          </w:tcPr>
          <w:p>
            <w:pPr>
              <w:jc w:val="center"/>
              <w:ind w:left="1119"/>
              <w:spacing w:after="0"/>
              <w:rPr>
                <w:sz w:val="20"/>
                <w:szCs w:val="20"/>
                <w:color w:val="auto"/>
              </w:rPr>
            </w:pPr>
            <w:r>
              <w:rPr>
                <w:rFonts w:ascii="Arial" w:cs="Arial" w:eastAsia="Arial" w:hAnsi="Arial"/>
                <w:sz w:val="16"/>
                <w:szCs w:val="16"/>
                <w:color w:val="auto"/>
                <w:w w:val="92"/>
              </w:rPr>
              <w:t>Emerging growth company</w:t>
            </w:r>
          </w:p>
        </w:tc>
        <w:tc>
          <w:tcPr>
            <w:tcW w:w="300" w:type="dxa"/>
            <w:vAlign w:val="bottom"/>
          </w:tcPr>
          <w:p>
            <w:pPr>
              <w:ind w:left="220"/>
              <w:spacing w:after="0"/>
              <w:rPr>
                <w:sz w:val="20"/>
                <w:szCs w:val="20"/>
                <w:color w:val="auto"/>
              </w:rPr>
            </w:pPr>
            <w:r>
              <w:rPr>
                <w:rFonts w:ascii="Arial" w:cs="Arial" w:eastAsia="Arial" w:hAnsi="Arial"/>
                <w:sz w:val="16"/>
                <w:szCs w:val="16"/>
                <w:color w:val="auto"/>
                <w:w w:val="74"/>
              </w:rPr>
              <w:t>x</w:t>
            </w:r>
          </w:p>
        </w:tc>
      </w:tr>
    </w:tbl>
    <w:p>
      <w:pPr>
        <w:spacing w:after="0" w:line="172" w:lineRule="exact"/>
        <w:rPr>
          <w:sz w:val="24"/>
          <w:szCs w:val="24"/>
          <w:color w:val="auto"/>
        </w:rPr>
      </w:pPr>
    </w:p>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28" w:lineRule="exact"/>
        <w:rPr>
          <w:sz w:val="24"/>
          <w:szCs w:val="24"/>
          <w:color w:val="auto"/>
        </w:rPr>
      </w:pPr>
    </w:p>
    <w:p>
      <w:pPr>
        <w:ind w:right="3000"/>
        <w:spacing w:after="0" w:line="27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registrant had 56,784,968 shares of common stock outstanding as of May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60" w:type="dxa"/>
            <w:vAlign w:val="bottom"/>
            <w:gridSpan w:val="9"/>
          </w:tcPr>
          <w:p>
            <w:pPr>
              <w:ind w:left="12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rPr>
              <w:t>PART I FINANCIAL INFORMATION</w:t>
            </w:r>
          </w:p>
        </w:tc>
        <w:tc>
          <w:tcPr>
            <w:tcW w:w="7400" w:type="dxa"/>
            <w:vAlign w:val="bottom"/>
            <w:gridSpan w:val="10"/>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520" w:type="dxa"/>
            <w:vAlign w:val="bottom"/>
            <w:gridSpan w:val="3"/>
          </w:tcPr>
          <w:p>
            <w:pPr>
              <w:spacing w:after="0"/>
              <w:rPr>
                <w:sz w:val="24"/>
                <w:szCs w:val="24"/>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March 31, 2023 (Unaudited) and December 31, 202</w:t>
            </w:r>
            <w:r>
              <w:rPr>
                <w:rFonts w:ascii="Arial" w:cs="Arial" w:eastAsia="Arial" w:hAnsi="Arial"/>
                <w:sz w:val="18"/>
                <w:szCs w:val="18"/>
                <w:color w:val="000000"/>
              </w:rPr>
              <w:t>2</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56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Condensed Consolidated Statements of Operations for the Three Months Ended March 31, 2023 and 2022 (Unaudited)</w:t>
            </w:r>
          </w:p>
        </w:tc>
        <w:tc>
          <w:tcPr>
            <w:tcW w:w="820" w:type="dxa"/>
            <w:vAlign w:val="bottom"/>
            <w:gridSpan w:val="4"/>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w w:val="92"/>
              </w:rPr>
              <w:t>Condensed Consolidated Statements of Other Comprehensive Income/(Loss) for the Three Months Ended March 31, 2023 and</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color w:val="0000FF"/>
                <w:w w:val="90"/>
              </w:rPr>
              <w:t>2022 (Unaudited)</w:t>
            </w:r>
          </w:p>
        </w:tc>
        <w:tc>
          <w:tcPr>
            <w:tcW w:w="7840" w:type="dxa"/>
            <w:vAlign w:val="bottom"/>
            <w:tcBorders>
              <w:top w:val="single" w:sz="8" w:color="0000FF"/>
            </w:tcBorders>
            <w:gridSpan w:val="13"/>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w w:val="91"/>
              </w:rPr>
              <w:t>Condensed Consolidated Statements of Changes in Stockholders' Equity for the Three Months Ended March 31, 2023 and 2022</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1"/>
              </w:rPr>
              <w:t>(Unaudited)</w:t>
            </w:r>
          </w:p>
        </w:tc>
        <w:tc>
          <w:tcPr>
            <w:tcW w:w="8320" w:type="dxa"/>
            <w:vAlign w:val="bottom"/>
            <w:tcBorders>
              <w:top w:val="single" w:sz="8" w:color="0000FF"/>
            </w:tcBorders>
            <w:gridSpan w:val="16"/>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w w:val="97"/>
              </w:rPr>
              <w:t>Condensed Consolidated Statements of Cash Flows for the Three Months Ended March 31, 2023 and 2022 (Unaudited)</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0" w:type="dxa"/>
            <w:vAlign w:val="bottom"/>
            <w:tcBorders>
              <w:top w:val="single" w:sz="8" w:color="0000FF"/>
            </w:tcBorders>
            <w:gridSpan w:val="17"/>
          </w:tcPr>
          <w:p>
            <w:pPr>
              <w:spacing w:after="0"/>
              <w:rPr>
                <w:sz w:val="20"/>
                <w:szCs w:val="20"/>
                <w:color w:val="auto"/>
              </w:rPr>
            </w:pPr>
            <w:r>
              <w:rPr>
                <w:rFonts w:ascii="Arial" w:cs="Arial" w:eastAsia="Arial" w:hAnsi="Arial"/>
                <w:sz w:val="18"/>
                <w:szCs w:val="18"/>
                <w:color w:val="0000FF"/>
              </w:rPr>
              <w:t>Notes to Condensed Consolidated Financial Statements (Unaudited</w:t>
            </w:r>
            <w:r>
              <w:rPr>
                <w:rFonts w:ascii="Arial" w:cs="Arial" w:eastAsia="Arial" w:hAnsi="Arial"/>
                <w:sz w:val="18"/>
                <w:szCs w:val="18"/>
                <w:color w:val="000000"/>
              </w:rPr>
              <w:t>)</w:t>
            </w:r>
          </w:p>
        </w:tc>
        <w:tc>
          <w:tcPr>
            <w:tcW w:w="780" w:type="dxa"/>
            <w:vAlign w:val="bottom"/>
            <w:gridSpan w:val="3"/>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400" w:type="dxa"/>
            <w:vAlign w:val="bottom"/>
            <w:gridSpan w:val="2"/>
          </w:tcPr>
          <w:p>
            <w:pPr>
              <w:spacing w:after="0"/>
              <w:rPr>
                <w:sz w:val="20"/>
                <w:szCs w:val="20"/>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400" w:type="dxa"/>
            <w:vAlign w:val="bottom"/>
            <w:gridSpan w:val="2"/>
          </w:tcPr>
          <w:p>
            <w:pPr>
              <w:spacing w:after="0"/>
              <w:rPr>
                <w:sz w:val="21"/>
                <w:szCs w:val="21"/>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40" w:type="dxa"/>
            <w:vAlign w:val="bottom"/>
            <w:tcBorders>
              <w:left w:val="single" w:sz="8" w:color="0000FF"/>
            </w:tcBorders>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12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20" w:type="dxa"/>
            <w:vAlign w:val="bottom"/>
            <w:gridSpan w:val="24"/>
          </w:tcPr>
          <w:p>
            <w:pPr>
              <w:spacing w:after="0"/>
              <w:rPr>
                <w:sz w:val="20"/>
                <w:szCs w:val="20"/>
                <w:color w:val="auto"/>
              </w:rPr>
            </w:pPr>
            <w:r>
              <w:rPr>
                <w:rFonts w:ascii="Arial" w:cs="Arial" w:eastAsia="Arial" w:hAnsi="Arial"/>
                <w:sz w:val="18"/>
                <w:szCs w:val="18"/>
                <w:b w:val="1"/>
                <w:bCs w:val="1"/>
                <w:color w:val="0000FF"/>
              </w:rPr>
              <w:t>PART II 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520" w:type="dxa"/>
            <w:vAlign w:val="bottom"/>
            <w:tcBorders>
              <w:top w:val="single" w:sz="8" w:color="0000FF"/>
            </w:tcBorders>
            <w:gridSpan w:val="3"/>
          </w:tcPr>
          <w:p>
            <w:pPr>
              <w:spacing w:after="0"/>
              <w:rPr>
                <w:sz w:val="20"/>
                <w:szCs w:val="20"/>
                <w:color w:val="auto"/>
              </w:rPr>
            </w:pPr>
          </w:p>
        </w:tc>
        <w:tc>
          <w:tcPr>
            <w:tcW w:w="16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Legal Proceedings</w:t>
            </w:r>
          </w:p>
        </w:tc>
        <w:tc>
          <w:tcPr>
            <w:tcW w:w="7700" w:type="dxa"/>
            <w:vAlign w:val="bottom"/>
            <w:gridSpan w:val="12"/>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938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21"/>
                <w:szCs w:val="21"/>
                <w:color w:val="auto"/>
              </w:rPr>
            </w:pPr>
          </w:p>
        </w:tc>
        <w:tc>
          <w:tcPr>
            <w:tcW w:w="400" w:type="dxa"/>
            <w:vAlign w:val="bottom"/>
            <w:gridSpan w:val="2"/>
          </w:tcPr>
          <w:p>
            <w:pPr>
              <w:spacing w:after="0"/>
              <w:rPr>
                <w:sz w:val="21"/>
                <w:szCs w:val="21"/>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3.</w:t>
            </w:r>
          </w:p>
        </w:tc>
        <w:tc>
          <w:tcPr>
            <w:tcW w:w="520" w:type="dxa"/>
            <w:vAlign w:val="bottom"/>
            <w:gridSpan w:val="3"/>
          </w:tcPr>
          <w:p>
            <w:pPr>
              <w:spacing w:after="0"/>
              <w:rPr>
                <w:sz w:val="20"/>
                <w:szCs w:val="20"/>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06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4.</w:t>
            </w:r>
          </w:p>
        </w:tc>
        <w:tc>
          <w:tcPr>
            <w:tcW w:w="520" w:type="dxa"/>
            <w:vAlign w:val="bottom"/>
            <w:gridSpan w:val="3"/>
          </w:tcPr>
          <w:p>
            <w:pPr>
              <w:spacing w:after="0"/>
              <w:rPr>
                <w:sz w:val="20"/>
                <w:szCs w:val="20"/>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7600" w:type="dxa"/>
            <w:vAlign w:val="bottom"/>
            <w:gridSpan w:val="11"/>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5.</w:t>
            </w:r>
          </w:p>
        </w:tc>
        <w:tc>
          <w:tcPr>
            <w:tcW w:w="520" w:type="dxa"/>
            <w:vAlign w:val="bottom"/>
            <w:gridSpan w:val="3"/>
          </w:tcPr>
          <w:p>
            <w:pPr>
              <w:spacing w:after="0"/>
              <w:rPr>
                <w:sz w:val="20"/>
                <w:szCs w:val="20"/>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6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6.</w:t>
            </w:r>
          </w:p>
        </w:tc>
        <w:tc>
          <w:tcPr>
            <w:tcW w:w="520" w:type="dxa"/>
            <w:vAlign w:val="bottom"/>
            <w:gridSpan w:val="3"/>
          </w:tcPr>
          <w:p>
            <w:pPr>
              <w:spacing w:after="0"/>
              <w:rPr>
                <w:sz w:val="20"/>
                <w:szCs w:val="20"/>
                <w:color w:val="auto"/>
              </w:rPr>
            </w:pPr>
          </w:p>
        </w:tc>
        <w:tc>
          <w:tcPr>
            <w:tcW w:w="938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made statements in the sections titled “Management’s Discussion and Analysis of Financial Condition and Results of Operations,” “Quantitative and Qualitative Disclosures About Market Risk” and in other sections of this Quarterly Report on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in the section titled “Risk Factors” in our Annual Report on Form 10-K.</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future results could be affected by a variety of other factors, including, but not limited to, failure to open and operate new centers in a timely and cost-effective manner; shortages or quality control issues with third-party manufacturers or suppliers; competition for surgeons; litigation or medical malpractice claims; inability to protect the confidentiality of our proprietary information; changes in the laws governing the corporate practice of medicine or fee-splitting; changes in the regulatory, macroeconomic conditions, including inflation and the threat of recession, economic and other conditions of the states and jurisdictions where our facilities are located; and business disruption or other losses from war, pandemic, terrorist acts or political unrest.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risk factors discussed in the section titled “Risk Factors” in our Annual Report on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were made, and we are under no duty to update any of these forward-looking statements after the date of this Quarterly Report on Form 10-Q to conform our prior statements to actual results or revised expectations.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vMerge w:val="restart"/>
          </w:tcPr>
          <w:p>
            <w:pPr>
              <w:ind w:left="20"/>
              <w:spacing w:after="0"/>
              <w:rPr>
                <w:sz w:val="20"/>
                <w:szCs w:val="20"/>
                <w:color w:val="auto"/>
              </w:rPr>
            </w:pPr>
            <w:r>
              <w:rPr>
                <w:rFonts w:ascii="Arial" w:cs="Arial" w:eastAsia="Arial" w:hAnsi="Arial"/>
                <w:sz w:val="14"/>
                <w:szCs w:val="14"/>
                <w:color w:val="auto"/>
              </w:rPr>
              <w:t>($000s)</w:t>
            </w:r>
          </w:p>
        </w:tc>
        <w:tc>
          <w:tcPr>
            <w:tcW w:w="240" w:type="dxa"/>
            <w:vAlign w:val="bottom"/>
          </w:tcPr>
          <w:p>
            <w:pPr>
              <w:spacing w:after="0"/>
              <w:rPr>
                <w:sz w:val="14"/>
                <w:szCs w:val="14"/>
                <w:color w:val="auto"/>
              </w:rPr>
            </w:pP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8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96"/>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0" w:type="dxa"/>
            <w:vAlign w:val="bottom"/>
          </w:tcPr>
          <w:p>
            <w:pPr>
              <w:spacing w:after="0"/>
              <w:rPr>
                <w:sz w:val="1"/>
                <w:szCs w:val="1"/>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Taxes receivable</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50"/>
        </w:trPr>
        <w:tc>
          <w:tcPr>
            <w:tcW w:w="816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16,676</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24,206</w:t>
            </w:r>
          </w:p>
        </w:tc>
        <w:tc>
          <w:tcPr>
            <w:tcW w:w="0" w:type="dxa"/>
            <w:vAlign w:val="bottom"/>
          </w:tcPr>
          <w:p>
            <w:pPr>
              <w:spacing w:after="0"/>
              <w:rPr>
                <w:sz w:val="1"/>
                <w:szCs w:val="1"/>
                <w:color w:val="auto"/>
              </w:rPr>
            </w:pPr>
          </w:p>
        </w:tc>
      </w:tr>
      <w:tr>
        <w:trPr>
          <w:trHeight w:val="263"/>
        </w:trPr>
        <w:tc>
          <w:tcPr>
            <w:tcW w:w="816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operating lease assets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23,764</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49,911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51,099</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81,734</w:t>
            </w:r>
          </w:p>
        </w:tc>
        <w:tc>
          <w:tcPr>
            <w:tcW w:w="0" w:type="dxa"/>
            <w:vAlign w:val="bottom"/>
          </w:tcPr>
          <w:p>
            <w:pPr>
              <w:spacing w:after="0"/>
              <w:rPr>
                <w:sz w:val="1"/>
                <w:szCs w:val="1"/>
                <w:color w:val="auto"/>
              </w:rPr>
            </w:pPr>
          </w:p>
        </w:tc>
      </w:tr>
      <w:tr>
        <w:trPr>
          <w:trHeight w:val="257"/>
        </w:trPr>
        <w:tc>
          <w:tcPr>
            <w:tcW w:w="81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209,521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200,759</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w:t>
            </w:r>
          </w:p>
        </w:tc>
        <w:tc>
          <w:tcPr>
            <w:tcW w:w="0" w:type="dxa"/>
            <w:vAlign w:val="bottom"/>
          </w:tcPr>
          <w:p>
            <w:pPr>
              <w:spacing w:after="0"/>
              <w:rPr>
                <w:sz w:val="1"/>
                <w:szCs w:val="1"/>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Accrued payroll and benefits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Deferred revenue and patient deposits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0" w:type="dxa"/>
            <w:vAlign w:val="bottom"/>
          </w:tcPr>
          <w:p>
            <w:pPr>
              <w:spacing w:after="0"/>
              <w:rPr>
                <w:sz w:val="1"/>
                <w:szCs w:val="1"/>
                <w:color w:val="auto"/>
              </w:rPr>
            </w:pPr>
          </w:p>
        </w:tc>
      </w:tr>
      <w:tr>
        <w:trPr>
          <w:trHeight w:val="256"/>
        </w:trPr>
        <w:tc>
          <w:tcPr>
            <w:tcW w:w="816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5,083</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22,318</w:t>
            </w:r>
          </w:p>
        </w:tc>
        <w:tc>
          <w:tcPr>
            <w:tcW w:w="0" w:type="dxa"/>
            <w:vAlign w:val="bottom"/>
          </w:tcPr>
          <w:p>
            <w:pPr>
              <w:spacing w:after="0"/>
              <w:rPr>
                <w:sz w:val="1"/>
                <w:szCs w:val="1"/>
                <w:color w:val="auto"/>
              </w:rPr>
            </w:pP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81,148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81,420</w:t>
            </w:r>
          </w:p>
        </w:tc>
        <w:tc>
          <w:tcPr>
            <w:tcW w:w="0" w:type="dxa"/>
            <w:vAlign w:val="bottom"/>
          </w:tcPr>
          <w:p>
            <w:pPr>
              <w:spacing w:after="0"/>
              <w:rPr>
                <w:sz w:val="1"/>
                <w:szCs w:val="1"/>
                <w:color w:val="auto"/>
              </w:rPr>
            </w:pPr>
          </w:p>
        </w:tc>
      </w:tr>
      <w:tr>
        <w:trPr>
          <w:trHeight w:val="27"/>
        </w:trPr>
        <w:tc>
          <w:tcPr>
            <w:tcW w:w="8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 net</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25,120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19,745</w:t>
            </w: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134,293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129,993</w:t>
            </w:r>
          </w:p>
        </w:tc>
        <w:tc>
          <w:tcPr>
            <w:tcW w:w="0" w:type="dxa"/>
            <w:vAlign w:val="bottom"/>
          </w:tcPr>
          <w:p>
            <w:pPr>
              <w:spacing w:after="0"/>
              <w:rPr>
                <w:sz w:val="1"/>
                <w:szCs w:val="1"/>
                <w:color w:val="auto"/>
              </w:rPr>
            </w:pP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 (Note 9)</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Common stock, $0.001 par value; shares authorized - 450,000,000; shares issued and outstanding - 56,711,260</w:t>
            </w:r>
          </w:p>
        </w:tc>
        <w:tc>
          <w:tcPr>
            <w:tcW w:w="2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56,181,689, respectively</w:t>
            </w:r>
          </w:p>
        </w:tc>
        <w:tc>
          <w:tcPr>
            <w:tcW w:w="24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85,858</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6"/>
        </w:trPr>
        <w:tc>
          <w:tcPr>
            <w:tcW w:w="816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(15,072)</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70,766</w:t>
            </w:r>
          </w:p>
        </w:tc>
        <w:tc>
          <w:tcPr>
            <w:tcW w:w="0" w:type="dxa"/>
            <w:vAlign w:val="bottom"/>
          </w:tcPr>
          <w:p>
            <w:pPr>
              <w:spacing w:after="0"/>
              <w:rPr>
                <w:sz w:val="1"/>
                <w:szCs w:val="1"/>
                <w:color w:val="auto"/>
              </w:rPr>
            </w:pPr>
          </w:p>
        </w:tc>
      </w:tr>
      <w:tr>
        <w:trPr>
          <w:trHeight w:val="263"/>
        </w:trPr>
        <w:tc>
          <w:tcPr>
            <w:tcW w:w="816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209,521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200,759</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299"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Three Months Ended</w:t>
      </w:r>
    </w:p>
    <w:p>
      <w:pPr>
        <w:spacing w:after="0" w:line="17"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22225</wp:posOffset>
            </wp:positionV>
            <wp:extent cx="19716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5880" w:type="dxa"/>
            <w:vAlign w:val="bottom"/>
          </w:tcPr>
          <w:p>
            <w:pPr>
              <w:spacing w:after="0"/>
              <w:rPr>
                <w:sz w:val="20"/>
                <w:szCs w:val="20"/>
                <w:color w:val="auto"/>
              </w:rPr>
            </w:pPr>
            <w:r>
              <w:rPr>
                <w:rFonts w:ascii="Arial" w:cs="Arial" w:eastAsia="Arial" w:hAnsi="Arial"/>
                <w:sz w:val="14"/>
                <w:szCs w:val="14"/>
                <w:b w:val="1"/>
                <w:bCs w:val="1"/>
                <w:color w:val="auto"/>
              </w:rPr>
              <w:t>(in $000s, except for shares and per share figures)</w:t>
            </w:r>
          </w:p>
        </w:tc>
        <w:tc>
          <w:tcPr>
            <w:tcW w:w="3780" w:type="dxa"/>
            <w:vAlign w:val="bottom"/>
          </w:tcPr>
          <w:p>
            <w:pPr>
              <w:jc w:val="right"/>
              <w:ind w:right="568"/>
              <w:spacing w:after="0"/>
              <w:rPr>
                <w:sz w:val="20"/>
                <w:szCs w:val="20"/>
                <w:color w:val="auto"/>
              </w:rPr>
            </w:pPr>
            <w:r>
              <w:rPr>
                <w:rFonts w:ascii="Arial" w:cs="Arial" w:eastAsia="Arial" w:hAnsi="Arial"/>
                <w:sz w:val="14"/>
                <w:szCs w:val="14"/>
                <w:b w:val="1"/>
                <w:bCs w:val="1"/>
                <w:color w:val="auto"/>
              </w:rPr>
              <w:t>2023</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Cost of service (exclusive of depreciation and amortization)</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Gain on disposal of 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operating expenses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Income/(loss) from operations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tabs>
          <w:tab w:leader="none" w:pos="900" w:val="left"/>
          <w:tab w:leader="none" w:pos="1580" w:val="left"/>
          <w:tab w:leader="none" w:pos="2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45,813</w:t>
        <w:tab/>
        <w:t>$</w:t>
      </w:r>
      <w:r>
        <w:rPr>
          <w:sz w:val="20"/>
          <w:szCs w:val="20"/>
          <w:color w:val="auto"/>
        </w:rPr>
        <w:tab/>
      </w:r>
      <w:r>
        <w:rPr>
          <w:rFonts w:ascii="Arial" w:cs="Arial" w:eastAsia="Arial" w:hAnsi="Arial"/>
          <w:sz w:val="15"/>
          <w:szCs w:val="15"/>
          <w:color w:val="auto"/>
        </w:rPr>
        <w:t>39,544</w:t>
      </w:r>
    </w:p>
    <w:p>
      <w:pPr>
        <w:spacing w:after="0" w:line="333"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7"/>
          <w:szCs w:val="17"/>
          <w:color w:val="auto"/>
        </w:rPr>
        <w:t>18,017</w:t>
      </w:r>
      <w:r>
        <w:rPr>
          <w:sz w:val="20"/>
          <w:szCs w:val="20"/>
          <w:color w:val="auto"/>
        </w:rPr>
        <w:tab/>
      </w:r>
      <w:r>
        <w:rPr>
          <w:rFonts w:ascii="Arial" w:cs="Arial" w:eastAsia="Arial" w:hAnsi="Arial"/>
          <w:sz w:val="17"/>
          <w:szCs w:val="17"/>
          <w:color w:val="auto"/>
        </w:rPr>
        <w:t>14,662</w:t>
      </w:r>
    </w:p>
    <w:p>
      <w:pPr>
        <w:spacing w:after="0" w:line="75"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7"/>
          <w:szCs w:val="17"/>
          <w:color w:val="auto"/>
        </w:rPr>
        <w:t>23,882</w:t>
      </w:r>
      <w:r>
        <w:rPr>
          <w:sz w:val="20"/>
          <w:szCs w:val="20"/>
          <w:color w:val="auto"/>
        </w:rPr>
        <w:tab/>
      </w:r>
      <w:r>
        <w:rPr>
          <w:rFonts w:ascii="Arial" w:cs="Arial" w:eastAsia="Arial" w:hAnsi="Arial"/>
          <w:sz w:val="17"/>
          <w:szCs w:val="17"/>
          <w:color w:val="auto"/>
        </w:rPr>
        <w:t>24,167</w:t>
      </w:r>
    </w:p>
    <w:p>
      <w:pPr>
        <w:spacing w:after="0" w:line="75" w:lineRule="exact"/>
        <w:rPr>
          <w:sz w:val="20"/>
          <w:szCs w:val="20"/>
          <w:color w:val="auto"/>
        </w:rPr>
      </w:pPr>
    </w:p>
    <w:p>
      <w:pPr>
        <w:ind w:left="1000"/>
        <w:spacing w:after="0"/>
        <w:tabs>
          <w:tab w:leader="none" w:pos="2580" w:val="left"/>
        </w:tabs>
        <w:rPr>
          <w:sz w:val="20"/>
          <w:szCs w:val="20"/>
          <w:color w:val="auto"/>
        </w:rPr>
      </w:pPr>
      <w:r>
        <w:rPr>
          <w:rFonts w:ascii="Arial" w:cs="Arial" w:eastAsia="Arial" w:hAnsi="Arial"/>
          <w:sz w:val="18"/>
          <w:szCs w:val="18"/>
          <w:color w:val="auto"/>
        </w:rPr>
        <w:t>2,336</w:t>
      </w:r>
      <w:r>
        <w:rPr>
          <w:sz w:val="20"/>
          <w:szCs w:val="20"/>
          <w:color w:val="auto"/>
        </w:rPr>
        <w:tab/>
      </w:r>
      <w:r>
        <w:rPr>
          <w:rFonts w:ascii="Arial" w:cs="Arial" w:eastAsia="Arial" w:hAnsi="Arial"/>
          <w:sz w:val="18"/>
          <w:szCs w:val="18"/>
          <w:color w:val="auto"/>
        </w:rPr>
        <w:t>1,886</w:t>
      </w:r>
    </w:p>
    <w:p>
      <w:pPr>
        <w:spacing w:after="0" w:line="50" w:lineRule="exact"/>
        <w:rPr>
          <w:sz w:val="20"/>
          <w:szCs w:val="20"/>
          <w:color w:val="auto"/>
        </w:rPr>
      </w:pPr>
    </w:p>
    <w:p>
      <w:pPr>
        <w:ind w:left="1060"/>
        <w:spacing w:after="0"/>
        <w:tabs>
          <w:tab w:leader="none" w:pos="280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19716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43"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7"/>
          <w:szCs w:val="17"/>
          <w:color w:val="auto"/>
        </w:rPr>
        <w:t>44,051</w:t>
      </w:r>
      <w:r>
        <w:rPr>
          <w:sz w:val="20"/>
          <w:szCs w:val="20"/>
          <w:color w:val="auto"/>
        </w:rPr>
        <w:tab/>
      </w:r>
      <w:r>
        <w:rPr>
          <w:rFonts w:ascii="Arial" w:cs="Arial" w:eastAsia="Arial" w:hAnsi="Arial"/>
          <w:sz w:val="17"/>
          <w:szCs w:val="17"/>
          <w:color w:val="auto"/>
        </w:rPr>
        <w:t>40,715</w:t>
      </w:r>
    </w:p>
    <w:p>
      <w:pPr>
        <w:spacing w:after="0" w:line="88" w:lineRule="exact"/>
        <w:rPr>
          <w:sz w:val="20"/>
          <w:szCs w:val="20"/>
          <w:color w:val="auto"/>
        </w:rPr>
      </w:pPr>
    </w:p>
    <w:p>
      <w:pPr>
        <w:jc w:val="both"/>
        <w:ind w:left="1000"/>
        <w:spacing w:after="0"/>
        <w:tabs>
          <w:tab w:leader="none" w:pos="2500" w:val="left"/>
        </w:tabs>
        <w:rPr>
          <w:sz w:val="20"/>
          <w:szCs w:val="20"/>
          <w:color w:val="auto"/>
        </w:rPr>
      </w:pPr>
      <w:r>
        <w:rPr>
          <w:rFonts w:ascii="Arial" w:cs="Arial" w:eastAsia="Arial" w:hAnsi="Arial"/>
          <w:sz w:val="18"/>
          <w:szCs w:val="18"/>
          <w:color w:val="auto"/>
        </w:rPr>
        <w:t>1,762</w:t>
      </w:r>
      <w:r>
        <w:rPr>
          <w:sz w:val="20"/>
          <w:szCs w:val="20"/>
          <w:color w:val="auto"/>
        </w:rPr>
        <w:tab/>
      </w:r>
      <w:r>
        <w:rPr>
          <w:rFonts w:ascii="Arial" w:cs="Arial" w:eastAsia="Arial" w:hAnsi="Arial"/>
          <w:sz w:val="18"/>
          <w:szCs w:val="18"/>
          <w:color w:val="auto"/>
        </w:rPr>
        <w:t>(1,171)</w:t>
      </w:r>
    </w:p>
    <w:p>
      <w:pPr>
        <w:spacing w:after="0" w:line="43" w:lineRule="exact"/>
        <w:rPr>
          <w:sz w:val="20"/>
          <w:szCs w:val="20"/>
          <w:color w:val="auto"/>
        </w:rPr>
      </w:pPr>
    </w:p>
    <w:p>
      <w:pPr>
        <w:sectPr>
          <w:pgSz w:w="11900" w:h="16838" w:orient="portrait"/>
          <w:cols w:equalWidth="0" w:num="2">
            <w:col w:w="7440" w:space="720"/>
            <w:col w:w="308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w:t>
            </w:r>
          </w:p>
        </w:tc>
      </w:tr>
      <w:tr>
        <w:trPr>
          <w:trHeight w:val="237"/>
        </w:trPr>
        <w:tc>
          <w:tcPr>
            <w:tcW w:w="8140" w:type="dxa"/>
            <w:vAlign w:val="bottom"/>
          </w:tcPr>
          <w:p>
            <w:pPr>
              <w:ind w:left="360"/>
              <w:spacing w:after="0"/>
              <w:rPr>
                <w:sz w:val="20"/>
                <w:szCs w:val="20"/>
                <w:color w:val="auto"/>
              </w:rPr>
            </w:pPr>
            <w:r>
              <w:rPr>
                <w:rFonts w:ascii="Arial" w:cs="Arial" w:eastAsia="Arial" w:hAnsi="Arial"/>
                <w:sz w:val="18"/>
                <w:szCs w:val="18"/>
                <w:color w:val="auto"/>
              </w:rPr>
              <w:t>Pre-tax net income/(loss)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(2,663)</w:t>
            </w:r>
          </w:p>
        </w:tc>
      </w:tr>
      <w:tr>
        <w:trPr>
          <w:trHeight w:val="27"/>
        </w:trPr>
        <w:tc>
          <w:tcPr>
            <w:tcW w:w="8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57"/>
        </w:trPr>
        <w:tc>
          <w:tcPr>
            <w:tcW w:w="81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8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Loss per share of common stock</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63"/>
        </w:trPr>
        <w:tc>
          <w:tcPr>
            <w:tcW w:w="814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5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63"/>
        </w:trPr>
        <w:tc>
          <w:tcPr>
            <w:tcW w:w="814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56,443,370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55,640,154</w:t>
            </w:r>
          </w:p>
        </w:tc>
      </w:tr>
      <w:tr>
        <w:trPr>
          <w:trHeight w:val="277"/>
        </w:trPr>
        <w:tc>
          <w:tcPr>
            <w:tcW w:w="8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56,443,370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55,640,154</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Other Comprehensive Income/(Loss) (Unaudited)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794"/>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w:t>
            </w:r>
          </w:p>
        </w:tc>
        <w:tc>
          <w:tcPr>
            <w:tcW w:w="1060" w:type="dxa"/>
            <w:vAlign w:val="bottom"/>
          </w:tcPr>
          <w:p>
            <w:pPr>
              <w:spacing w:after="0"/>
              <w:rPr>
                <w:sz w:val="16"/>
                <w:szCs w:val="16"/>
                <w:color w:val="auto"/>
              </w:rPr>
            </w:pPr>
          </w:p>
        </w:tc>
      </w:tr>
      <w:tr>
        <w:trPr>
          <w:trHeight w:val="26"/>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7"/>
        </w:trPr>
        <w:tc>
          <w:tcPr>
            <w:tcW w:w="8160" w:type="dxa"/>
            <w:vAlign w:val="bottom"/>
          </w:tcPr>
          <w:p>
            <w:pPr>
              <w:ind w:left="20"/>
              <w:spacing w:after="0"/>
              <w:rPr>
                <w:sz w:val="20"/>
                <w:szCs w:val="20"/>
                <w:color w:val="auto"/>
              </w:rPr>
            </w:pPr>
            <w:r>
              <w:rPr>
                <w:rFonts w:ascii="Arial" w:cs="Arial" w:eastAsia="Arial" w:hAnsi="Arial"/>
                <w:sz w:val="14"/>
                <w:szCs w:val="14"/>
                <w:b w:val="1"/>
                <w:bCs w:val="1"/>
                <w:color w:val="auto"/>
              </w:rPr>
              <w:t>($000s)</w:t>
            </w:r>
          </w:p>
        </w:tc>
        <w:tc>
          <w:tcPr>
            <w:tcW w:w="360" w:type="dxa"/>
            <w:vAlign w:val="bottom"/>
          </w:tcPr>
          <w:p>
            <w:pPr>
              <w:spacing w:after="0"/>
              <w:rPr>
                <w:sz w:val="17"/>
                <w:szCs w:val="17"/>
                <w:color w:val="auto"/>
              </w:rPr>
            </w:pPr>
          </w:p>
        </w:tc>
        <w:tc>
          <w:tcPr>
            <w:tcW w:w="1120" w:type="dxa"/>
            <w:vAlign w:val="bottom"/>
          </w:tcPr>
          <w:p>
            <w:pPr>
              <w:jc w:val="right"/>
              <w:ind w:right="49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6"/>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foreign currency translation adjustment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3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1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336"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3420" w:type="dxa"/>
            <w:vAlign w:val="bottom"/>
          </w:tcPr>
          <w:p>
            <w:pPr>
              <w:spacing w:after="0"/>
              <w:rPr>
                <w:sz w:val="16"/>
                <w:szCs w:val="16"/>
                <w:color w:val="auto"/>
              </w:rPr>
            </w:pPr>
          </w:p>
        </w:tc>
        <w:tc>
          <w:tcPr>
            <w:tcW w:w="210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4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($000s)</w:t>
            </w:r>
          </w:p>
        </w:tc>
        <w:tc>
          <w:tcPr>
            <w:tcW w:w="11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4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w w:val="98"/>
              </w:rPr>
              <w:t>Paid-in 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ind w:right="13"/>
              <w:spacing w:after="0"/>
              <w:rPr>
                <w:sz w:val="20"/>
                <w:szCs w:val="20"/>
                <w:color w:val="auto"/>
              </w:rPr>
            </w:pPr>
            <w:r>
              <w:rPr>
                <w:rFonts w:ascii="Arial" w:cs="Arial" w:eastAsia="Arial" w:hAnsi="Arial"/>
                <w:sz w:val="14"/>
                <w:szCs w:val="14"/>
                <w:b w:val="1"/>
                <w:bCs w:val="1"/>
                <w:color w:val="auto"/>
                <w:w w:val="91"/>
              </w:rPr>
              <w:t>Comprehensive Income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293"/>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2021</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ind w:left="1193"/>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83,528</w:t>
            </w:r>
          </w:p>
        </w:tc>
        <w:tc>
          <w:tcPr>
            <w:tcW w:w="0" w:type="dxa"/>
            <w:vAlign w:val="bottom"/>
          </w:tcPr>
          <w:p>
            <w:pPr>
              <w:spacing w:after="0"/>
              <w:rPr>
                <w:sz w:val="1"/>
                <w:szCs w:val="1"/>
                <w:color w:val="auto"/>
              </w:rPr>
            </w:pPr>
          </w:p>
        </w:tc>
      </w:tr>
      <w:tr>
        <w:trPr>
          <w:trHeight w:val="237"/>
        </w:trPr>
        <w:tc>
          <w:tcPr>
            <w:tcW w:w="342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left="119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Equity-based compensation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center"/>
              <w:ind w:left="119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30"/>
        </w:trPr>
        <w:tc>
          <w:tcPr>
            <w:tcW w:w="34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119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5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55,640,154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ind w:left="1193"/>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89,869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56,181,689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ind w:left="1153"/>
              <w:spacing w:after="0"/>
              <w:rPr>
                <w:sz w:val="20"/>
                <w:szCs w:val="20"/>
                <w:color w:val="auto"/>
              </w:rPr>
            </w:pPr>
            <w:r>
              <w:rPr>
                <w:rFonts w:ascii="Arial" w:cs="Arial" w:eastAsia="Arial" w:hAnsi="Arial"/>
                <w:sz w:val="18"/>
                <w:szCs w:val="18"/>
                <w:color w:val="auto"/>
                <w:w w:val="93"/>
              </w:rPr>
              <w:t>(76)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70,766</w:t>
            </w:r>
          </w:p>
        </w:tc>
        <w:tc>
          <w:tcPr>
            <w:tcW w:w="0" w:type="dxa"/>
            <w:vAlign w:val="bottom"/>
          </w:tcPr>
          <w:p>
            <w:pPr>
              <w:spacing w:after="0"/>
              <w:rPr>
                <w:sz w:val="1"/>
                <w:szCs w:val="1"/>
                <w:color w:val="auto"/>
              </w:rPr>
            </w:pPr>
          </w:p>
        </w:tc>
      </w:tr>
      <w:tr>
        <w:trPr>
          <w:trHeight w:val="176"/>
        </w:trPr>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rPr>
              <w:t>Issuance of common stock through unit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529,571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vMerge w:val="restart"/>
          </w:tcPr>
          <w:p>
            <w:pPr>
              <w:jc w:val="center"/>
              <w:ind w:left="119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420" w:type="dxa"/>
            <w:vAlign w:val="bottom"/>
          </w:tcPr>
          <w:p>
            <w:pPr>
              <w:ind w:left="160"/>
              <w:spacing w:after="0"/>
              <w:rPr>
                <w:sz w:val="20"/>
                <w:szCs w:val="20"/>
                <w:color w:val="auto"/>
              </w:rPr>
            </w:pPr>
            <w:r>
              <w:rPr>
                <w:rFonts w:ascii="Arial" w:cs="Arial" w:eastAsia="Arial" w:hAnsi="Arial"/>
                <w:sz w:val="18"/>
                <w:szCs w:val="18"/>
                <w:color w:val="auto"/>
              </w:rPr>
              <w:t>vesting</w:t>
            </w:r>
          </w:p>
        </w:tc>
        <w:tc>
          <w:tcPr>
            <w:tcW w:w="1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center"/>
              <w:ind w:left="119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3420" w:type="dxa"/>
            <w:vAlign w:val="bottom"/>
          </w:tcPr>
          <w:p>
            <w:pPr>
              <w:ind w:left="160"/>
              <w:spacing w:after="0"/>
              <w:rPr>
                <w:sz w:val="20"/>
                <w:szCs w:val="20"/>
                <w:color w:val="auto"/>
              </w:rPr>
            </w:pPr>
            <w:r>
              <w:rPr>
                <w:rFonts w:ascii="Arial" w:cs="Arial" w:eastAsia="Arial" w:hAnsi="Arial"/>
                <w:sz w:val="18"/>
                <w:szCs w:val="18"/>
                <w:color w:val="auto"/>
              </w:rPr>
              <w:t>Equity-based compensation</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center"/>
              <w:ind w:left="1193"/>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4,388</w:t>
            </w: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jc w:val="center"/>
              <w:ind w:left="1193"/>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342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1193"/>
              <w:spacing w:after="0"/>
              <w:rPr>
                <w:sz w:val="20"/>
                <w:szCs w:val="20"/>
                <w:color w:val="auto"/>
              </w:rPr>
            </w:pPr>
            <w:r>
              <w:rPr>
                <w:rFonts w:ascii="Arial" w:cs="Arial" w:eastAsia="Arial" w:hAnsi="Arial"/>
                <w:sz w:val="18"/>
                <w:szCs w:val="18"/>
                <w:color w:val="auto"/>
                <w:w w:val="89"/>
              </w:rPr>
              <w:t>22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56,711,260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center"/>
              <w:ind w:left="1153"/>
              <w:spacing w:after="0"/>
              <w:rPr>
                <w:sz w:val="20"/>
                <w:szCs w:val="20"/>
                <w:color w:val="auto"/>
              </w:rPr>
            </w:pPr>
            <w:r>
              <w:rPr>
                <w:rFonts w:ascii="Arial" w:cs="Arial" w:eastAsia="Arial" w:hAnsi="Arial"/>
                <w:sz w:val="18"/>
                <w:szCs w:val="18"/>
                <w:color w:val="auto"/>
                <w:w w:val="93"/>
              </w:rPr>
              <w:t>(54)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517" w:right="51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20" w:type="dxa"/>
            <w:vAlign w:val="bottom"/>
            <w:gridSpan w:val="4"/>
          </w:tcPr>
          <w:p>
            <w:pPr>
              <w:jc w:val="right"/>
              <w:ind w:right="791"/>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March 31,</w:t>
            </w:r>
          </w:p>
        </w:tc>
        <w:tc>
          <w:tcPr>
            <w:tcW w:w="1060" w:type="dxa"/>
            <w:vAlign w:val="bottom"/>
          </w:tcPr>
          <w:p>
            <w:pPr>
              <w:spacing w:after="0"/>
              <w:rPr>
                <w:sz w:val="16"/>
                <w:szCs w:val="16"/>
                <w:color w:val="auto"/>
              </w:rPr>
            </w:pPr>
          </w:p>
        </w:tc>
      </w:tr>
      <w:tr>
        <w:trPr>
          <w:trHeight w:val="26"/>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3"/>
        </w:trPr>
        <w:tc>
          <w:tcPr>
            <w:tcW w:w="8160" w:type="dxa"/>
            <w:vAlign w:val="bottom"/>
          </w:tcPr>
          <w:p>
            <w:pPr>
              <w:ind w:left="20"/>
              <w:spacing w:after="0"/>
              <w:rPr>
                <w:sz w:val="20"/>
                <w:szCs w:val="20"/>
                <w:color w:val="auto"/>
              </w:rPr>
            </w:pPr>
            <w:r>
              <w:rPr>
                <w:rFonts w:ascii="Arial" w:cs="Arial" w:eastAsia="Arial" w:hAnsi="Arial"/>
                <w:sz w:val="14"/>
                <w:szCs w:val="14"/>
                <w:color w:val="auto"/>
              </w:rPr>
              <w:t>($000s)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5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2,336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1,886</w:t>
            </w: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Equity-based compensation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7,316</w:t>
            </w: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Non-cash interest expense; amortization of debt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63"/>
        </w:trPr>
        <w:tc>
          <w:tcPr>
            <w:tcW w:w="8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50"/>
        </w:trPr>
        <w:tc>
          <w:tcPr>
            <w:tcW w:w="8160" w:type="dxa"/>
            <w:vAlign w:val="bottom"/>
          </w:tcPr>
          <w:p>
            <w:pPr>
              <w:ind w:left="360"/>
              <w:spacing w:after="0"/>
              <w:rPr>
                <w:sz w:val="20"/>
                <w:szCs w:val="20"/>
                <w:color w:val="auto"/>
              </w:rPr>
            </w:pPr>
            <w:r>
              <w:rPr>
                <w:rFonts w:ascii="Arial" w:cs="Arial" w:eastAsia="Arial" w:hAnsi="Arial"/>
                <w:sz w:val="18"/>
                <w:szCs w:val="18"/>
                <w:color w:val="auto"/>
              </w:rPr>
              <w:t>Taxes receivable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 and other current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43"/>
        </w:trPr>
        <w:tc>
          <w:tcPr>
            <w:tcW w:w="816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(3,230)</w:t>
            </w: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250"/>
        </w:trPr>
        <w:tc>
          <w:tcPr>
            <w:tcW w:w="8160" w:type="dxa"/>
            <w:vAlign w:val="bottom"/>
          </w:tcPr>
          <w:p>
            <w:pPr>
              <w:ind w:left="360"/>
              <w:spacing w:after="0"/>
              <w:rPr>
                <w:sz w:val="20"/>
                <w:szCs w:val="20"/>
                <w:color w:val="auto"/>
              </w:rPr>
            </w:pPr>
            <w:r>
              <w:rPr>
                <w:rFonts w:ascii="Arial" w:cs="Arial" w:eastAsia="Arial" w:hAnsi="Arial"/>
                <w:sz w:val="18"/>
                <w:szCs w:val="18"/>
                <w:color w:val="auto"/>
              </w:rPr>
              <w:t>Deferred revenue and patient deposits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63"/>
        </w:trPr>
        <w:tc>
          <w:tcPr>
            <w:tcW w:w="8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50"/>
        </w:trPr>
        <w:tc>
          <w:tcPr>
            <w:tcW w:w="8160" w:type="dxa"/>
            <w:vAlign w:val="bottom"/>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w:t>
            </w: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color w:val="auto"/>
              </w:rPr>
              <w:t>Purchases of property and equipment, net</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(3,815)</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r>
      <w:tr>
        <w:trPr>
          <w:trHeight w:val="250"/>
        </w:trPr>
        <w:tc>
          <w:tcPr>
            <w:tcW w:w="8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on term loan</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Distribution to member</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paid to shareholders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r>
      <w:tr>
        <w:trPr>
          <w:trHeight w:val="257"/>
        </w:trPr>
        <w:tc>
          <w:tcPr>
            <w:tcW w:w="8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25,347</w:t>
            </w:r>
          </w:p>
        </w:tc>
      </w:tr>
      <w:tr>
        <w:trPr>
          <w:trHeight w:val="263"/>
        </w:trPr>
        <w:tc>
          <w:tcPr>
            <w:tcW w:w="81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11,283</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27,229</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75"/>
        </w:trPr>
        <w:tc>
          <w:tcPr>
            <w:tcW w:w="81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108"/>
        </w:trPr>
        <w:tc>
          <w:tcPr>
            <w:tcW w:w="8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information:</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included in accounts payable and accrued expenses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411</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358</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AirSculpt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KEY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AirSculpt Technologies, Inc. (“AirSculpt” or the "Company"), was formed as a Delaware corporation on June 30, 2021. On October 28, 2021, AirSculpt completed an initial public offering (“IPO”) of 8,050,000 shares of common stock at an initial public offering price of $11.00 per share. Immediately following the IPO, AirSculpt’s total outstanding shares were 55,640,154. Pursuant to a reorganization (the “Reorganization”) among entities under common control immediately prior to the IPO, AirSculpt became a holding company with its principal asset being 100% of the ownership interests in EBS Intermediate Parent LLC. The Company’s revenues are concentrated in the specialty, minimally invasive liposuction market. The operations of the Company prior to the IPO represent the predecessor to AirSculpt. The Company and its consolidated subsidiaries are referred to collectively in this Quarterly Report on Form 10-Q (“10-Q Report”) as “we,” “our,” and “us.” Solely for convenience, some of the copyrights, trade names and trademarks referred to in this 10-Q Report are listed without their </w:t>
      </w:r>
      <w:r>
        <w:rPr>
          <w:rFonts w:ascii="Arial" w:cs="Arial" w:eastAsia="Arial" w:hAnsi="Arial"/>
          <w:sz w:val="13"/>
          <w:szCs w:val="13"/>
          <w:color w:val="auto"/>
        </w:rPr>
        <w:t>©</w:t>
      </w:r>
      <w:r>
        <w:rPr>
          <w:rFonts w:ascii="Arial" w:cs="Arial" w:eastAsia="Arial" w:hAnsi="Arial"/>
          <w:sz w:val="18"/>
          <w:szCs w:val="18"/>
          <w:color w:val="auto"/>
        </w:rPr>
        <w:t xml:space="preserve">, </w:t>
      </w:r>
      <w:r>
        <w:rPr>
          <w:rFonts w:ascii="Arial" w:cs="Arial" w:eastAsia="Arial" w:hAnsi="Arial"/>
          <w:sz w:val="13"/>
          <w:szCs w:val="13"/>
          <w:color w:val="auto"/>
        </w:rPr>
        <w:t>®</w:t>
      </w:r>
      <w:r>
        <w:rPr>
          <w:rFonts w:ascii="Arial" w:cs="Arial" w:eastAsia="Arial" w:hAnsi="Arial"/>
          <w:sz w:val="18"/>
          <w:szCs w:val="18"/>
          <w:color w:val="auto"/>
        </w:rPr>
        <w:t xml:space="preserve"> and ™ symbols, but we will assert, to the fullest extent under applicable law, our rights to our copyrights, trade names and trademarks.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through its wholly-owned subsidiaries, is a provider of practice management services to professional associations (“PAs”) located throughout the United States. The Company owns and operates non-clinical assets and provides its management services to the PAs through management services agreements (“MSAs”). Management services provide for the administration of the non-clinical aspects of the medical operations and include, but are not limited to, financial, administrative, technical, marketing, and personnel services. Pursuant to the MSA, the PA is responsible for all clinical aspects of the medical operations of the practice.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These consolidated financial statements present the financial position and results of operations of the Company, its wholly-owned subsidiaries, and the PAs, which are under the control of the Company and are considered variable interest entities in which the Company is the primary beneficiary.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accounts and transactions have been eliminated in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has a variable interest in the managed PAs where it has a long-term and unilateral controlling financial interest over such PAs’ assets and operations. The Company has the ability to direct the activities that most significantly affect the PAs’ economic performance via the MSAs and related agreements. The Company is a practice management service organization and does not engage in the practice of medicine. These services are provided by licensed professionals at each of the PAs. Certain key features of the MSAs and related agreements enable the Company to assign the member interests of certain of the PAs to another member designated by the Company (i.e., “nominee shareholder”) for a nominal value in certain circumstances at the Company’s sole discretion. The MSA does not allow the Company to be involved in, or provide guidance on, the clinical operations of the PAs. The Company consolidates the PAs into the financial statements. All of the Company’s revenue is earned from services provided by the PAs. The only assets and liabilities held by the PAs included in the accompanying consolidated balance sheets are clinical related. The clinical assets and liabilities are not material to the Company as a whole.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condensed consolidated balance sheet as of March 31, 2023, and the condensed consolidated statements of operations, stockholders' equity, and cash flows for the three months ended March 31, 2023 and 2022 are unaudited. The unaudited condensed consolidated financial statements have been prepared on the same basis as the annual consolidated financial statements and reflect, in the opinion of management, all adjustments of a normal and recurring nature that are necessary for the fair statement of the Company’s financial position as of March 31, 2023 and the results of operations and cash flows for the three months ended March 31, 2023 and 2022. Certain information and footnote disclosures normally included in financial statements prepared in accordance with U.S. GAAP have been condensed or omitted. The financial data and the other financial information disclosed in these notes to the condensed consolidated financial statements related to the three months ended March 31, 2023 and 2022 are also unaudited. The consolidated results of operations for the three months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ended March 31, 2023 are not necessarily indicative of results to be expected for the year ending December 31, 2023 or for any other future annual or interim period.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condensed consolidated balance sheet as of December 31, 2022 is derived from the Company’s annual audited consolidated financial statements for the year ended December 31, 2022, which should be read in conjunction with these condensed consolidated financial statements and which are included in the Company’s Annual Report dated March 10, 2023 filed with the Securities and Exchange Commission (“SEC”) pursuant to Section 13 or 15(d) of the Securities Exchange Act of 1934.</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as well as interests in PAs controlled by the Company through rights granted to the Company by contract to manage and control the affiliate’s business (as described in “Variable Interest Entities” above). All significant intercompany balances and transactions are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consists primarily of revenue earned for the provision of the Company’s patented AirSculpt® procedures. 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 The Company’s performance obligations are delivery of specialty, minimally invasive liposuction services.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assists patients, as needed, by providing third-party financing options to pay for procedures. The Company has arrangements with various financing companies to facilitate this option. There is a financing transaction fee based on a set percentage of the amount financed and the Company recognizes revenue based on the expected transaction price which is reduced for financing fees.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for services is recognized when the service is performed. Payment is typically rendered in advance of the service. Customer contracts generally do not include more than one performance obligation.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require payment for services in advance. Payments received for services that have yet to be performed as of March 31, 2023 and December 31, 2022 are included in deferred revenue and patient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Costs, Net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 costs and discounts are capitalized in the period in which they are incurred and amortized on the straight-line basis over the term of the respective financing agreement which approximates the effective interest method. These costs are included as a reduction of long-term debt on the condensed consolidated balance sheets. Total amortization of deferred financing costs was approximately $0.3 million and $0.2 million for the three months ended March 31, 2023 and 2022, respectively. Amortization of loan costs and discounts is included as a component of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accounts for impairment of long-lived assets in accordance with the provisions of the Financial Accounting Standards Board (“FASB”) Accounting Standards Codification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and Topic 360, </w:t>
      </w:r>
      <w:r>
        <w:rPr>
          <w:rFonts w:ascii="Arial" w:cs="Arial" w:eastAsia="Arial" w:hAnsi="Arial"/>
          <w:sz w:val="17"/>
          <w:szCs w:val="17"/>
          <w:i w:val="1"/>
          <w:iCs w:val="1"/>
          <w:color w:val="auto"/>
        </w:rPr>
        <w:t>Impairment or Disposal of Long-Lived Assets</w:t>
      </w:r>
      <w:r>
        <w:rPr>
          <w:rFonts w:ascii="Arial" w:cs="Arial" w:eastAsia="Arial" w:hAnsi="Arial"/>
          <w:sz w:val="17"/>
          <w:szCs w:val="17"/>
          <w:color w:val="auto"/>
        </w:rPr>
        <w:t>. These standards require that long-lived assets and certain identifiable intangibles be reviewed for impairment whenever events or changes in circumstances indicate that the carrying amount of an asset may not be recoverable. Recoverability of long-lived assets to be held and used is measured by a comparison of the carrying amount of an asset to future estimated cash flows expected to arise as a direct result of the use and eventual disposition of the asset.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charges were recognized for the three months ended March 31, 2023 and 2022.</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w:t>
      </w:r>
      <w:r>
        <w:rPr>
          <w:rFonts w:ascii="Arial" w:cs="Arial" w:eastAsia="Arial" w:hAnsi="Arial"/>
          <w:sz w:val="17"/>
          <w:szCs w:val="17"/>
          <w:color w:val="auto"/>
        </w:rPr>
        <w:t>s, defines fair value, establishes a framework for measuring fair value in accordance with accounting principles generally accepted in the United States, and expands disclosure requirements about fair value measurements.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ASC Topic 820 defines three categories for the classification and measurement of assets and liabilities carried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observable inputs that are corroborated by market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financial instruments is generally estimated through the use of public market prices, quotes from financial institutions and other available information. Judgment is required in interpreting data to develop estimates of market value and, accordingly, amounts are not necessarily indicative of the amounts that could be realized in a current market exchange.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Short-term financial instruments, including cash, prepaid expenses and other current assets, accounts payable, and other liabilities, consist primarily of instruments without extended maturities, for which the fair value, based on management’s estimates, approximates their carrying values. Borrowings bear interest at what is estimated to be current market rates of interest, accordingly, carrying value approximates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of common stock is computed by dividing net loss for the three months ended March 31, 2023 and 2022 by the weighted-average number of shares of common stock outstanding during the same period. Diluted earnings per share of common stock is computed by dividing net loss for the three months ended March 31, 2023 and 2022 by the weighted-average number of shares of common stock adjusted to give effect to potentially dilutive securities. Diluted loss per share for the three months ended March 31, 2023 and 2022 is the same as basic loss per share as the inclusion of potentially dilutive shares would be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Advertising costs are expensed in the period when the costs are incurred and are included as a component of selling, general and administrative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Advertising expenses were approximately $6.1 million and $4.8 million for the three months ended March 31, 2023 and 2022,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applies the provisions of ASC 740-10, </w:t>
      </w:r>
      <w:r>
        <w:rPr>
          <w:rFonts w:ascii="Arial" w:cs="Arial" w:eastAsia="Arial" w:hAnsi="Arial"/>
          <w:sz w:val="18"/>
          <w:szCs w:val="18"/>
          <w:i w:val="1"/>
          <w:iCs w:val="1"/>
          <w:color w:val="auto"/>
        </w:rPr>
        <w:t>Accounting for Uncertain Tax Positions</w:t>
      </w:r>
      <w:r>
        <w:rPr>
          <w:rFonts w:ascii="Arial" w:cs="Arial" w:eastAsia="Arial" w:hAnsi="Arial"/>
          <w:sz w:val="18"/>
          <w:szCs w:val="18"/>
          <w:color w:val="auto"/>
        </w:rPr>
        <w:t xml:space="preserve"> (“ASC 740-10”). Under these provisions, companies must determine and assess all material positions existing as of the reporting date, including all significant uncertain positions, for all tax years that are open to assessment or challenge under tax statutes. Additionally, those positions that have only timing consequences are analyzed and separated based on ASC 740-10’s recognition and measurement model.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740-10 provides guidance related to uncertain tax positions for pass-through entities and tax-exempt not-for profit entities. ASC 740-10 also modifies disclosure requirements related to uncertain tax positions for nonpublic entities and provides that all entities are subject to ASC 740-10 even if the only tax position in question is the entity’s status as a pass-through.</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required by the uncertain tax position guidance,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condensed consolidated financial statements is the largest benefit that has a greater than 50 percent likelihood of being realized upon ultimate settlement with the relevant tax authority. The Company applied the uncertain tax position guidance to all tax positions for which the statute of limitations remained open and determined that there are no uncertain tax positions as of March 31,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2023 or December 31, 2022. The Company is not subject to U.S. federal tax examination prior to 2021, when it was formed.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an effective tax rate of approximately 151.9% and 73.98% for the three months ended March 31, 2023 and 2022, respectively, inclusive of all applicable U.S. federal and state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GOODWILL AND INTANGIBLES,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annual review of goodwill impairment will be performed in October 2023. There were no triggering events during the three months ended March 31, 2023 and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goodwill of $81.7 million at March 31, 2023 and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March 31, 2023 and December 31, 2022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spacing w:after="0"/>
              <w:rPr>
                <w:sz w:val="14"/>
                <w:szCs w:val="14"/>
                <w:color w:val="auto"/>
              </w:rPr>
            </w:pPr>
          </w:p>
        </w:tc>
      </w:tr>
      <w:tr>
        <w:trPr>
          <w:trHeight w:val="186"/>
        </w:trPr>
        <w:tc>
          <w:tcPr>
            <w:tcW w:w="6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580" w:type="dxa"/>
            <w:vAlign w:val="bottom"/>
          </w:tcPr>
          <w:p>
            <w:pPr>
              <w:jc w:val="center"/>
              <w:ind w:left="16"/>
              <w:spacing w:after="0"/>
              <w:rPr>
                <w:sz w:val="20"/>
                <w:szCs w:val="20"/>
                <w:color w:val="auto"/>
              </w:rPr>
            </w:pPr>
            <w:r>
              <w:rPr>
                <w:rFonts w:ascii="Arial" w:cs="Arial" w:eastAsia="Arial" w:hAnsi="Arial"/>
                <w:sz w:val="14"/>
                <w:szCs w:val="14"/>
                <w:b w:val="1"/>
                <w:bCs w:val="1"/>
                <w:color w:val="auto"/>
                <w:w w:val="94"/>
              </w:rPr>
              <w:t>Useful Life</w:t>
            </w:r>
          </w:p>
        </w:tc>
      </w:tr>
      <w:tr>
        <w:trPr>
          <w:trHeight w:val="26"/>
        </w:trPr>
        <w:tc>
          <w:tcPr>
            <w:tcW w:w="6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know-how</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53,600</w:t>
            </w:r>
          </w:p>
        </w:tc>
        <w:tc>
          <w:tcPr>
            <w:tcW w:w="1580" w:type="dxa"/>
            <w:vAlign w:val="bottom"/>
            <w:shd w:val="clear" w:color="auto" w:fill="CCEEFF"/>
          </w:tcPr>
          <w:p>
            <w:pPr>
              <w:jc w:val="center"/>
              <w:ind w:left="16"/>
              <w:spacing w:after="0"/>
              <w:rPr>
                <w:sz w:val="20"/>
                <w:szCs w:val="20"/>
                <w:color w:val="auto"/>
              </w:rPr>
            </w:pPr>
            <w:r>
              <w:rPr>
                <w:rFonts w:ascii="Arial" w:cs="Arial" w:eastAsia="Arial" w:hAnsi="Arial"/>
                <w:sz w:val="18"/>
                <w:szCs w:val="18"/>
                <w:color w:val="auto"/>
                <w:w w:val="86"/>
              </w:rPr>
              <w:t>15 years</w:t>
            </w: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Trademarks and tradenames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1580" w:type="dxa"/>
            <w:vAlign w:val="bottom"/>
          </w:tcPr>
          <w:p>
            <w:pPr>
              <w:jc w:val="center"/>
              <w:ind w:left="16"/>
              <w:spacing w:after="0"/>
              <w:rPr>
                <w:sz w:val="20"/>
                <w:szCs w:val="20"/>
                <w:color w:val="auto"/>
              </w:rPr>
            </w:pPr>
            <w:r>
              <w:rPr>
                <w:rFonts w:ascii="Arial" w:cs="Arial" w:eastAsia="Arial" w:hAnsi="Arial"/>
                <w:sz w:val="18"/>
                <w:szCs w:val="18"/>
                <w:color w:val="auto"/>
                <w:w w:val="86"/>
              </w:rPr>
              <w:t>15 years</w:t>
            </w:r>
          </w:p>
        </w:tc>
      </w:tr>
      <w:tr>
        <w:trPr>
          <w:trHeight w:val="243"/>
        </w:trPr>
        <w:tc>
          <w:tcPr>
            <w:tcW w:w="6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71,300</w:t>
            </w:r>
          </w:p>
        </w:tc>
        <w:tc>
          <w:tcPr>
            <w:tcW w:w="1580" w:type="dxa"/>
            <w:vAlign w:val="bottom"/>
            <w:tcBorders>
              <w:bottom w:val="single" w:sz="8" w:color="CCEEFF"/>
            </w:tcBorders>
            <w:shd w:val="clear" w:color="auto" w:fill="CCEEFF"/>
          </w:tcPr>
          <w:p>
            <w:pPr>
              <w:spacing w:after="0"/>
              <w:rPr>
                <w:sz w:val="21"/>
                <w:szCs w:val="2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Accumulated amortization of technology and know-how</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(15,186)</w:t>
            </w:r>
          </w:p>
        </w:tc>
        <w:tc>
          <w:tcPr>
            <w:tcW w:w="1580" w:type="dxa"/>
            <w:vAlign w:val="bottom"/>
          </w:tcPr>
          <w:p>
            <w:pPr>
              <w:spacing w:after="0"/>
              <w:rPr>
                <w:sz w:val="21"/>
                <w:szCs w:val="21"/>
                <w:color w:val="auto"/>
              </w:rPr>
            </w:pPr>
          </w:p>
        </w:tc>
      </w:tr>
      <w:tr>
        <w:trPr>
          <w:trHeight w:val="257"/>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amortization of tradenames and trademarks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1580" w:type="dxa"/>
            <w:vAlign w:val="bottom"/>
            <w:tcBorders>
              <w:bottom w:val="single" w:sz="8" w:color="CCEEFF"/>
            </w:tcBorders>
            <w:shd w:val="clear" w:color="auto" w:fill="CCEEFF"/>
          </w:tcPr>
          <w:p>
            <w:pPr>
              <w:spacing w:after="0"/>
              <w:rPr>
                <w:sz w:val="22"/>
                <w:szCs w:val="22"/>
                <w:color w:val="auto"/>
              </w:rPr>
            </w:pPr>
          </w:p>
        </w:tc>
      </w:tr>
      <w:tr>
        <w:trPr>
          <w:trHeight w:val="256"/>
        </w:trPr>
        <w:tc>
          <w:tcPr>
            <w:tcW w:w="660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49,911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51,099</w:t>
            </w:r>
          </w:p>
        </w:tc>
        <w:tc>
          <w:tcPr>
            <w:tcW w:w="1580" w:type="dxa"/>
            <w:vAlign w:val="bottom"/>
          </w:tcPr>
          <w:p>
            <w:pPr>
              <w:spacing w:after="0"/>
              <w:rPr>
                <w:sz w:val="22"/>
                <w:szCs w:val="22"/>
                <w:color w:val="auto"/>
              </w:rPr>
            </w:pPr>
          </w:p>
        </w:tc>
      </w:tr>
      <w:tr>
        <w:trPr>
          <w:trHeight w:val="21"/>
        </w:trPr>
        <w:tc>
          <w:tcPr>
            <w:tcW w:w="6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Aggregate amortization expense on intangible assets was approximately $1.2 million for both of the three months ended March 31, 2023 and 2022.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and December 31, 2022 property and equipment consists of the following: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34"/>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4"/>
              <w:spacing w:after="0"/>
              <w:rPr>
                <w:sz w:val="20"/>
                <w:szCs w:val="20"/>
                <w:color w:val="auto"/>
              </w:rPr>
            </w:pPr>
            <w:r>
              <w:rPr>
                <w:rFonts w:ascii="Arial" w:cs="Arial" w:eastAsia="Arial" w:hAnsi="Arial"/>
                <w:sz w:val="14"/>
                <w:szCs w:val="14"/>
                <w:b w:val="1"/>
                <w:bCs w:val="1"/>
                <w:color w:val="auto"/>
              </w:rPr>
              <w:t>December 31,</w:t>
            </w:r>
          </w:p>
        </w:tc>
      </w:tr>
      <w:tr>
        <w:trPr>
          <w:trHeight w:val="186"/>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5"/>
        </w:trPr>
        <w:tc>
          <w:tcPr>
            <w:tcW w:w="8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Medical equipment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r>
      <w:tr>
        <w:trPr>
          <w:trHeight w:val="243"/>
        </w:trPr>
        <w:tc>
          <w:tcPr>
            <w:tcW w:w="8160" w:type="dxa"/>
            <w:vAlign w:val="bottom"/>
          </w:tcPr>
          <w:p>
            <w:pPr>
              <w:ind w:left="20"/>
              <w:spacing w:after="0"/>
              <w:rPr>
                <w:sz w:val="20"/>
                <w:szCs w:val="20"/>
                <w:color w:val="auto"/>
              </w:rPr>
            </w:pPr>
            <w:r>
              <w:rPr>
                <w:rFonts w:ascii="Arial" w:cs="Arial" w:eastAsia="Arial" w:hAnsi="Arial"/>
                <w:sz w:val="18"/>
                <w:szCs w:val="18"/>
                <w:color w:val="auto"/>
              </w:rPr>
              <w:t>Office and computer equipment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551</w:t>
            </w:r>
          </w:p>
        </w:tc>
      </w:tr>
      <w:tr>
        <w:trPr>
          <w:trHeight w:val="27"/>
        </w:trPr>
        <w:tc>
          <w:tcPr>
            <w:tcW w:w="8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r>
      <w:tr>
        <w:trPr>
          <w:trHeight w:val="250"/>
        </w:trPr>
        <w:tc>
          <w:tcPr>
            <w:tcW w:w="81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14,614</w:t>
            </w:r>
          </w:p>
        </w:tc>
      </w:tr>
      <w:tr>
        <w:trPr>
          <w:trHeight w:val="26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r>
      <w:tr>
        <w:trPr>
          <w:trHeight w:val="256"/>
        </w:trPr>
        <w:tc>
          <w:tcPr>
            <w:tcW w:w="81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(7,342)</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(6,176)</w:t>
            </w:r>
          </w:p>
        </w:tc>
      </w:tr>
      <w:tr>
        <w:trPr>
          <w:trHeight w:val="28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27,284</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$1.2 million and $0.7 million for the three months ended March 31, 2023 and 2022,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The proceeds were used, in part, to pay off the Company’s $83.6 million outstanding principal balance under its previous credit facility.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w:t>
      </w:r>
    </w:p>
    <w:p>
      <w:pPr>
        <w:sectPr>
          <w:pgSz w:w="11900" w:h="16838" w:orient="portrait"/>
          <w:cols w:equalWidth="0" w:num="1">
            <w:col w:w="11240"/>
          </w:cols>
          <w:pgMar w:left="320" w:top="517"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leverage ratio is below 1.0x, the applicable per annum margin is 1.0% or 2.0% for base rate or SOFR, respectively. As of March 31, 2023, the interest rate was 7.23%.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Total borrowings as of March 31, 2023 and December 31, 2022 were as follows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2022</w:t>
            </w:r>
          </w:p>
        </w:tc>
      </w:tr>
      <w:tr>
        <w:trPr>
          <w:trHeight w:val="25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84,469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85,000</w:t>
            </w:r>
          </w:p>
        </w:tc>
      </w:tr>
      <w:tr>
        <w:trPr>
          <w:trHeight w:val="257"/>
        </w:trPr>
        <w:tc>
          <w:tcPr>
            <w:tcW w:w="8160" w:type="dxa"/>
            <w:vAlign w:val="bottom"/>
          </w:tcPr>
          <w:p>
            <w:pPr>
              <w:ind w:left="20"/>
              <w:spacing w:after="0"/>
              <w:rPr>
                <w:sz w:val="20"/>
                <w:szCs w:val="20"/>
                <w:color w:val="auto"/>
              </w:rPr>
            </w:pPr>
            <w:r>
              <w:rPr>
                <w:rFonts w:ascii="Arial" w:cs="Arial" w:eastAsia="Arial" w:hAnsi="Arial"/>
                <w:sz w:val="18"/>
                <w:szCs w:val="18"/>
                <w:color w:val="auto"/>
              </w:rPr>
              <w:t>Unamortized debt discounts and issuance costs</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1"/>
              </w:rPr>
              <w:t>(1,196)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4"/>
              </w:rPr>
              <w:t>(1,455)</w:t>
            </w:r>
          </w:p>
        </w:tc>
      </w:tr>
      <w:tr>
        <w:trPr>
          <w:trHeight w:val="243"/>
        </w:trPr>
        <w:tc>
          <w:tcPr>
            <w:tcW w:w="8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 net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8"/>
              </w:rPr>
              <w:t>83,273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w w:val="98"/>
              </w:rPr>
              <w:t>83,545</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1"/>
              </w:rPr>
              <w:t>(2,125)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4"/>
              </w:rPr>
              <w:t>(2,125)</w:t>
            </w:r>
          </w:p>
        </w:tc>
      </w:tr>
      <w:tr>
        <w:trPr>
          <w:trHeight w:val="27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81,148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8"/>
              </w:rPr>
              <w:t>81,420</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and 2022, the Company had $5.0 million available on the 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scheduled future maturities of long-term debt as of March 31, 2023 is as follows (in 000’s):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2023 (excluding the three months ended March 31, 2023)</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maturities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000" w:hanging="996"/>
        <w:spacing w:after="0"/>
        <w:tabs>
          <w:tab w:leader="none" w:pos="1000" w:val="left"/>
        </w:tabs>
        <w:numPr>
          <w:ilvl w:val="0"/>
          <w:numId w:val="3"/>
        </w:numPr>
        <w:rPr>
          <w:rFonts w:ascii="Arial" w:cs="Arial" w:eastAsia="Arial" w:hAnsi="Arial"/>
          <w:sz w:val="15"/>
          <w:szCs w:val="15"/>
          <w:color w:val="auto"/>
        </w:rPr>
      </w:pPr>
      <w:r>
        <w:rPr>
          <w:rFonts w:ascii="Arial" w:cs="Arial" w:eastAsia="Arial" w:hAnsi="Arial"/>
          <w:sz w:val="15"/>
          <w:szCs w:val="15"/>
          <w:color w:val="auto"/>
        </w:rPr>
        <w:t>1,594</w:t>
      </w:r>
    </w:p>
    <w:p>
      <w:pPr>
        <w:spacing w:after="0" w:line="84"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2,125</w:t>
      </w:r>
    </w:p>
    <w:p>
      <w:pPr>
        <w:spacing w:after="0" w:line="84"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4,250</w:t>
      </w:r>
    </w:p>
    <w:p>
      <w:pPr>
        <w:spacing w:after="0" w:line="84"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6,375</w:t>
      </w:r>
    </w:p>
    <w:p>
      <w:pPr>
        <w:spacing w:after="0" w:line="8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70,125</w:t>
      </w:r>
    </w:p>
    <w:p>
      <w:pPr>
        <w:spacing w:after="0" w:line="63" w:lineRule="exact"/>
        <w:rPr>
          <w:sz w:val="20"/>
          <w:szCs w:val="20"/>
          <w:color w:val="auto"/>
        </w:rPr>
      </w:pPr>
    </w:p>
    <w:p>
      <w:pPr>
        <w:ind w:left="920" w:hanging="916"/>
        <w:spacing w:after="0"/>
        <w:tabs>
          <w:tab w:leader="none" w:pos="920" w:val="left"/>
        </w:tabs>
        <w:numPr>
          <w:ilvl w:val="0"/>
          <w:numId w:val="4"/>
        </w:numPr>
        <w:rPr>
          <w:rFonts w:ascii="Arial" w:cs="Arial" w:eastAsia="Arial" w:hAnsi="Arial"/>
          <w:sz w:val="15"/>
          <w:szCs w:val="15"/>
          <w:color w:val="auto"/>
        </w:rPr>
      </w:pPr>
      <w:r>
        <w:rPr>
          <w:rFonts w:ascii="Arial" w:cs="Arial" w:eastAsia="Arial" w:hAnsi="Arial"/>
          <w:sz w:val="15"/>
          <w:szCs w:val="15"/>
          <w:color w:val="auto"/>
        </w:rPr>
        <w:t>84,469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53975</wp:posOffset>
            </wp:positionV>
            <wp:extent cx="9518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5186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79375</wp:posOffset>
            </wp:positionV>
            <wp:extent cx="9518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9040" w:space="720"/>
            <w:col w:w="1480"/>
          </w:cols>
          <w:pgMar w:left="320" w:top="517" w:right="339" w:bottom="1440" w:gutter="0" w:footer="0" w:header="0"/>
          <w:type w:val="continuous"/>
        </w:sectPr>
      </w:pPr>
    </w:p>
    <w:p>
      <w:pPr>
        <w:spacing w:after="0" w:line="16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borrowings under the Credit Agreement are cross collateralized by substantially all assets of the Company and are subject to certain restrictive covenants including quarterly total leverage ratio and fixed charge ratio requirements. The Company is in compliance with all covenants and has no letter of credit outstanding as of March 31, 2023 and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operating leases are primarily for real estate, including medical office suites and corporate offices. For the three months ended March 31, 2023 and 2022, the Company incurred rent expense of $1.5 million and $1.0 million, respectively, for its medical office suites. The Company’s rent expense related to its medical office suites is classified in cost of services within the Company’s condensed consolidated statements of operations. The Company incurred rent expense of $91,000 and $45,000 for the three months ended March 31, 2023 and 2022, respectively, related to the corporate offices which is classified in selling, general and administrative expenses. The Company currently does not have any finance leases.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Real estate lease agreements typically have initial terms of five to ten years and may include one or more options to renew. The useful life of assets and leasehold improvements are limited by the expected lease term, unless there is a transfer of title or purchase option reasonably certain of exercise. The Company’s lease agreements do not contain any material residual value guarantees, restrictions or covenants.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for the three months ended March 31, 2023 and 2022 (in 000’s):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339"/>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359"/>
              <w:spacing w:after="0"/>
              <w:rPr>
                <w:sz w:val="20"/>
                <w:szCs w:val="20"/>
                <w:color w:val="auto"/>
              </w:rPr>
            </w:pPr>
            <w:r>
              <w:rPr>
                <w:rFonts w:ascii="Arial" w:cs="Arial" w:eastAsia="Arial" w:hAnsi="Arial"/>
                <w:sz w:val="14"/>
                <w:szCs w:val="14"/>
                <w:b w:val="1"/>
                <w:bCs w:val="1"/>
                <w:color w:val="auto"/>
              </w:rPr>
              <w:t>March 31,</w:t>
            </w:r>
          </w:p>
        </w:tc>
      </w:tr>
      <w:tr>
        <w:trPr>
          <w:trHeight w:val="186"/>
        </w:trPr>
        <w:tc>
          <w:tcPr>
            <w:tcW w:w="8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9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39"/>
        </w:trPr>
        <w:tc>
          <w:tcPr>
            <w:tcW w:w="81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50"/>
        </w:trPr>
        <w:tc>
          <w:tcPr>
            <w:tcW w:w="8160" w:type="dxa"/>
            <w:vAlign w:val="bottom"/>
          </w:tcPr>
          <w:p>
            <w:pPr>
              <w:ind w:left="180"/>
              <w:spacing w:after="0"/>
              <w:rPr>
                <w:sz w:val="20"/>
                <w:szCs w:val="20"/>
                <w:color w:val="auto"/>
              </w:rPr>
            </w:pPr>
            <w:r>
              <w:rPr>
                <w:rFonts w:ascii="Arial" w:cs="Arial" w:eastAsia="Arial" w:hAnsi="Arial"/>
                <w:sz w:val="18"/>
                <w:szCs w:val="18"/>
                <w:color w:val="auto"/>
              </w:rPr>
              <w:t>Operating cash outflows from operating leases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1,253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978</w:t>
            </w:r>
          </w:p>
        </w:tc>
      </w:tr>
      <w:tr>
        <w:trPr>
          <w:trHeight w:val="257"/>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816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7,870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2,073</w:t>
            </w:r>
          </w:p>
        </w:tc>
      </w:tr>
    </w:tbl>
    <w:p>
      <w:pPr>
        <w:spacing w:after="0" w:line="200" w:lineRule="exact"/>
        <w:rPr>
          <w:sz w:val="20"/>
          <w:szCs w:val="20"/>
          <w:color w:val="auto"/>
        </w:rPr>
      </w:pPr>
    </w:p>
    <w:p>
      <w:pPr>
        <w:sectPr>
          <w:pgSz w:w="11900" w:h="16838" w:orient="portrait"/>
          <w:cols w:equalWidth="0" w:num="1">
            <w:col w:w="11240"/>
          </w:cols>
          <w:pgMar w:left="320" w:top="517"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rental payments under all non-cancellable operating lease agreements for the succeeding five years are as follows, excluding common area maintenance charges that may be required by the agreements, as of March 31, 2023 (in 000’s):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(excluding the three months ended March 31, 2023)</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w:t>
            </w:r>
          </w:p>
        </w:tc>
      </w:tr>
      <w:tr>
        <w:trPr>
          <w:trHeight w:val="250"/>
        </w:trPr>
        <w:tc>
          <w:tcPr>
            <w:tcW w:w="974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6,393</w:t>
            </w:r>
          </w:p>
        </w:tc>
      </w:tr>
      <w:tr>
        <w:trPr>
          <w:trHeight w:val="26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6,542</w:t>
            </w:r>
          </w:p>
        </w:tc>
      </w:tr>
      <w:tr>
        <w:trPr>
          <w:trHeight w:val="243"/>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6,173</w:t>
            </w:r>
          </w:p>
        </w:tc>
      </w:tr>
      <w:tr>
        <w:trPr>
          <w:trHeight w:val="27"/>
        </w:trPr>
        <w:tc>
          <w:tcPr>
            <w:tcW w:w="9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r>
      <w:tr>
        <w:trPr>
          <w:trHeight w:val="250"/>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11,081</w:t>
            </w:r>
          </w:p>
        </w:tc>
      </w:tr>
      <w:tr>
        <w:trPr>
          <w:trHeight w:val="257"/>
        </w:trPr>
        <w:tc>
          <w:tcPr>
            <w:tcW w:w="9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52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39,568</w:t>
            </w:r>
          </w:p>
        </w:tc>
      </w:tr>
      <w:tr>
        <w:trPr>
          <w:trHeight w:val="257"/>
        </w:trPr>
        <w:tc>
          <w:tcPr>
            <w:tcW w:w="97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(9,366)</w:t>
            </w:r>
          </w:p>
        </w:tc>
      </w:tr>
      <w:tr>
        <w:trPr>
          <w:trHeight w:val="275"/>
        </w:trPr>
        <w:tc>
          <w:tcPr>
            <w:tcW w:w="9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 AND EQUITY-BASED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months ended March 31, 2023, the Company granted 608,955 restricted stock units ("RSUs") to executive officers and employees under the 2021 Equity Incentive Plan. These RSUs are not considered outstanding until vested. These RSUs have a time-based vesting condition. These units will vest 1/3 per year over three years. Vesting and payment of these RSUs are generally subject to continuing service of the employee or non-employee director over the ratable vesting periods beginning one year from the date of grant to three years after the date of grant. The fair values of these RSUs were determined based on the closing price of the Company’s common stock on the trading date immediately prior to the grant date. These RSUs are not considered outstanding until vested.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March 31, 2023, the Company also granted 585,588 performance based stock units ("PSUs") which have market-based vesting conditions. The vesting is based on achievement of a total shareholder return relative to a specified peer group (“rTSR”). Based on the rTSR, the awards can settle in shares in a range from 0% to 200%. In addition to the achievement of the performance conditions, these PSUs are generally subject to the continuing service of the employee over the ratable vesting period from the earned date continuing through the settlement of the shares. For these PSUs, the shares settle in the first quarter of the year following the year in which the vesting criteria is met. The fair values of PSUs with a market-based vesting condition were estimated using a Monte Carlo simulation model.</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recorded equity-based compensation expense of $4.4 million and $7.3 million for the three months ended March 31, 2023 and 2022, respectively, in selling, general and administrative expenses on the condensed consolidated statements of operations. Forfeitures are recognized as incurred.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paid dividends of approximately $0.2 million for the three months ended March 31, 2023. The Company paid distributions to the Parent of approximately $0.3 million for the three months ended March 31,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24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Basic earnings per share of common stock is computed by dividing net loss for the three months ended March 31, 2023 and 2022 by the weighted-average number of shares of common stock outstanding during the same period. Diluted earnings per share of common stock is computed by dividing net loss for the three months ended March 31, 2023 and 2022 by the weighted-average number of shares of common stock adjusted to give effect to potentially dilutive securities. Diluted loss per share for the three months ended March 31, 2023 and 2022, respectively, is the same as basic loss per share as the inclusion of potentially dilutive shares would be antidilutive.</w:t>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common stock is as follows (in 000’s except for shares and per share figures):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Numerator: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Denominator:</w:t>
      </w:r>
    </w:p>
    <w:p>
      <w:pPr>
        <w:spacing w:after="0" w:line="35" w:lineRule="exact"/>
        <w:rPr>
          <w:sz w:val="20"/>
          <w:szCs w:val="20"/>
          <w:color w:val="auto"/>
        </w:rPr>
      </w:pPr>
    </w:p>
    <w:p>
      <w:pPr>
        <w:ind w:left="20" w:right="3000"/>
        <w:spacing w:after="0" w:line="273" w:lineRule="auto"/>
        <w:rPr>
          <w:sz w:val="20"/>
          <w:szCs w:val="20"/>
          <w:color w:val="auto"/>
        </w:rPr>
      </w:pPr>
      <w:r>
        <w:rPr>
          <w:rFonts w:ascii="Arial" w:cs="Arial" w:eastAsia="Arial" w:hAnsi="Arial"/>
          <w:sz w:val="18"/>
          <w:szCs w:val="18"/>
          <w:color w:val="auto"/>
        </w:rPr>
        <w:t>Weighted average shares of common stock outstanding - basic Add: Effect of dilutive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Weighted average shares of common stock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Loss per share of common stock outstanding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w:t>
      </w:r>
    </w:p>
    <w:p>
      <w:pPr>
        <w:jc w:val="center"/>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45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472"/>
        </w:trPr>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56,443,370</w:t>
            </w:r>
          </w:p>
        </w:tc>
        <w:tc>
          <w:tcPr>
            <w:tcW w:w="3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55,640,154</w:t>
            </w:r>
          </w:p>
        </w:tc>
      </w:tr>
      <w:tr>
        <w:trPr>
          <w:trHeight w:val="230"/>
        </w:trPr>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56,443,370</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55,640,154</w:t>
            </w:r>
          </w:p>
        </w:tc>
      </w:tr>
      <w:tr>
        <w:trPr>
          <w:trHeight w:val="230"/>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00" w:space="720"/>
            <w:col w:w="3020"/>
          </w:cols>
          <w:pgMar w:left="320" w:top="517" w:right="339" w:bottom="1440" w:gutter="0" w:footer="0" w:header="0"/>
        </w:sectPr>
      </w:pPr>
    </w:p>
    <w:p>
      <w:pPr>
        <w:spacing w:after="0" w:line="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number of potentially dilutive shares were excluded from the calculation of diluted loss per share because the effect of including such potentially dilutive shares would have been antidilutive.</w:t>
      </w:r>
    </w:p>
    <w:p>
      <w:pPr>
        <w:spacing w:after="0" w:line="1"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spacing w:after="0" w:line="2"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60" w:type="dxa"/>
            <w:vAlign w:val="bottom"/>
          </w:tcPr>
          <w:p>
            <w:pPr>
              <w:spacing w:after="0"/>
              <w:rPr>
                <w:sz w:val="19"/>
                <w:szCs w:val="19"/>
                <w:color w:val="auto"/>
              </w:rPr>
            </w:pPr>
          </w:p>
        </w:tc>
        <w:tc>
          <w:tcPr>
            <w:tcW w:w="17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37"/>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1,947,898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2,472,640</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Performance and market-based stock units</w:t>
            </w:r>
          </w:p>
        </w:tc>
        <w:tc>
          <w:tcPr>
            <w:tcW w:w="1740" w:type="dxa"/>
            <w:vAlign w:val="bottom"/>
          </w:tcPr>
          <w:p>
            <w:pPr>
              <w:jc w:val="right"/>
              <w:ind w:right="230"/>
              <w:spacing w:after="0"/>
              <w:rPr>
                <w:sz w:val="20"/>
                <w:szCs w:val="20"/>
                <w:color w:val="auto"/>
              </w:rPr>
            </w:pPr>
            <w:r>
              <w:rPr>
                <w:rFonts w:ascii="Arial" w:cs="Arial" w:eastAsia="Arial" w:hAnsi="Arial"/>
                <w:sz w:val="18"/>
                <w:szCs w:val="18"/>
                <w:color w:val="auto"/>
              </w:rPr>
              <w:t>2,420,096</w:t>
            </w:r>
          </w:p>
        </w:tc>
        <w:tc>
          <w:tcPr>
            <w:tcW w:w="1240" w:type="dxa"/>
            <w:vAlign w:val="bottom"/>
          </w:tcPr>
          <w:p>
            <w:pPr>
              <w:jc w:val="right"/>
              <w:spacing w:after="0"/>
              <w:rPr>
                <w:sz w:val="20"/>
                <w:szCs w:val="20"/>
                <w:color w:val="auto"/>
              </w:rPr>
            </w:pPr>
            <w:r>
              <w:rPr>
                <w:rFonts w:ascii="Arial" w:cs="Arial" w:eastAsia="Arial" w:hAnsi="Arial"/>
                <w:sz w:val="18"/>
                <w:szCs w:val="18"/>
                <w:color w:val="auto"/>
              </w:rPr>
              <w:t>2,417,001</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income tax expense/(benefit) for the three months ended March 31, 2023 and 2022 was $41.0 thousand and $(2.0) million, and the effective tax rates was 151.9% and 74.0%. The main driver of the difference between the effective and statutory rate is non-deductible executive compensation under Section 162(m) of the Internal Revenue Code. There are no uncertain tax positions as of March 31, 2023 or December 31,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Professional Liability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ordinary course of business, the Company becomes involved in pending and threatened legal actions and proceedings, most of which involve claims of medical malpractice related to medical services provided by the PAs employed and affiliated physicians. The Company may also become subject to other lawsuits which could involve large claims and significant costs. The Company believes, based upon a review of pending actions and proceedings, that the outcome of such legal actions and proceedings will not have a material adverse effect on its business, financial condition, results of operations, and cash flows. The outcome of such actions and proceedings, however, cannot be predicted with certainty and an unfavorable resolution of one or more of them could have a material adverse effect on the Company’s business, financial condition, results of operations, and cash flows.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Although the Company currently maintains liability insurance coverage intended to cover professional liability and certain other claims, the Company cannot assure that its insurance coverage will be adequate to cover liabilities arising out of claims asserted against it in the future where the outcomes of such claims are unfavorable. Liabilities in excess of the Company’s insurance coverage, including coverage for professional liability and certain other claims, could have a material adverse effect on the Company’s business, financial condition,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one reportable segment: direct medical procedure services. This segment is made up of facilities and medical staff that provide the Company’s patented AirSculpt® procedures to patients. Segment information is presented in the same manner that the Company’s chief operating decision maker (“CODM”) reviews the operating results in assessing performance and allocating resources. The Company’s CODM is the Company’s chief executive officer. The CODM reviews financial information presented on a consolidated basis for purposes of making operating decisions, assessing financial performance and allocating resources. The Company’s CODM reviews revenue, gross profit and Adjusted EBITDA. Gross profit is defined as revenues less cost of service incurred and Adjusted EBITDA as net income/loss excluding depreciation and amortization, net interest expense, income tax expense/(benefit), pre-opening de novo and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relocation costs, restructuring and related severance costs, IPO related costs, (gain)/loss on disposal of long-lived assets, and equity-based compensation.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517" w:right="5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financial statements and related notes and other financial information appearing in our Annual Report on Form 10-K dated March 10, 2023 filed with the Securities and Exchange Commission (“SEC”) pursuant to Section 13 or 15(d) of the Securities Exchange Act of 1934. This discussion and analysis contains forward-looking statements that involve risk, uncertainties and assumptions. See the section entitled “Cautionary Note Regarding Forward-Looking Statements” in this Quarterly Report on Form 10-Q. Our actual results could differ materially from those anticipated in the forward-looking statements.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Quarterly Report on Form 10-Q to the “Company,” “Elite Body Sculpture,” “we,” “us” and “our” refer to AirSculpt Technologies, Inc. and its consolidated subsidiaries and the Professional Associations.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AirSculpt is an experienced, fast-growing national provider of body contouring procedures delivering a premium consumer experience under its brand, Elite Body Sculpture. At Elite Body Sculpture, we provide custom body contouring using our proprietary AirSculpt® method that removes unwanted fat in a minimally invasive procedure, producing dramatic results. In March 2023, we opened a new center in Orange County, CA. We now deliver our AirSculpt® procedures through a growing nationwide footprint of 23 centers across 18 states and Canada as of May 12, 2023.</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2023, we performed 3,640 cases and generated approximately $45.8 million of revenue, compared to 3,156 cases and $39.5 million in revenue for the three months ended March 31, 2022. This represents approximately 16% growth in revenue for the three months ended March 31, 2023 over the same period in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key operational and business metrics to evaluate our business, measure our performance, develop financial forecasts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Cases Performed and Revenue per Case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case volumes in the table below, which are used for calculating revenue per case, represent one patient visit; notwithstanding that, a patient may have multiple areas treated during one visit. We believe this provides the best approach for assessing our revenue performance and trends. Our cases per procedure room is lower in the current period due to the recent addition of four de novo centers and expansions of existing centers which increased our procedure rooms by 13 over the prior year. We believe this decline to be temporary as the new procedure rooms ramp up. The expansion of procedure rooms will provide an ample platform for the Company's continued future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Case and Revenue Metrics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r>
      <w:tr>
        <w:trPr>
          <w:trHeight w:val="196"/>
        </w:trPr>
        <w:tc>
          <w:tcPr>
            <w:tcW w:w="80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808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96"/>
              </w:rPr>
              <w:t>2022</w:t>
            </w:r>
          </w:p>
        </w:tc>
      </w:tr>
      <w:tr>
        <w:trPr>
          <w:trHeight w:val="230"/>
        </w:trPr>
        <w:tc>
          <w:tcPr>
            <w:tcW w:w="8080" w:type="dxa"/>
            <w:vAlign w:val="bottom"/>
            <w:shd w:val="clear" w:color="auto" w:fill="D2EDFE"/>
          </w:tcPr>
          <w:p>
            <w:pPr>
              <w:ind w:left="20"/>
              <w:spacing w:after="0"/>
              <w:rPr>
                <w:sz w:val="20"/>
                <w:szCs w:val="20"/>
                <w:color w:val="auto"/>
              </w:rPr>
            </w:pPr>
            <w:r>
              <w:rPr>
                <w:rFonts w:ascii="Arial" w:cs="Arial" w:eastAsia="Arial" w:hAnsi="Arial"/>
                <w:sz w:val="18"/>
                <w:szCs w:val="18"/>
                <w:color w:val="auto"/>
              </w:rPr>
              <w:t>Cases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3,640</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3,156</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808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2EDFE"/>
          </w:tcPr>
          <w:p>
            <w:pPr>
              <w:jc w:val="right"/>
              <w:ind w:right="136"/>
              <w:spacing w:after="0"/>
              <w:rPr>
                <w:sz w:val="20"/>
                <w:szCs w:val="20"/>
                <w:color w:val="auto"/>
              </w:rPr>
            </w:pPr>
            <w:r>
              <w:rPr>
                <w:rFonts w:ascii="Arial" w:cs="Arial" w:eastAsia="Arial" w:hAnsi="Arial"/>
                <w:sz w:val="18"/>
                <w:szCs w:val="18"/>
                <w:color w:val="auto"/>
              </w:rPr>
              <w:t>12,586</w:t>
            </w:r>
          </w:p>
        </w:tc>
        <w:tc>
          <w:tcPr>
            <w:tcW w:w="660" w:type="dxa"/>
            <w:vAlign w:val="bottom"/>
            <w:gridSpan w:val="2"/>
            <w:shd w:val="clear" w:color="auto" w:fill="D2EDFE"/>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12,530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Revenue per 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8080" w:type="dxa"/>
            <w:vAlign w:val="bottom"/>
            <w:shd w:val="clear" w:color="auto" w:fill="D2EDFE"/>
          </w:tcPr>
          <w:p>
            <w:pPr>
              <w:ind w:left="20"/>
              <w:spacing w:after="0"/>
              <w:rPr>
                <w:sz w:val="20"/>
                <w:szCs w:val="20"/>
                <w:color w:val="auto"/>
              </w:rPr>
            </w:pPr>
            <w:r>
              <w:rPr>
                <w:rFonts w:ascii="Arial" w:cs="Arial" w:eastAsia="Arial" w:hAnsi="Arial"/>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Number of total procedure rooms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 Case and Revenue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Same-Center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60"/>
        <w:spacing w:after="0" w:line="235" w:lineRule="auto"/>
        <w:rPr>
          <w:sz w:val="20"/>
          <w:szCs w:val="20"/>
          <w:color w:val="auto"/>
        </w:rPr>
      </w:pPr>
      <w:r>
        <w:rPr>
          <w:rFonts w:ascii="Arial" w:cs="Arial" w:eastAsia="Arial" w:hAnsi="Arial"/>
          <w:sz w:val="18"/>
          <w:szCs w:val="18"/>
          <w:color w:val="auto"/>
        </w:rPr>
        <w:t>For the three months ended March 31, 2023 and 2022, we define same-center case and revenue growth as the growth in each of our cases and revenue at facilities that have been owned and operated since January 1, 2022. We define same-center facilities and procedure rooms based on if a facility has been owned or operated since January 1,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5"/>
              </w:rPr>
              <w:t>Three Months Ended</w:t>
            </w:r>
          </w:p>
        </w:tc>
        <w:tc>
          <w:tcPr>
            <w:tcW w:w="920" w:type="dxa"/>
            <w:vAlign w:val="bottom"/>
          </w:tcPr>
          <w:p>
            <w:pPr>
              <w:spacing w:after="0"/>
              <w:rPr>
                <w:sz w:val="14"/>
                <w:szCs w:val="14"/>
                <w:color w:val="auto"/>
              </w:rPr>
            </w:pPr>
          </w:p>
        </w:tc>
      </w:tr>
      <w:tr>
        <w:trPr>
          <w:trHeight w:val="196"/>
        </w:trPr>
        <w:tc>
          <w:tcPr>
            <w:tcW w:w="80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9"/>
              </w:rPr>
              <w:t>March 31,</w:t>
            </w:r>
          </w:p>
        </w:tc>
        <w:tc>
          <w:tcPr>
            <w:tcW w:w="920" w:type="dxa"/>
            <w:vAlign w:val="bottom"/>
            <w:tcBorders>
              <w:bottom w:val="single" w:sz="8" w:color="auto"/>
            </w:tcBorders>
          </w:tcPr>
          <w:p>
            <w:pPr>
              <w:spacing w:after="0"/>
              <w:rPr>
                <w:sz w:val="17"/>
                <w:szCs w:val="17"/>
                <w:color w:val="auto"/>
              </w:rPr>
            </w:pPr>
          </w:p>
        </w:tc>
      </w:tr>
      <w:tr>
        <w:trPr>
          <w:trHeight w:val="196"/>
        </w:trPr>
        <w:tc>
          <w:tcPr>
            <w:tcW w:w="8060" w:type="dxa"/>
            <w:vAlign w:val="bottom"/>
            <w:tcBorders>
              <w:bottom w:val="single" w:sz="8" w:color="D2EDFE"/>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8060" w:type="dxa"/>
            <w:vAlign w:val="bottom"/>
            <w:shd w:val="clear" w:color="auto" w:fill="D2EDFE"/>
          </w:tcPr>
          <w:p>
            <w:pPr>
              <w:ind w:left="20"/>
              <w:spacing w:after="0"/>
              <w:rPr>
                <w:sz w:val="20"/>
                <w:szCs w:val="20"/>
                <w:color w:val="auto"/>
              </w:rPr>
            </w:pPr>
            <w:r>
              <w:rPr>
                <w:rFonts w:ascii="Arial" w:cs="Arial" w:eastAsia="Arial" w:hAnsi="Arial"/>
                <w:sz w:val="18"/>
                <w:szCs w:val="18"/>
                <w:color w:val="auto"/>
              </w:rPr>
              <w:t>Cases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ind w:right="116"/>
              <w:spacing w:after="0"/>
              <w:rPr>
                <w:sz w:val="20"/>
                <w:szCs w:val="20"/>
                <w:color w:val="auto"/>
              </w:rPr>
            </w:pPr>
            <w:r>
              <w:rPr>
                <w:rFonts w:ascii="Arial" w:cs="Arial" w:eastAsia="Arial" w:hAnsi="Arial"/>
                <w:sz w:val="18"/>
                <w:szCs w:val="18"/>
                <w:color w:val="auto"/>
              </w:rPr>
              <w:t>3,155</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3,127</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806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 per case</w:t>
            </w:r>
          </w:p>
        </w:tc>
        <w:tc>
          <w:tcPr>
            <w:tcW w:w="380" w:type="dxa"/>
            <w:vAlign w:val="bottom"/>
            <w:shd w:val="clear" w:color="auto" w:fill="D2EDFE"/>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D2EDFE"/>
          </w:tcPr>
          <w:p>
            <w:pPr>
              <w:jc w:val="right"/>
              <w:ind w:right="116"/>
              <w:spacing w:after="0"/>
              <w:rPr>
                <w:sz w:val="20"/>
                <w:szCs w:val="20"/>
                <w:color w:val="auto"/>
              </w:rPr>
            </w:pPr>
            <w:r>
              <w:rPr>
                <w:rFonts w:ascii="Arial" w:cs="Arial" w:eastAsia="Arial" w:hAnsi="Arial"/>
                <w:sz w:val="18"/>
                <w:szCs w:val="18"/>
                <w:color w:val="auto"/>
              </w:rPr>
              <w:t>12,676</w:t>
            </w:r>
          </w:p>
        </w:tc>
        <w:tc>
          <w:tcPr>
            <w:tcW w:w="660" w:type="dxa"/>
            <w:vAlign w:val="bottom"/>
            <w:gridSpan w:val="2"/>
            <w:shd w:val="clear" w:color="auto" w:fill="D2EDFE"/>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12,510</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Revenue per case growth</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8060" w:type="dxa"/>
            <w:vAlign w:val="bottom"/>
            <w:shd w:val="clear" w:color="auto" w:fill="D2EDFE"/>
          </w:tcPr>
          <w:p>
            <w:pPr>
              <w:ind w:left="20"/>
              <w:spacing w:after="0"/>
              <w:rPr>
                <w:sz w:val="20"/>
                <w:szCs w:val="20"/>
                <w:color w:val="auto"/>
              </w:rPr>
            </w:pPr>
            <w:r>
              <w:rPr>
                <w:rFonts w:ascii="Arial" w:cs="Arial" w:eastAsia="Arial" w:hAnsi="Arial"/>
                <w:sz w:val="18"/>
                <w:szCs w:val="18"/>
                <w:color w:val="auto"/>
              </w:rPr>
              <w:t>Number of facilities</w:t>
            </w:r>
          </w:p>
        </w:tc>
        <w:tc>
          <w:tcPr>
            <w:tcW w:w="380" w:type="dxa"/>
            <w:vAlign w:val="bottom"/>
            <w:shd w:val="clear" w:color="auto" w:fill="D2EDFE"/>
          </w:tcPr>
          <w:p>
            <w:pPr>
              <w:spacing w:after="0"/>
              <w:rPr>
                <w:sz w:val="19"/>
                <w:szCs w:val="19"/>
                <w:color w:val="auto"/>
              </w:rPr>
            </w:pPr>
          </w:p>
        </w:tc>
        <w:tc>
          <w:tcPr>
            <w:tcW w:w="1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D2EDFE"/>
          </w:tcPr>
          <w:p>
            <w:pPr>
              <w:spacing w:after="0"/>
              <w:rPr>
                <w:sz w:val="19"/>
                <w:szCs w:val="19"/>
                <w:color w:val="auto"/>
              </w:rPr>
            </w:pPr>
          </w:p>
        </w:tc>
        <w:tc>
          <w:tcPr>
            <w:tcW w:w="56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Number of total procedure rooms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Measures—Adjusted EBITDA, Adjusted EBITDA Margin, Adjusted Net Income, and Adjusted Net Income per Share</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our financial results in accordance with accounting principles generally accepted in the United States of America ("GAAP"), however, management believes the evaluation of our ongoing operating results may be enhanced by a presentation of Adjusted EBITDA and Adjusted EBITDA Margin, which are non-GAAP financial measures.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EBITDA as net loss excluding depreciation and amortization, net interest expense, income tax expense/(benefit), pre-opening de novo and relocation costs, restructuring and related severance costs, IPO related costs, (gain)/loss on disposal of long-lived assets, and equity-based compensation.</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define Adjusted Net Income as net loss excluding pre-opening de novo and relocation costs, restructuring and related severance costs, IPO related costs, (gain)/loss on disposal of long-lived assets, and equity-based compensation. These items are tax effected when reconciling back to the closest GAAP measure of net loss.</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include Adjusted EBITDA and Adjusted Net Income because they are important measures on which our management assesses and believes investors should assess our operating performance. We consider Adjusted EBITDA and Adjusted Net Income each to be an important measure because they help illustrate underlying trends in our business and our historical operating performance on a more consistent basis. Adjusted EBITDA has limitations as an analytical tool including: (i) Adjusted EBITDA does not include results from equity-based compensation and (ii) Adjusted EBITDA does not reflect interest expense on our debt or the cash requirements necessary to service interest or principal payments. Adjusted Net Income has limitations as an analytical tool including that Adjusted Net Income does not include results from equity-based compensation.</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Adjusted EBITDA Margin as Adjusted EBITDA as a percentage of revenue. We define Adjusted Net Income per Share as Adjusted Net Income divided by weighted average basic and diluted shares. We included Adjusted EBITDA Margin and Adjusted Net Income per Share because they are important measures on which our management assesses and believes investors should assess our operating performance. We consider Adjusted EBITDA Margin and Adjusted Net Income per Share to be important measures because they help illustrate underlying trends in our business and our historical operating performance on a more consistent basis.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Adjusted EBITDA and Adjusted EBITDA Margin to net loss, the most directly comparable GAAP financial measure: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r>
      <w:tr>
        <w:trPr>
          <w:trHeight w:val="196"/>
        </w:trPr>
        <w:tc>
          <w:tcPr>
            <w:tcW w:w="79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r>
      <w:tr>
        <w:trPr>
          <w:trHeight w:val="196"/>
        </w:trPr>
        <w:tc>
          <w:tcPr>
            <w:tcW w:w="7900" w:type="dxa"/>
            <w:vAlign w:val="bottom"/>
            <w:tcBorders>
              <w:bottom w:val="single" w:sz="8" w:color="D2EDFE"/>
            </w:tcBorders>
          </w:tcPr>
          <w:p>
            <w:pPr>
              <w:ind w:left="20"/>
              <w:spacing w:after="0"/>
              <w:rPr>
                <w:sz w:val="20"/>
                <w:szCs w:val="20"/>
                <w:color w:val="auto"/>
              </w:rPr>
            </w:pPr>
            <w:r>
              <w:rPr>
                <w:rFonts w:ascii="Arial" w:cs="Arial" w:eastAsia="Arial" w:hAnsi="Arial"/>
                <w:sz w:val="14"/>
                <w:szCs w:val="14"/>
                <w:color w:val="auto"/>
              </w:rPr>
              <w:t>($ in thousands)</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2EDFE"/>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2022</w:t>
            </w:r>
          </w:p>
        </w:tc>
      </w:tr>
      <w:tr>
        <w:trPr>
          <w:trHeight w:val="229"/>
        </w:trPr>
        <w:tc>
          <w:tcPr>
            <w:tcW w:w="790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loss</w:t>
            </w:r>
          </w:p>
        </w:tc>
        <w:tc>
          <w:tcPr>
            <w:tcW w:w="380" w:type="dxa"/>
            <w:vAlign w:val="bottom"/>
            <w:shd w:val="clear" w:color="auto" w:fill="D2EDFE"/>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D2EDFE"/>
          </w:tcPr>
          <w:p>
            <w:pPr>
              <w:jc w:val="right"/>
              <w:ind w:right="11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D2EDFE"/>
          </w:tcPr>
          <w:p>
            <w:pPr>
              <w:spacing w:after="0"/>
              <w:rPr>
                <w:sz w:val="19"/>
                <w:szCs w:val="19"/>
                <w:color w:val="auto"/>
              </w:rPr>
            </w:pPr>
          </w:p>
        </w:tc>
        <w:tc>
          <w:tcPr>
            <w:tcW w:w="640" w:type="dxa"/>
            <w:vAlign w:val="bottom"/>
            <w:shd w:val="clear" w:color="auto" w:fill="D2EDFE"/>
          </w:tcPr>
          <w:p>
            <w:pPr>
              <w:jc w:val="right"/>
              <w:ind w:right="4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D2EDFE"/>
          </w:tcPr>
          <w:p>
            <w:pPr>
              <w:jc w:val="right"/>
              <w:ind w:right="112"/>
              <w:spacing w:after="0"/>
              <w:rPr>
                <w:sz w:val="20"/>
                <w:szCs w:val="20"/>
                <w:color w:val="auto"/>
              </w:rPr>
            </w:pPr>
            <w:r>
              <w:rPr>
                <w:rFonts w:ascii="Arial" w:cs="Arial" w:eastAsia="Arial" w:hAnsi="Arial"/>
                <w:sz w:val="18"/>
                <w:szCs w:val="18"/>
                <w:color w:val="auto"/>
              </w:rPr>
              <w:t>(693)</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i w:val="1"/>
                <w:iCs w:val="1"/>
                <w:color w:val="auto"/>
              </w:rPr>
              <w:t>Plus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43"/>
        </w:trPr>
        <w:tc>
          <w:tcPr>
            <w:tcW w:w="7900" w:type="dxa"/>
            <w:vAlign w:val="bottom"/>
            <w:shd w:val="clear" w:color="auto" w:fill="D2EDFE"/>
          </w:tcPr>
          <w:p>
            <w:pPr>
              <w:ind w:left="140"/>
              <w:spacing w:after="0"/>
              <w:rPr>
                <w:sz w:val="20"/>
                <w:szCs w:val="20"/>
                <w:color w:val="auto"/>
              </w:rPr>
            </w:pPr>
            <w:r>
              <w:rPr>
                <w:rFonts w:ascii="Arial" w:cs="Arial" w:eastAsia="Arial" w:hAnsi="Arial"/>
                <w:sz w:val="18"/>
                <w:szCs w:val="18"/>
                <w:color w:val="auto"/>
              </w:rPr>
              <w:t>Equity-based compensation</w:t>
            </w:r>
          </w:p>
        </w:tc>
        <w:tc>
          <w:tcPr>
            <w:tcW w:w="380" w:type="dxa"/>
            <w:vAlign w:val="bottom"/>
            <w:shd w:val="clear" w:color="auto" w:fill="D2EDFE"/>
          </w:tcPr>
          <w:p>
            <w:pPr>
              <w:spacing w:after="0"/>
              <w:rPr>
                <w:sz w:val="21"/>
                <w:szCs w:val="21"/>
                <w:color w:val="auto"/>
              </w:rPr>
            </w:pPr>
          </w:p>
        </w:tc>
        <w:tc>
          <w:tcPr>
            <w:tcW w:w="124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4,388</w:t>
            </w:r>
          </w:p>
        </w:tc>
        <w:tc>
          <w:tcPr>
            <w:tcW w:w="100" w:type="dxa"/>
            <w:vAlign w:val="bottom"/>
            <w:shd w:val="clear" w:color="auto" w:fill="D2EDFE"/>
          </w:tcPr>
          <w:p>
            <w:pPr>
              <w:spacing w:after="0"/>
              <w:rPr>
                <w:sz w:val="21"/>
                <w:szCs w:val="21"/>
                <w:color w:val="auto"/>
              </w:rPr>
            </w:pPr>
          </w:p>
        </w:tc>
        <w:tc>
          <w:tcPr>
            <w:tcW w:w="640" w:type="dxa"/>
            <w:vAlign w:val="bottom"/>
            <w:shd w:val="clear" w:color="auto" w:fill="D2EDFE"/>
          </w:tcPr>
          <w:p>
            <w:pPr>
              <w:spacing w:after="0"/>
              <w:rPr>
                <w:sz w:val="21"/>
                <w:szCs w:val="21"/>
                <w:color w:val="auto"/>
              </w:rPr>
            </w:pPr>
          </w:p>
        </w:tc>
        <w:tc>
          <w:tcPr>
            <w:tcW w:w="98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7,316</w:t>
            </w:r>
          </w:p>
        </w:tc>
      </w:tr>
      <w:tr>
        <w:trPr>
          <w:trHeight w:val="229"/>
        </w:trPr>
        <w:tc>
          <w:tcPr>
            <w:tcW w:w="7900" w:type="dxa"/>
            <w:vAlign w:val="bottom"/>
          </w:tcPr>
          <w:p>
            <w:pPr>
              <w:ind w:left="140"/>
              <w:spacing w:after="0"/>
              <w:rPr>
                <w:sz w:val="20"/>
                <w:szCs w:val="20"/>
                <w:color w:val="auto"/>
              </w:rPr>
            </w:pPr>
            <w:r>
              <w:rPr>
                <w:rFonts w:ascii="Arial" w:cs="Arial" w:eastAsia="Arial" w:hAnsi="Arial"/>
                <w:sz w:val="18"/>
                <w:szCs w:val="18"/>
                <w:color w:val="auto"/>
              </w:rPr>
              <w:t>IPO related costs</w:t>
            </w:r>
          </w:p>
        </w:tc>
        <w:tc>
          <w:tcPr>
            <w:tcW w:w="3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731</w:t>
            </w:r>
          </w:p>
        </w:tc>
      </w:tr>
      <w:tr>
        <w:trPr>
          <w:trHeight w:val="230"/>
        </w:trPr>
        <w:tc>
          <w:tcPr>
            <w:tcW w:w="7900" w:type="dxa"/>
            <w:vAlign w:val="bottom"/>
            <w:shd w:val="clear" w:color="auto" w:fill="D2EDFE"/>
          </w:tcPr>
          <w:p>
            <w:pPr>
              <w:ind w:left="140"/>
              <w:spacing w:after="0"/>
              <w:rPr>
                <w:sz w:val="20"/>
                <w:szCs w:val="20"/>
                <w:color w:val="auto"/>
              </w:rPr>
            </w:pPr>
            <w:r>
              <w:rPr>
                <w:rFonts w:ascii="Arial" w:cs="Arial" w:eastAsia="Arial" w:hAnsi="Arial"/>
                <w:sz w:val="18"/>
                <w:szCs w:val="18"/>
                <w:color w:val="auto"/>
              </w:rPr>
              <w:t>Pre-opening de novo and relocation costs</w:t>
            </w:r>
          </w:p>
        </w:tc>
        <w:tc>
          <w:tcPr>
            <w:tcW w:w="380" w:type="dxa"/>
            <w:vAlign w:val="bottom"/>
            <w:shd w:val="clear" w:color="auto" w:fill="D2EDFE"/>
          </w:tcPr>
          <w:p>
            <w:pPr>
              <w:spacing w:after="0"/>
              <w:rPr>
                <w:sz w:val="19"/>
                <w:szCs w:val="19"/>
                <w:color w:val="auto"/>
              </w:rPr>
            </w:pPr>
          </w:p>
        </w:tc>
        <w:tc>
          <w:tcPr>
            <w:tcW w:w="124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D2EDFE"/>
          </w:tcPr>
          <w:p>
            <w:pPr>
              <w:spacing w:after="0"/>
              <w:rPr>
                <w:sz w:val="19"/>
                <w:szCs w:val="19"/>
                <w:color w:val="auto"/>
              </w:rPr>
            </w:pPr>
          </w:p>
        </w:tc>
        <w:tc>
          <w:tcPr>
            <w:tcW w:w="640" w:type="dxa"/>
            <w:vAlign w:val="bottom"/>
            <w:shd w:val="clear" w:color="auto" w:fill="D2EDFE"/>
          </w:tcPr>
          <w:p>
            <w:pPr>
              <w:spacing w:after="0"/>
              <w:rPr>
                <w:sz w:val="19"/>
                <w:szCs w:val="19"/>
                <w:color w:val="auto"/>
              </w:rPr>
            </w:pPr>
          </w:p>
        </w:tc>
        <w:tc>
          <w:tcPr>
            <w:tcW w:w="98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847</w:t>
            </w:r>
          </w:p>
        </w:tc>
      </w:tr>
      <w:tr>
        <w:trPr>
          <w:trHeight w:val="237"/>
        </w:trPr>
        <w:tc>
          <w:tcPr>
            <w:tcW w:w="7900" w:type="dxa"/>
            <w:vAlign w:val="bottom"/>
          </w:tcPr>
          <w:p>
            <w:pPr>
              <w:ind w:left="140"/>
              <w:spacing w:after="0"/>
              <w:rPr>
                <w:sz w:val="20"/>
                <w:szCs w:val="20"/>
                <w:color w:val="auto"/>
              </w:rPr>
            </w:pPr>
            <w:r>
              <w:rPr>
                <w:rFonts w:ascii="Arial" w:cs="Arial" w:eastAsia="Arial" w:hAnsi="Arial"/>
                <w:sz w:val="18"/>
                <w:szCs w:val="18"/>
                <w:color w:val="auto"/>
              </w:rPr>
              <w:t>Restructuring and related severance costs</w:t>
            </w:r>
          </w:p>
        </w:tc>
        <w:tc>
          <w:tcPr>
            <w:tcW w:w="380" w:type="dxa"/>
            <w:vAlign w:val="bottom"/>
          </w:tcPr>
          <w:p>
            <w:pPr>
              <w:spacing w:after="0"/>
              <w:rPr>
                <w:sz w:val="20"/>
                <w:szCs w:val="20"/>
                <w:color w:val="auto"/>
              </w:rPr>
            </w:pPr>
          </w:p>
        </w:tc>
        <w:tc>
          <w:tcPr>
            <w:tcW w:w="1240" w:type="dxa"/>
            <w:vAlign w:val="bottom"/>
          </w:tcPr>
          <w:p>
            <w:pPr>
              <w:jc w:val="right"/>
              <w:ind w:right="154"/>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179</w:t>
            </w:r>
          </w:p>
        </w:tc>
      </w:tr>
      <w:tr>
        <w:trPr>
          <w:trHeight w:val="236"/>
        </w:trPr>
        <w:tc>
          <w:tcPr>
            <w:tcW w:w="7900" w:type="dxa"/>
            <w:vAlign w:val="bottom"/>
            <w:shd w:val="clear" w:color="auto" w:fill="D2EDFE"/>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D2EDFE"/>
          </w:tcPr>
          <w:p>
            <w:pPr>
              <w:spacing w:after="0"/>
              <w:rPr>
                <w:sz w:val="20"/>
                <w:szCs w:val="20"/>
                <w:color w:val="auto"/>
              </w:rPr>
            </w:pPr>
          </w:p>
        </w:tc>
        <w:tc>
          <w:tcPr>
            <w:tcW w:w="124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2,336</w:t>
            </w:r>
          </w:p>
        </w:tc>
        <w:tc>
          <w:tcPr>
            <w:tcW w:w="100" w:type="dxa"/>
            <w:vAlign w:val="bottom"/>
            <w:shd w:val="clear" w:color="auto" w:fill="D2EDFE"/>
          </w:tcPr>
          <w:p>
            <w:pPr>
              <w:spacing w:after="0"/>
              <w:rPr>
                <w:sz w:val="20"/>
                <w:szCs w:val="20"/>
                <w:color w:val="auto"/>
              </w:rPr>
            </w:pPr>
          </w:p>
        </w:tc>
        <w:tc>
          <w:tcPr>
            <w:tcW w:w="640" w:type="dxa"/>
            <w:vAlign w:val="bottom"/>
            <w:shd w:val="clear" w:color="auto" w:fill="D2EDFE"/>
          </w:tcPr>
          <w:p>
            <w:pPr>
              <w:spacing w:after="0"/>
              <w:rPr>
                <w:sz w:val="20"/>
                <w:szCs w:val="20"/>
                <w:color w:val="auto"/>
              </w:rPr>
            </w:pPr>
          </w:p>
        </w:tc>
        <w:tc>
          <w:tcPr>
            <w:tcW w:w="98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1,886</w:t>
            </w:r>
          </w:p>
        </w:tc>
      </w:tr>
      <w:tr>
        <w:trPr>
          <w:trHeight w:val="229"/>
        </w:trPr>
        <w:tc>
          <w:tcPr>
            <w:tcW w:w="7900" w:type="dxa"/>
            <w:vAlign w:val="bottom"/>
          </w:tcPr>
          <w:p>
            <w:pPr>
              <w:ind w:left="140"/>
              <w:spacing w:after="0"/>
              <w:rPr>
                <w:sz w:val="20"/>
                <w:szCs w:val="20"/>
                <w:color w:val="auto"/>
              </w:rPr>
            </w:pPr>
            <w:r>
              <w:rPr>
                <w:rFonts w:ascii="Arial" w:cs="Arial" w:eastAsia="Arial" w:hAnsi="Arial"/>
                <w:sz w:val="18"/>
                <w:szCs w:val="18"/>
                <w:color w:val="auto"/>
              </w:rPr>
              <w:t>Gain on disposal of long-lived assets</w:t>
            </w:r>
          </w:p>
        </w:tc>
        <w:tc>
          <w:tcPr>
            <w:tcW w:w="380" w:type="dxa"/>
            <w:vAlign w:val="bottom"/>
          </w:tcPr>
          <w:p>
            <w:pPr>
              <w:spacing w:after="0"/>
              <w:rPr>
                <w:sz w:val="19"/>
                <w:szCs w:val="19"/>
                <w:color w:val="auto"/>
              </w:rPr>
            </w:pPr>
          </w:p>
        </w:tc>
        <w:tc>
          <w:tcPr>
            <w:tcW w:w="1240" w:type="dxa"/>
            <w:vAlign w:val="bottom"/>
          </w:tcPr>
          <w:p>
            <w:pPr>
              <w:jc w:val="right"/>
              <w:ind w:right="114"/>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shd w:val="clear" w:color="auto" w:fill="D2EDFE"/>
          </w:tcPr>
          <w:p>
            <w:pPr>
              <w:ind w:left="140"/>
              <w:spacing w:after="0"/>
              <w:rPr>
                <w:sz w:val="20"/>
                <w:szCs w:val="20"/>
                <w:color w:val="auto"/>
              </w:rPr>
            </w:pPr>
            <w:r>
              <w:rPr>
                <w:rFonts w:ascii="Arial" w:cs="Arial" w:eastAsia="Arial" w:hAnsi="Arial"/>
                <w:sz w:val="18"/>
                <w:szCs w:val="18"/>
                <w:color w:val="auto"/>
              </w:rPr>
              <w:t>Interest expense, net</w:t>
            </w:r>
          </w:p>
        </w:tc>
        <w:tc>
          <w:tcPr>
            <w:tcW w:w="380" w:type="dxa"/>
            <w:vAlign w:val="bottom"/>
            <w:shd w:val="clear" w:color="auto" w:fill="D2EDFE"/>
          </w:tcPr>
          <w:p>
            <w:pPr>
              <w:spacing w:after="0"/>
              <w:rPr>
                <w:sz w:val="21"/>
                <w:szCs w:val="21"/>
                <w:color w:val="auto"/>
              </w:rPr>
            </w:pPr>
          </w:p>
        </w:tc>
        <w:tc>
          <w:tcPr>
            <w:tcW w:w="1240" w:type="dxa"/>
            <w:vAlign w:val="bottom"/>
            <w:shd w:val="clear" w:color="auto" w:fill="D2EDFE"/>
          </w:tcPr>
          <w:p>
            <w:pPr>
              <w:jc w:val="right"/>
              <w:ind w:right="154"/>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D2EDFE"/>
          </w:tcPr>
          <w:p>
            <w:pPr>
              <w:spacing w:after="0"/>
              <w:rPr>
                <w:sz w:val="21"/>
                <w:szCs w:val="21"/>
                <w:color w:val="auto"/>
              </w:rPr>
            </w:pPr>
          </w:p>
        </w:tc>
        <w:tc>
          <w:tcPr>
            <w:tcW w:w="640" w:type="dxa"/>
            <w:vAlign w:val="bottom"/>
            <w:shd w:val="clear" w:color="auto" w:fill="D2EDFE"/>
          </w:tcPr>
          <w:p>
            <w:pPr>
              <w:spacing w:after="0"/>
              <w:rPr>
                <w:sz w:val="21"/>
                <w:szCs w:val="21"/>
                <w:color w:val="auto"/>
              </w:rPr>
            </w:pPr>
          </w:p>
        </w:tc>
        <w:tc>
          <w:tcPr>
            <w:tcW w:w="980" w:type="dxa"/>
            <w:vAlign w:val="bottom"/>
            <w:shd w:val="clear" w:color="auto" w:fill="D2EDFE"/>
          </w:tcPr>
          <w:p>
            <w:pPr>
              <w:jc w:val="right"/>
              <w:ind w:right="152"/>
              <w:spacing w:after="0"/>
              <w:rPr>
                <w:sz w:val="20"/>
                <w:szCs w:val="20"/>
                <w:color w:val="auto"/>
              </w:rPr>
            </w:pPr>
            <w:r>
              <w:rPr>
                <w:rFonts w:ascii="Arial" w:cs="Arial" w:eastAsia="Arial" w:hAnsi="Arial"/>
                <w:sz w:val="18"/>
                <w:szCs w:val="18"/>
                <w:color w:val="auto"/>
              </w:rPr>
              <w:t>1,492</w:t>
            </w:r>
          </w:p>
        </w:tc>
      </w:tr>
      <w:tr>
        <w:trPr>
          <w:trHeight w:val="229"/>
        </w:trPr>
        <w:tc>
          <w:tcPr>
            <w:tcW w:w="7900" w:type="dxa"/>
            <w:vAlign w:val="bottom"/>
          </w:tcPr>
          <w:p>
            <w:pPr>
              <w:ind w:left="140"/>
              <w:spacing w:after="0"/>
              <w:rPr>
                <w:sz w:val="20"/>
                <w:szCs w:val="20"/>
                <w:color w:val="auto"/>
              </w:rPr>
            </w:pPr>
            <w:r>
              <w:rPr>
                <w:rFonts w:ascii="Arial" w:cs="Arial" w:eastAsia="Arial" w:hAnsi="Arial"/>
                <w:sz w:val="18"/>
                <w:szCs w:val="18"/>
                <w:color w:val="auto"/>
              </w:rPr>
              <w:t>Income tax expense/(benefit)</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(1,970)</w:t>
            </w:r>
          </w:p>
        </w:tc>
      </w:tr>
      <w:tr>
        <w:trPr>
          <w:trHeight w:val="223"/>
        </w:trPr>
        <w:tc>
          <w:tcPr>
            <w:tcW w:w="790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Adjusted EBITDA</w:t>
            </w:r>
          </w:p>
        </w:tc>
        <w:tc>
          <w:tcPr>
            <w:tcW w:w="380" w:type="dxa"/>
            <w:vAlign w:val="bottom"/>
            <w:shd w:val="clear" w:color="auto" w:fill="D2EDFE"/>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D2EDFE"/>
          </w:tcPr>
          <w:p>
            <w:pPr>
              <w:jc w:val="right"/>
              <w:ind w:right="154"/>
              <w:spacing w:after="0"/>
              <w:rPr>
                <w:sz w:val="20"/>
                <w:szCs w:val="20"/>
                <w:color w:val="auto"/>
              </w:rPr>
            </w:pPr>
            <w:r>
              <w:rPr>
                <w:rFonts w:ascii="Arial" w:cs="Arial" w:eastAsia="Arial" w:hAnsi="Arial"/>
                <w:sz w:val="18"/>
                <w:szCs w:val="18"/>
                <w:b w:val="1"/>
                <w:bCs w:val="1"/>
                <w:color w:val="auto"/>
              </w:rPr>
              <w:t>10,721</w:t>
            </w:r>
          </w:p>
        </w:tc>
        <w:tc>
          <w:tcPr>
            <w:tcW w:w="740" w:type="dxa"/>
            <w:vAlign w:val="bottom"/>
            <w:gridSpan w:val="2"/>
            <w:shd w:val="clear" w:color="auto" w:fill="D2EDFE"/>
          </w:tcPr>
          <w:p>
            <w:pPr>
              <w:jc w:val="right"/>
              <w:ind w:right="45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D2EDFE"/>
          </w:tcPr>
          <w:p>
            <w:pPr>
              <w:jc w:val="right"/>
              <w:ind w:right="152"/>
              <w:spacing w:after="0"/>
              <w:rPr>
                <w:sz w:val="20"/>
                <w:szCs w:val="20"/>
                <w:color w:val="auto"/>
              </w:rPr>
            </w:pPr>
            <w:r>
              <w:rPr>
                <w:rFonts w:ascii="Arial" w:cs="Arial" w:eastAsia="Arial" w:hAnsi="Arial"/>
                <w:sz w:val="18"/>
                <w:szCs w:val="18"/>
                <w:b w:val="1"/>
                <w:bCs w:val="1"/>
                <w:color w:val="auto"/>
              </w:rPr>
              <w:t>9,788</w:t>
            </w:r>
          </w:p>
        </w:tc>
      </w:tr>
      <w:tr>
        <w:trPr>
          <w:trHeight w:val="228"/>
        </w:trPr>
        <w:tc>
          <w:tcPr>
            <w:tcW w:w="7900" w:type="dxa"/>
            <w:vAlign w:val="bottom"/>
            <w:tcBorders>
              <w:top w:val="single" w:sz="8" w:color="D2EDFE"/>
            </w:tcBorders>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23.4 %</w:t>
            </w:r>
          </w:p>
        </w:tc>
        <w:tc>
          <w:tcPr>
            <w:tcW w:w="100" w:type="dxa"/>
            <w:vAlign w:val="bottom"/>
            <w:tcBorders>
              <w:top w:val="single" w:sz="8" w:color="D2EDFE"/>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24.8 %</w:t>
            </w:r>
          </w:p>
        </w:tc>
      </w:tr>
    </w:tbl>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uses tax-adjusted amounts to reconcile Adjusted Net Income and Adjusted Net Income per Share to net loss, the most directly comparable GAAP financial measure:</w:t>
      </w:r>
    </w:p>
    <w:p>
      <w:pPr>
        <w:spacing w:after="0" w:line="202"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2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38"/>
        </w:trPr>
        <w:tc>
          <w:tcPr>
            <w:tcW w:w="81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w:t>
            </w:r>
          </w:p>
        </w:tc>
        <w:tc>
          <w:tcPr>
            <w:tcW w:w="460" w:type="dxa"/>
            <w:vAlign w:val="bottom"/>
            <w:gridSpan w:val="2"/>
            <w:shd w:val="clear" w:color="auto" w:fill="D2EDFE"/>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(693)</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i w:val="1"/>
                <w:iCs w:val="1"/>
                <w:color w:val="auto"/>
              </w:rPr>
              <w:t>Plus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Equity-based compensation</w:t>
            </w:r>
          </w:p>
        </w:tc>
        <w:tc>
          <w:tcPr>
            <w:tcW w:w="360" w:type="dxa"/>
            <w:vAlign w:val="bottom"/>
            <w:shd w:val="clear" w:color="auto" w:fill="D2EDFE"/>
          </w:tcPr>
          <w:p>
            <w:pPr>
              <w:spacing w:after="0"/>
              <w:rPr>
                <w:sz w:val="19"/>
                <w:szCs w:val="19"/>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4,181</w:t>
            </w:r>
          </w:p>
        </w:tc>
        <w:tc>
          <w:tcPr>
            <w:tcW w:w="80" w:type="dxa"/>
            <w:vAlign w:val="bottom"/>
            <w:shd w:val="clear" w:color="auto" w:fill="D2EDFE"/>
          </w:tcPr>
          <w:p>
            <w:pPr>
              <w:spacing w:after="0"/>
              <w:rPr>
                <w:sz w:val="19"/>
                <w:szCs w:val="19"/>
                <w:color w:val="auto"/>
              </w:rPr>
            </w:pPr>
          </w:p>
        </w:tc>
        <w:tc>
          <w:tcPr>
            <w:tcW w:w="380" w:type="dxa"/>
            <w:vAlign w:val="bottom"/>
            <w:shd w:val="clear" w:color="auto" w:fill="D2EDFE"/>
          </w:tcPr>
          <w:p>
            <w:pPr>
              <w:spacing w:after="0"/>
              <w:rPr>
                <w:sz w:val="19"/>
                <w:szCs w:val="19"/>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7,045</w:t>
            </w:r>
          </w:p>
        </w:tc>
      </w:tr>
      <w:tr>
        <w:trPr>
          <w:trHeight w:val="237"/>
        </w:trPr>
        <w:tc>
          <w:tcPr>
            <w:tcW w:w="8120" w:type="dxa"/>
            <w:vAlign w:val="bottom"/>
          </w:tcPr>
          <w:p>
            <w:pPr>
              <w:ind w:left="140"/>
              <w:spacing w:after="0"/>
              <w:rPr>
                <w:sz w:val="20"/>
                <w:szCs w:val="20"/>
                <w:color w:val="auto"/>
              </w:rPr>
            </w:pPr>
            <w:r>
              <w:rPr>
                <w:rFonts w:ascii="Arial" w:cs="Arial" w:eastAsia="Arial" w:hAnsi="Arial"/>
                <w:sz w:val="18"/>
                <w:szCs w:val="18"/>
                <w:color w:val="auto"/>
              </w:rPr>
              <w:t>IPO related costs</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36"/>
        </w:trPr>
        <w:tc>
          <w:tcPr>
            <w:tcW w:w="81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Pre-opening de novo and relocation costs</w:t>
            </w:r>
          </w:p>
        </w:tc>
        <w:tc>
          <w:tcPr>
            <w:tcW w:w="360" w:type="dxa"/>
            <w:vAlign w:val="bottom"/>
            <w:shd w:val="clear" w:color="auto" w:fill="D2EDFE"/>
          </w:tcPr>
          <w:p>
            <w:pPr>
              <w:spacing w:after="0"/>
              <w:rPr>
                <w:sz w:val="20"/>
                <w:szCs w:val="20"/>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D2EDFE"/>
          </w:tcPr>
          <w:p>
            <w:pPr>
              <w:spacing w:after="0"/>
              <w:rPr>
                <w:sz w:val="20"/>
                <w:szCs w:val="20"/>
                <w:color w:val="auto"/>
              </w:rPr>
            </w:pPr>
          </w:p>
        </w:tc>
        <w:tc>
          <w:tcPr>
            <w:tcW w:w="380" w:type="dxa"/>
            <w:vAlign w:val="bottom"/>
            <w:shd w:val="clear" w:color="auto" w:fill="D2EDFE"/>
          </w:tcPr>
          <w:p>
            <w:pPr>
              <w:spacing w:after="0"/>
              <w:rPr>
                <w:sz w:val="20"/>
                <w:szCs w:val="20"/>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627</w:t>
            </w:r>
          </w:p>
        </w:tc>
      </w:tr>
      <w:tr>
        <w:trPr>
          <w:trHeight w:val="229"/>
        </w:trPr>
        <w:tc>
          <w:tcPr>
            <w:tcW w:w="8120" w:type="dxa"/>
            <w:vAlign w:val="bottom"/>
          </w:tcPr>
          <w:p>
            <w:pPr>
              <w:ind w:left="140"/>
              <w:spacing w:after="0"/>
              <w:rPr>
                <w:sz w:val="20"/>
                <w:szCs w:val="20"/>
                <w:color w:val="auto"/>
              </w:rPr>
            </w:pPr>
            <w:r>
              <w:rPr>
                <w:rFonts w:ascii="Arial" w:cs="Arial" w:eastAsia="Arial" w:hAnsi="Arial"/>
                <w:sz w:val="18"/>
                <w:szCs w:val="18"/>
                <w:color w:val="auto"/>
              </w:rPr>
              <w:t>Restructuring and related severance costs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81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Gain on disposal of long-lived assets</w:t>
            </w:r>
          </w:p>
        </w:tc>
        <w:tc>
          <w:tcPr>
            <w:tcW w:w="360" w:type="dxa"/>
            <w:vAlign w:val="bottom"/>
            <w:tcBorders>
              <w:bottom w:val="single" w:sz="8" w:color="auto"/>
            </w:tcBorders>
            <w:shd w:val="clear" w:color="auto" w:fill="D2EDFE"/>
          </w:tcPr>
          <w:p>
            <w:pPr>
              <w:spacing w:after="0"/>
              <w:rPr>
                <w:sz w:val="21"/>
                <w:szCs w:val="21"/>
                <w:color w:val="auto"/>
              </w:rPr>
            </w:pPr>
          </w:p>
        </w:tc>
        <w:tc>
          <w:tcPr>
            <w:tcW w:w="116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D2EDFE"/>
          </w:tcPr>
          <w:p>
            <w:pPr>
              <w:spacing w:after="0"/>
              <w:rPr>
                <w:sz w:val="21"/>
                <w:szCs w:val="21"/>
                <w:color w:val="auto"/>
              </w:rPr>
            </w:pPr>
          </w:p>
        </w:tc>
        <w:tc>
          <w:tcPr>
            <w:tcW w:w="380" w:type="dxa"/>
            <w:vAlign w:val="bottom"/>
            <w:tcBorders>
              <w:bottom w:val="single" w:sz="8" w:color="auto"/>
            </w:tcBorders>
            <w:shd w:val="clear" w:color="auto" w:fill="D2EDFE"/>
          </w:tcPr>
          <w:p>
            <w:pPr>
              <w:spacing w:after="0"/>
              <w:rPr>
                <w:sz w:val="21"/>
                <w:szCs w:val="21"/>
                <w:color w:val="auto"/>
              </w:rPr>
            </w:pPr>
          </w:p>
        </w:tc>
        <w:tc>
          <w:tcPr>
            <w:tcW w:w="11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20" w:type="dxa"/>
            <w:vAlign w:val="bottom"/>
            <w:tcBorders>
              <w:bottom w:val="single" w:sz="8" w:color="D2EDFE"/>
            </w:tcBorders>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5,821</w:t>
            </w:r>
          </w:p>
        </w:tc>
        <w:tc>
          <w:tcPr>
            <w:tcW w:w="80" w:type="dxa"/>
            <w:vAlign w:val="bottom"/>
            <w:tcBorders>
              <w:bottom w:val="single" w:sz="8" w:color="D2EDFE"/>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7,652</w:t>
            </w:r>
          </w:p>
        </w:tc>
      </w:tr>
      <w:tr>
        <w:trPr>
          <w:trHeight w:val="250"/>
        </w:trPr>
        <w:tc>
          <w:tcPr>
            <w:tcW w:w="8120" w:type="dxa"/>
            <w:vAlign w:val="bottom"/>
            <w:shd w:val="clear" w:color="auto" w:fill="D2EDFE"/>
          </w:tcPr>
          <w:p>
            <w:pPr>
              <w:spacing w:after="0"/>
              <w:rPr>
                <w:sz w:val="21"/>
                <w:szCs w:val="21"/>
                <w:color w:val="auto"/>
              </w:rPr>
            </w:pPr>
          </w:p>
        </w:tc>
        <w:tc>
          <w:tcPr>
            <w:tcW w:w="360" w:type="dxa"/>
            <w:vAlign w:val="bottom"/>
            <w:shd w:val="clear" w:color="auto" w:fill="D2EDFE"/>
          </w:tcPr>
          <w:p>
            <w:pPr>
              <w:spacing w:after="0"/>
              <w:rPr>
                <w:sz w:val="21"/>
                <w:szCs w:val="21"/>
                <w:color w:val="auto"/>
              </w:rPr>
            </w:pPr>
          </w:p>
        </w:tc>
        <w:tc>
          <w:tcPr>
            <w:tcW w:w="1160" w:type="dxa"/>
            <w:vAlign w:val="bottom"/>
            <w:shd w:val="clear" w:color="auto" w:fill="D2EDFE"/>
          </w:tcPr>
          <w:p>
            <w:pPr>
              <w:spacing w:after="0"/>
              <w:rPr>
                <w:sz w:val="21"/>
                <w:szCs w:val="21"/>
                <w:color w:val="auto"/>
              </w:rPr>
            </w:pPr>
          </w:p>
        </w:tc>
        <w:tc>
          <w:tcPr>
            <w:tcW w:w="80" w:type="dxa"/>
            <w:vAlign w:val="bottom"/>
            <w:shd w:val="clear" w:color="auto" w:fill="D2EDFE"/>
          </w:tcPr>
          <w:p>
            <w:pPr>
              <w:spacing w:after="0"/>
              <w:rPr>
                <w:sz w:val="21"/>
                <w:szCs w:val="21"/>
                <w:color w:val="auto"/>
              </w:rPr>
            </w:pPr>
          </w:p>
        </w:tc>
        <w:tc>
          <w:tcPr>
            <w:tcW w:w="380" w:type="dxa"/>
            <w:vAlign w:val="bottom"/>
            <w:shd w:val="clear" w:color="auto" w:fill="D2EDFE"/>
          </w:tcPr>
          <w:p>
            <w:pPr>
              <w:spacing w:after="0"/>
              <w:rPr>
                <w:sz w:val="21"/>
                <w:szCs w:val="21"/>
                <w:color w:val="auto"/>
              </w:rPr>
            </w:pPr>
          </w:p>
        </w:tc>
        <w:tc>
          <w:tcPr>
            <w:tcW w:w="1140" w:type="dxa"/>
            <w:vAlign w:val="bottom"/>
            <w:shd w:val="clear" w:color="auto" w:fill="D2EDFE"/>
          </w:tcPr>
          <w:p>
            <w:pPr>
              <w:spacing w:after="0"/>
              <w:rPr>
                <w:sz w:val="21"/>
                <w:szCs w:val="21"/>
                <w:color w:val="auto"/>
              </w:rPr>
            </w:pPr>
          </w:p>
        </w:tc>
      </w:tr>
      <w:tr>
        <w:trPr>
          <w:trHeight w:val="270"/>
        </w:trPr>
        <w:tc>
          <w:tcPr>
            <w:tcW w:w="8120" w:type="dxa"/>
            <w:vAlign w:val="bottom"/>
          </w:tcPr>
          <w:p>
            <w:pPr>
              <w:ind w:left="20"/>
              <w:spacing w:after="0"/>
              <w:rPr>
                <w:sz w:val="20"/>
                <w:szCs w:val="20"/>
                <w:color w:val="auto"/>
              </w:rPr>
            </w:pPr>
            <w:r>
              <w:rPr>
                <w:rFonts w:ascii="Arial" w:cs="Arial" w:eastAsia="Arial" w:hAnsi="Arial"/>
                <w:sz w:val="18"/>
                <w:szCs w:val="18"/>
                <w:color w:val="auto"/>
              </w:rPr>
              <w:t xml:space="preserve">Adjusted net income per share of common stock </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0"/>
        </w:trPr>
        <w:tc>
          <w:tcPr>
            <w:tcW w:w="8120" w:type="dxa"/>
            <w:vAlign w:val="bottom"/>
            <w:shd w:val="clear" w:color="auto" w:fill="D2EDFE"/>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D2EDFE"/>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0.10</w:t>
            </w:r>
          </w:p>
        </w:tc>
        <w:tc>
          <w:tcPr>
            <w:tcW w:w="460" w:type="dxa"/>
            <w:vAlign w:val="bottom"/>
            <w:gridSpan w:val="2"/>
            <w:shd w:val="clear" w:color="auto" w:fill="D2EDFE"/>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0.14</w:t>
            </w:r>
          </w:p>
        </w:tc>
      </w:tr>
      <w:tr>
        <w:trPr>
          <w:trHeight w:val="263"/>
        </w:trPr>
        <w:tc>
          <w:tcPr>
            <w:tcW w:w="8120" w:type="dxa"/>
            <w:vAlign w:val="bottom"/>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0.10</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57"/>
        </w:trPr>
        <w:tc>
          <w:tcPr>
            <w:tcW w:w="812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Borders>
              <w:bottom w:val="single" w:sz="8" w:color="D2EDFE"/>
            </w:tcBorders>
            <w:shd w:val="clear" w:color="auto" w:fill="D2EDFE"/>
          </w:tcPr>
          <w:p>
            <w:pPr>
              <w:spacing w:after="0"/>
              <w:rPr>
                <w:sz w:val="22"/>
                <w:szCs w:val="22"/>
                <w:color w:val="auto"/>
              </w:rPr>
            </w:pPr>
          </w:p>
        </w:tc>
        <w:tc>
          <w:tcPr>
            <w:tcW w:w="1160" w:type="dxa"/>
            <w:vAlign w:val="bottom"/>
            <w:tcBorders>
              <w:bottom w:val="single" w:sz="8" w:color="D2EDFE"/>
            </w:tcBorders>
            <w:shd w:val="clear" w:color="auto" w:fill="D2EDFE"/>
          </w:tcPr>
          <w:p>
            <w:pPr>
              <w:spacing w:after="0"/>
              <w:rPr>
                <w:sz w:val="22"/>
                <w:szCs w:val="22"/>
                <w:color w:val="auto"/>
              </w:rPr>
            </w:pPr>
          </w:p>
        </w:tc>
        <w:tc>
          <w:tcPr>
            <w:tcW w:w="80" w:type="dxa"/>
            <w:vAlign w:val="bottom"/>
            <w:tcBorders>
              <w:bottom w:val="single" w:sz="8" w:color="D2EDFE"/>
            </w:tcBorders>
            <w:shd w:val="clear" w:color="auto" w:fill="D2EDFE"/>
          </w:tcPr>
          <w:p>
            <w:pPr>
              <w:spacing w:after="0"/>
              <w:rPr>
                <w:sz w:val="22"/>
                <w:szCs w:val="22"/>
                <w:color w:val="auto"/>
              </w:rPr>
            </w:pPr>
          </w:p>
        </w:tc>
        <w:tc>
          <w:tcPr>
            <w:tcW w:w="380" w:type="dxa"/>
            <w:vAlign w:val="bottom"/>
            <w:tcBorders>
              <w:bottom w:val="single" w:sz="8" w:color="D2EDFE"/>
            </w:tcBorders>
            <w:shd w:val="clear" w:color="auto" w:fill="D2EDFE"/>
          </w:tcPr>
          <w:p>
            <w:pPr>
              <w:spacing w:after="0"/>
              <w:rPr>
                <w:sz w:val="22"/>
                <w:szCs w:val="22"/>
                <w:color w:val="auto"/>
              </w:rPr>
            </w:pPr>
          </w:p>
        </w:tc>
        <w:tc>
          <w:tcPr>
            <w:tcW w:w="1140" w:type="dxa"/>
            <w:vAlign w:val="bottom"/>
            <w:tcBorders>
              <w:bottom w:val="single" w:sz="8" w:color="D2EDFE"/>
            </w:tcBorders>
            <w:shd w:val="clear" w:color="auto" w:fill="D2EDFE"/>
          </w:tcPr>
          <w:p>
            <w:pPr>
              <w:spacing w:after="0"/>
              <w:rPr>
                <w:sz w:val="22"/>
                <w:szCs w:val="22"/>
                <w:color w:val="auto"/>
              </w:rPr>
            </w:pPr>
          </w:p>
        </w:tc>
      </w:tr>
      <w:tr>
        <w:trPr>
          <w:trHeight w:val="263"/>
        </w:trPr>
        <w:tc>
          <w:tcPr>
            <w:tcW w:w="8120" w:type="dxa"/>
            <w:vAlign w:val="bottom"/>
          </w:tcPr>
          <w:p>
            <w:pPr>
              <w:ind w:left="2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56,443,370</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55,640,154</w:t>
            </w:r>
          </w:p>
        </w:tc>
      </w:tr>
      <w:tr>
        <w:trPr>
          <w:trHeight w:val="277"/>
        </w:trPr>
        <w:tc>
          <w:tcPr>
            <w:tcW w:w="8120" w:type="dxa"/>
            <w:vAlign w:val="bottom"/>
            <w:shd w:val="clear" w:color="auto" w:fill="D2EDFE"/>
          </w:tcPr>
          <w:p>
            <w:pPr>
              <w:ind w:left="2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D2EDFE"/>
          </w:tcPr>
          <w:p>
            <w:pPr>
              <w:spacing w:after="0"/>
              <w:rPr>
                <w:sz w:val="24"/>
                <w:szCs w:val="24"/>
                <w:color w:val="auto"/>
              </w:rPr>
            </w:pPr>
          </w:p>
        </w:tc>
        <w:tc>
          <w:tcPr>
            <w:tcW w:w="116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57,309,392</w:t>
            </w:r>
          </w:p>
        </w:tc>
        <w:tc>
          <w:tcPr>
            <w:tcW w:w="80" w:type="dxa"/>
            <w:vAlign w:val="bottom"/>
            <w:shd w:val="clear" w:color="auto" w:fill="D2EDFE"/>
          </w:tcPr>
          <w:p>
            <w:pPr>
              <w:spacing w:after="0"/>
              <w:rPr>
                <w:sz w:val="24"/>
                <w:szCs w:val="24"/>
                <w:color w:val="auto"/>
              </w:rPr>
            </w:pPr>
          </w:p>
        </w:tc>
        <w:tc>
          <w:tcPr>
            <w:tcW w:w="380" w:type="dxa"/>
            <w:vAlign w:val="bottom"/>
            <w:shd w:val="clear" w:color="auto" w:fill="D2EDFE"/>
          </w:tcPr>
          <w:p>
            <w:pPr>
              <w:spacing w:after="0"/>
              <w:rPr>
                <w:sz w:val="24"/>
                <w:szCs w:val="24"/>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56,244,711</w:t>
            </w:r>
          </w:p>
        </w:tc>
      </w:tr>
    </w:tbl>
    <w:p>
      <w:pPr>
        <w:spacing w:after="0" w:line="292" w:lineRule="exact"/>
        <w:rPr>
          <w:sz w:val="20"/>
          <w:szCs w:val="20"/>
          <w:color w:val="auto"/>
        </w:rPr>
      </w:pPr>
    </w:p>
    <w:p>
      <w:pPr>
        <w:ind w:left="660" w:hanging="652"/>
        <w:spacing w:after="0" w:line="293" w:lineRule="auto"/>
        <w:tabs>
          <w:tab w:leader="none" w:pos="328" w:val="left"/>
        </w:tabs>
        <w:numPr>
          <w:ilvl w:val="0"/>
          <w:numId w:val="5"/>
        </w:numPr>
        <w:rPr>
          <w:rFonts w:ascii="Arial" w:cs="Arial" w:eastAsia="Arial" w:hAnsi="Arial"/>
          <w:sz w:val="14"/>
          <w:szCs w:val="14"/>
          <w:color w:val="auto"/>
        </w:rPr>
      </w:pPr>
      <w:r>
        <w:rPr>
          <w:rFonts w:ascii="Arial" w:cs="Arial" w:eastAsia="Arial" w:hAnsi="Arial"/>
          <w:sz w:val="14"/>
          <w:szCs w:val="14"/>
          <w:color w:val="auto"/>
        </w:rPr>
        <w:t>Diluted Adjusted Net Income Per Share is computed by dividing adjusted net income by the weighted-average number of shares of common stock outstanding adjusted for the dilutive effect of all potential shares of common stock.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2023 Compared to Three Months Ended March 31, 2022</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and notes summarize certain results from the statements of operations for each of the periods indicated and the changes between periods. The table also shows the percentage relationship to revenue for the periods indicated:</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Three Months Ended</w:t>
      </w:r>
    </w:p>
    <w:p>
      <w:pPr>
        <w:jc w:val="center"/>
        <w:ind w:right="-59"/>
        <w:spacing w:after="0"/>
        <w:rPr>
          <w:sz w:val="20"/>
          <w:szCs w:val="20"/>
          <w:color w:val="auto"/>
        </w:rPr>
      </w:pPr>
      <w:r>
        <w:rPr>
          <w:rFonts w:ascii="Arial" w:cs="Arial" w:eastAsia="Arial" w:hAnsi="Arial"/>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2023</w:t>
            </w:r>
          </w:p>
        </w:tc>
        <w:tc>
          <w:tcPr>
            <w:tcW w:w="9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920" w:type="dxa"/>
            <w:vAlign w:val="bottom"/>
          </w:tcPr>
          <w:p>
            <w:pPr>
              <w:jc w:val="right"/>
              <w:ind w:right="353"/>
              <w:spacing w:after="0" w:line="135"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1"/>
                <w:szCs w:val="11"/>
                <w:color w:val="auto"/>
              </w:rPr>
            </w:pPr>
          </w:p>
        </w:tc>
        <w:tc>
          <w:tcPr>
            <w:tcW w:w="240" w:type="dxa"/>
            <w:vAlign w:val="bottom"/>
            <w:vMerge w:val="restart"/>
          </w:tcPr>
          <w:p>
            <w:pPr>
              <w:spacing w:after="0"/>
              <w:rPr>
                <w:sz w:val="11"/>
                <w:szCs w:val="11"/>
                <w:color w:val="auto"/>
              </w:rPr>
            </w:pPr>
          </w:p>
        </w:tc>
        <w:tc>
          <w:tcPr>
            <w:tcW w:w="900" w:type="dxa"/>
            <w:vAlign w:val="bottom"/>
          </w:tcPr>
          <w:p>
            <w:pPr>
              <w:jc w:val="right"/>
              <w:ind w:right="333"/>
              <w:spacing w:after="0" w:line="135"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6"/>
        </w:trPr>
        <w:tc>
          <w:tcPr>
            <w:tcW w:w="3380" w:type="dxa"/>
            <w:vAlign w:val="bottom"/>
          </w:tcPr>
          <w:p>
            <w:pPr>
              <w:ind w:left="20"/>
              <w:spacing w:after="0"/>
              <w:rPr>
                <w:sz w:val="20"/>
                <w:szCs w:val="20"/>
                <w:color w:val="auto"/>
              </w:rPr>
            </w:pPr>
            <w:r>
              <w:rPr>
                <w:rFonts w:ascii="Arial" w:cs="Arial" w:eastAsia="Arial" w:hAnsi="Arial"/>
                <w:sz w:val="14"/>
                <w:szCs w:val="14"/>
                <w:color w:val="auto"/>
              </w:rPr>
              <w:t>($ in thousands)</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Revenue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5"/>
              </w:rPr>
              <w:t>Revenue</w:t>
            </w:r>
          </w:p>
        </w:tc>
        <w:tc>
          <w:tcPr>
            <w:tcW w:w="0" w:type="dxa"/>
            <w:vAlign w:val="bottom"/>
          </w:tcPr>
          <w:p>
            <w:pPr>
              <w:spacing w:after="0"/>
              <w:rPr>
                <w:sz w:val="1"/>
                <w:szCs w:val="1"/>
                <w:color w:val="auto"/>
              </w:rPr>
            </w:pPr>
          </w:p>
        </w:tc>
      </w:tr>
      <w:tr>
        <w:trPr>
          <w:trHeight w:val="229"/>
        </w:trPr>
        <w:tc>
          <w:tcPr>
            <w:tcW w:w="3380" w:type="dxa"/>
            <w:vAlign w:val="bottom"/>
            <w:shd w:val="clear" w:color="auto" w:fill="D2EDFE"/>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2EDF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45,813</w:t>
            </w: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gridSpan w:val="2"/>
            <w:shd w:val="clear" w:color="auto" w:fill="D2EDFE"/>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39,544</w:t>
            </w: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380" w:type="dxa"/>
            <w:vAlign w:val="bottom"/>
            <w:shd w:val="clear" w:color="auto" w:fill="D2EDFE"/>
          </w:tcPr>
          <w:p>
            <w:pPr>
              <w:ind w:left="140"/>
              <w:spacing w:after="0" w:line="182" w:lineRule="exact"/>
              <w:rPr>
                <w:sz w:val="20"/>
                <w:szCs w:val="20"/>
                <w:color w:val="auto"/>
              </w:rPr>
            </w:pPr>
            <w:r>
              <w:rPr>
                <w:rFonts w:ascii="Arial" w:cs="Arial" w:eastAsia="Arial" w:hAnsi="Arial"/>
                <w:sz w:val="18"/>
                <w:szCs w:val="18"/>
                <w:color w:val="auto"/>
                <w:w w:val="98"/>
              </w:rPr>
              <w:t>Cost of service (exclusive of depreciation</w:t>
            </w:r>
          </w:p>
        </w:tc>
        <w:tc>
          <w:tcPr>
            <w:tcW w:w="180" w:type="dxa"/>
            <w:vAlign w:val="bottom"/>
            <w:shd w:val="clear" w:color="auto" w:fill="D2EDFE"/>
          </w:tcPr>
          <w:p>
            <w:pPr>
              <w:spacing w:after="0"/>
              <w:rPr>
                <w:sz w:val="15"/>
                <w:szCs w:val="15"/>
                <w:color w:val="auto"/>
              </w:rPr>
            </w:pPr>
          </w:p>
        </w:tc>
        <w:tc>
          <w:tcPr>
            <w:tcW w:w="840" w:type="dxa"/>
            <w:vAlign w:val="bottom"/>
            <w:vMerge w:val="restart"/>
            <w:shd w:val="clear" w:color="auto" w:fill="D2EDFE"/>
          </w:tcPr>
          <w:p>
            <w:pPr>
              <w:jc w:val="right"/>
              <w:spacing w:after="0"/>
              <w:rPr>
                <w:sz w:val="20"/>
                <w:szCs w:val="20"/>
                <w:color w:val="auto"/>
              </w:rPr>
            </w:pPr>
            <w:r>
              <w:rPr>
                <w:rFonts w:ascii="Arial" w:cs="Arial" w:eastAsia="Arial" w:hAnsi="Arial"/>
                <w:sz w:val="18"/>
                <w:szCs w:val="18"/>
                <w:color w:val="auto"/>
              </w:rPr>
              <w:t>18,017</w:t>
            </w:r>
          </w:p>
        </w:tc>
        <w:tc>
          <w:tcPr>
            <w:tcW w:w="80" w:type="dxa"/>
            <w:vAlign w:val="bottom"/>
            <w:shd w:val="clear" w:color="auto" w:fill="D2EDFE"/>
          </w:tcPr>
          <w:p>
            <w:pPr>
              <w:spacing w:after="0"/>
              <w:rPr>
                <w:sz w:val="15"/>
                <w:szCs w:val="15"/>
                <w:color w:val="auto"/>
              </w:rPr>
            </w:pPr>
          </w:p>
        </w:tc>
        <w:tc>
          <w:tcPr>
            <w:tcW w:w="220" w:type="dxa"/>
            <w:vAlign w:val="bottom"/>
            <w:shd w:val="clear" w:color="auto" w:fill="D2EDFE"/>
          </w:tcPr>
          <w:p>
            <w:pPr>
              <w:spacing w:after="0"/>
              <w:rPr>
                <w:sz w:val="15"/>
                <w:szCs w:val="15"/>
                <w:color w:val="auto"/>
              </w:rPr>
            </w:pPr>
          </w:p>
        </w:tc>
        <w:tc>
          <w:tcPr>
            <w:tcW w:w="920" w:type="dxa"/>
            <w:vAlign w:val="bottom"/>
            <w:vMerge w:val="restart"/>
            <w:shd w:val="clear" w:color="auto" w:fill="D2EDFE"/>
          </w:tcPr>
          <w:p>
            <w:pPr>
              <w:jc w:val="right"/>
              <w:spacing w:after="0"/>
              <w:rPr>
                <w:sz w:val="20"/>
                <w:szCs w:val="20"/>
                <w:color w:val="auto"/>
              </w:rPr>
            </w:pPr>
            <w:r>
              <w:rPr>
                <w:rFonts w:ascii="Arial" w:cs="Arial" w:eastAsia="Arial" w:hAnsi="Arial"/>
                <w:sz w:val="18"/>
                <w:szCs w:val="18"/>
                <w:color w:val="auto"/>
              </w:rPr>
              <w:t>39.3 %</w:t>
            </w:r>
          </w:p>
        </w:tc>
        <w:tc>
          <w:tcPr>
            <w:tcW w:w="80" w:type="dxa"/>
            <w:vAlign w:val="bottom"/>
            <w:shd w:val="clear" w:color="auto" w:fill="D2EDFE"/>
          </w:tcPr>
          <w:p>
            <w:pPr>
              <w:spacing w:after="0"/>
              <w:rPr>
                <w:sz w:val="15"/>
                <w:szCs w:val="15"/>
                <w:color w:val="auto"/>
              </w:rPr>
            </w:pPr>
          </w:p>
        </w:tc>
        <w:tc>
          <w:tcPr>
            <w:tcW w:w="160" w:type="dxa"/>
            <w:vAlign w:val="bottom"/>
            <w:shd w:val="clear" w:color="auto" w:fill="D2EDFE"/>
          </w:tcPr>
          <w:p>
            <w:pPr>
              <w:spacing w:after="0"/>
              <w:rPr>
                <w:sz w:val="15"/>
                <w:szCs w:val="15"/>
                <w:color w:val="auto"/>
              </w:rPr>
            </w:pPr>
          </w:p>
        </w:tc>
        <w:tc>
          <w:tcPr>
            <w:tcW w:w="840" w:type="dxa"/>
            <w:vAlign w:val="bottom"/>
            <w:vMerge w:val="restart"/>
            <w:shd w:val="clear" w:color="auto" w:fill="D2EDFE"/>
          </w:tcPr>
          <w:p>
            <w:pPr>
              <w:jc w:val="right"/>
              <w:spacing w:after="0"/>
              <w:rPr>
                <w:sz w:val="20"/>
                <w:szCs w:val="20"/>
                <w:color w:val="auto"/>
              </w:rPr>
            </w:pPr>
            <w:r>
              <w:rPr>
                <w:rFonts w:ascii="Arial" w:cs="Arial" w:eastAsia="Arial" w:hAnsi="Arial"/>
                <w:sz w:val="18"/>
                <w:szCs w:val="18"/>
                <w:color w:val="auto"/>
              </w:rPr>
              <w:t>14,662</w:t>
            </w:r>
          </w:p>
        </w:tc>
        <w:tc>
          <w:tcPr>
            <w:tcW w:w="80" w:type="dxa"/>
            <w:vAlign w:val="bottom"/>
            <w:shd w:val="clear" w:color="auto" w:fill="D2EDFE"/>
          </w:tcPr>
          <w:p>
            <w:pPr>
              <w:spacing w:after="0"/>
              <w:rPr>
                <w:sz w:val="15"/>
                <w:szCs w:val="15"/>
                <w:color w:val="auto"/>
              </w:rPr>
            </w:pPr>
          </w:p>
        </w:tc>
        <w:tc>
          <w:tcPr>
            <w:tcW w:w="240" w:type="dxa"/>
            <w:vAlign w:val="bottom"/>
            <w:shd w:val="clear" w:color="auto" w:fill="D2EDFE"/>
          </w:tcPr>
          <w:p>
            <w:pPr>
              <w:spacing w:after="0"/>
              <w:rPr>
                <w:sz w:val="15"/>
                <w:szCs w:val="15"/>
                <w:color w:val="auto"/>
              </w:rPr>
            </w:pPr>
          </w:p>
        </w:tc>
        <w:tc>
          <w:tcPr>
            <w:tcW w:w="900" w:type="dxa"/>
            <w:vAlign w:val="bottom"/>
            <w:vMerge w:val="restart"/>
            <w:shd w:val="clear" w:color="auto" w:fill="D2EDFE"/>
          </w:tcPr>
          <w:p>
            <w:pPr>
              <w:jc w:val="right"/>
              <w:spacing w:after="0"/>
              <w:rPr>
                <w:sz w:val="20"/>
                <w:szCs w:val="20"/>
                <w:color w:val="auto"/>
              </w:rPr>
            </w:pPr>
            <w:r>
              <w:rPr>
                <w:rFonts w:ascii="Arial" w:cs="Arial" w:eastAsia="Arial" w:hAnsi="Arial"/>
                <w:sz w:val="18"/>
                <w:szCs w:val="18"/>
                <w:color w:val="auto"/>
              </w:rPr>
              <w:t>37.1 %</w:t>
            </w:r>
          </w:p>
        </w:tc>
        <w:tc>
          <w:tcPr>
            <w:tcW w:w="0" w:type="dxa"/>
            <w:vAlign w:val="bottom"/>
          </w:tcPr>
          <w:p>
            <w:pPr>
              <w:spacing w:after="0"/>
              <w:rPr>
                <w:sz w:val="1"/>
                <w:szCs w:val="1"/>
                <w:color w:val="auto"/>
              </w:rPr>
            </w:pPr>
          </w:p>
        </w:tc>
      </w:tr>
      <w:tr>
        <w:trPr>
          <w:trHeight w:val="230"/>
        </w:trPr>
        <w:tc>
          <w:tcPr>
            <w:tcW w:w="33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and amortization shown below)</w:t>
            </w:r>
          </w:p>
        </w:tc>
        <w:tc>
          <w:tcPr>
            <w:tcW w:w="180" w:type="dxa"/>
            <w:vAlign w:val="bottom"/>
            <w:shd w:val="clear" w:color="auto" w:fill="D2EDFE"/>
          </w:tcPr>
          <w:p>
            <w:pPr>
              <w:spacing w:after="0"/>
              <w:rPr>
                <w:sz w:val="19"/>
                <w:szCs w:val="19"/>
                <w:color w:val="auto"/>
              </w:rPr>
            </w:pPr>
          </w:p>
        </w:tc>
        <w:tc>
          <w:tcPr>
            <w:tcW w:w="840" w:type="dxa"/>
            <w:vAlign w:val="bottom"/>
            <w:vMerge w:val="continue"/>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220" w:type="dxa"/>
            <w:vAlign w:val="bottom"/>
            <w:shd w:val="clear" w:color="auto" w:fill="D2EDFE"/>
          </w:tcPr>
          <w:p>
            <w:pPr>
              <w:spacing w:after="0"/>
              <w:rPr>
                <w:sz w:val="19"/>
                <w:szCs w:val="19"/>
                <w:color w:val="auto"/>
              </w:rPr>
            </w:pPr>
          </w:p>
        </w:tc>
        <w:tc>
          <w:tcPr>
            <w:tcW w:w="920" w:type="dxa"/>
            <w:vAlign w:val="bottom"/>
            <w:vMerge w:val="continue"/>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160" w:type="dxa"/>
            <w:vAlign w:val="bottom"/>
            <w:shd w:val="clear" w:color="auto" w:fill="D2EDFE"/>
          </w:tcPr>
          <w:p>
            <w:pPr>
              <w:spacing w:after="0"/>
              <w:rPr>
                <w:sz w:val="19"/>
                <w:szCs w:val="19"/>
                <w:color w:val="auto"/>
              </w:rPr>
            </w:pPr>
          </w:p>
        </w:tc>
        <w:tc>
          <w:tcPr>
            <w:tcW w:w="840" w:type="dxa"/>
            <w:vAlign w:val="bottom"/>
            <w:vMerge w:val="continue"/>
            <w:shd w:val="clear" w:color="auto" w:fill="D2EDFE"/>
          </w:tcPr>
          <w:p>
            <w:pPr>
              <w:spacing w:after="0"/>
              <w:rPr>
                <w:sz w:val="19"/>
                <w:szCs w:val="19"/>
                <w:color w:val="auto"/>
              </w:rPr>
            </w:pPr>
          </w:p>
        </w:tc>
        <w:tc>
          <w:tcPr>
            <w:tcW w:w="80" w:type="dxa"/>
            <w:vAlign w:val="bottom"/>
            <w:shd w:val="clear" w:color="auto" w:fill="D2EDFE"/>
          </w:tcPr>
          <w:p>
            <w:pPr>
              <w:spacing w:after="0"/>
              <w:rPr>
                <w:sz w:val="19"/>
                <w:szCs w:val="19"/>
                <w:color w:val="auto"/>
              </w:rPr>
            </w:pPr>
          </w:p>
        </w:tc>
        <w:tc>
          <w:tcPr>
            <w:tcW w:w="240" w:type="dxa"/>
            <w:vAlign w:val="bottom"/>
            <w:shd w:val="clear" w:color="auto" w:fill="D2EDFE"/>
          </w:tcPr>
          <w:p>
            <w:pPr>
              <w:spacing w:after="0"/>
              <w:rPr>
                <w:sz w:val="19"/>
                <w:szCs w:val="19"/>
                <w:color w:val="auto"/>
              </w:rPr>
            </w:pPr>
          </w:p>
        </w:tc>
        <w:tc>
          <w:tcPr>
            <w:tcW w:w="900" w:type="dxa"/>
            <w:vAlign w:val="bottom"/>
            <w:vMerge w:val="continue"/>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23,882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52.1 %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24,167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61.1 %</w:t>
            </w:r>
          </w:p>
        </w:tc>
        <w:tc>
          <w:tcPr>
            <w:tcW w:w="0" w:type="dxa"/>
            <w:vAlign w:val="bottom"/>
          </w:tcPr>
          <w:p>
            <w:pPr>
              <w:spacing w:after="0"/>
              <w:rPr>
                <w:sz w:val="1"/>
                <w:szCs w:val="1"/>
                <w:color w:val="auto"/>
              </w:rPr>
            </w:pPr>
          </w:p>
        </w:tc>
      </w:tr>
      <w:tr>
        <w:trPr>
          <w:trHeight w:val="236"/>
        </w:trPr>
        <w:tc>
          <w:tcPr>
            <w:tcW w:w="33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D2EDFE"/>
          </w:tcPr>
          <w:p>
            <w:pPr>
              <w:spacing w:after="0"/>
              <w:rPr>
                <w:sz w:val="20"/>
                <w:szCs w:val="20"/>
                <w:color w:val="auto"/>
              </w:rPr>
            </w:pP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2,336</w:t>
            </w:r>
          </w:p>
        </w:tc>
        <w:tc>
          <w:tcPr>
            <w:tcW w:w="80" w:type="dxa"/>
            <w:vAlign w:val="bottom"/>
            <w:shd w:val="clear" w:color="auto" w:fill="D2EDFE"/>
          </w:tcPr>
          <w:p>
            <w:pPr>
              <w:spacing w:after="0"/>
              <w:rPr>
                <w:sz w:val="20"/>
                <w:szCs w:val="20"/>
                <w:color w:val="auto"/>
              </w:rPr>
            </w:pPr>
          </w:p>
        </w:tc>
        <w:tc>
          <w:tcPr>
            <w:tcW w:w="220" w:type="dxa"/>
            <w:vAlign w:val="bottom"/>
            <w:shd w:val="clear" w:color="auto" w:fill="D2EDFE"/>
          </w:tcPr>
          <w:p>
            <w:pPr>
              <w:spacing w:after="0"/>
              <w:rPr>
                <w:sz w:val="20"/>
                <w:szCs w:val="20"/>
                <w:color w:val="auto"/>
              </w:rPr>
            </w:pPr>
          </w:p>
        </w:tc>
        <w:tc>
          <w:tcPr>
            <w:tcW w:w="9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D2EDFE"/>
          </w:tcPr>
          <w:p>
            <w:pPr>
              <w:spacing w:after="0"/>
              <w:rPr>
                <w:sz w:val="20"/>
                <w:szCs w:val="20"/>
                <w:color w:val="auto"/>
              </w:rPr>
            </w:pPr>
          </w:p>
        </w:tc>
        <w:tc>
          <w:tcPr>
            <w:tcW w:w="160" w:type="dxa"/>
            <w:vAlign w:val="bottom"/>
            <w:shd w:val="clear" w:color="auto" w:fill="D2EDFE"/>
          </w:tcPr>
          <w:p>
            <w:pPr>
              <w:spacing w:after="0"/>
              <w:rPr>
                <w:sz w:val="20"/>
                <w:szCs w:val="20"/>
                <w:color w:val="auto"/>
              </w:rPr>
            </w:pPr>
          </w:p>
        </w:tc>
        <w:tc>
          <w:tcPr>
            <w:tcW w:w="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1,886</w:t>
            </w:r>
          </w:p>
        </w:tc>
        <w:tc>
          <w:tcPr>
            <w:tcW w:w="80" w:type="dxa"/>
            <w:vAlign w:val="bottom"/>
            <w:shd w:val="clear" w:color="auto" w:fill="D2EDFE"/>
          </w:tcPr>
          <w:p>
            <w:pPr>
              <w:spacing w:after="0"/>
              <w:rPr>
                <w:sz w:val="20"/>
                <w:szCs w:val="20"/>
                <w:color w:val="auto"/>
              </w:rPr>
            </w:pPr>
          </w:p>
        </w:tc>
        <w:tc>
          <w:tcPr>
            <w:tcW w:w="240" w:type="dxa"/>
            <w:vAlign w:val="bottom"/>
            <w:shd w:val="clear" w:color="auto" w:fill="D2EDFE"/>
          </w:tcPr>
          <w:p>
            <w:pPr>
              <w:spacing w:after="0"/>
              <w:rPr>
                <w:sz w:val="20"/>
                <w:szCs w:val="20"/>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9"/>
        </w:trPr>
        <w:tc>
          <w:tcPr>
            <w:tcW w:w="3380" w:type="dxa"/>
            <w:vAlign w:val="bottom"/>
          </w:tcPr>
          <w:p>
            <w:pPr>
              <w:ind w:left="140"/>
              <w:spacing w:after="0"/>
              <w:rPr>
                <w:sz w:val="20"/>
                <w:szCs w:val="20"/>
                <w:color w:val="auto"/>
              </w:rPr>
            </w:pPr>
            <w:r>
              <w:rPr>
                <w:rFonts w:ascii="Arial" w:cs="Arial" w:eastAsia="Arial" w:hAnsi="Arial"/>
                <w:sz w:val="18"/>
                <w:szCs w:val="18"/>
                <w:color w:val="auto"/>
              </w:rPr>
              <w:t>Gain on disposal of long-lived assets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3380" w:type="dxa"/>
            <w:vAlign w:val="bottom"/>
            <w:shd w:val="clear" w:color="auto" w:fill="D2EDFE"/>
          </w:tcPr>
          <w:p>
            <w:pPr>
              <w:ind w:left="1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D2EDFE"/>
          </w:tcPr>
          <w:p>
            <w:pPr>
              <w:spacing w:after="0"/>
              <w:rPr>
                <w:sz w:val="20"/>
                <w:szCs w:val="20"/>
                <w:color w:val="auto"/>
              </w:rPr>
            </w:pPr>
          </w:p>
        </w:tc>
        <w:tc>
          <w:tcPr>
            <w:tcW w:w="84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44,051</w:t>
            </w:r>
          </w:p>
        </w:tc>
        <w:tc>
          <w:tcPr>
            <w:tcW w:w="80" w:type="dxa"/>
            <w:vAlign w:val="bottom"/>
            <w:shd w:val="clear" w:color="auto" w:fill="D2EDFE"/>
          </w:tcPr>
          <w:p>
            <w:pPr>
              <w:spacing w:after="0"/>
              <w:rPr>
                <w:sz w:val="20"/>
                <w:szCs w:val="20"/>
                <w:color w:val="auto"/>
              </w:rPr>
            </w:pPr>
          </w:p>
        </w:tc>
        <w:tc>
          <w:tcPr>
            <w:tcW w:w="220" w:type="dxa"/>
            <w:vAlign w:val="bottom"/>
            <w:tcBorders>
              <w:top w:val="single" w:sz="8" w:color="auto"/>
              <w:bottom w:val="single" w:sz="8" w:color="auto"/>
            </w:tcBorders>
            <w:shd w:val="clear" w:color="auto" w:fill="D2EDFE"/>
          </w:tcPr>
          <w:p>
            <w:pPr>
              <w:spacing w:after="0"/>
              <w:rPr>
                <w:sz w:val="20"/>
                <w:szCs w:val="20"/>
                <w:color w:val="auto"/>
              </w:rPr>
            </w:pPr>
          </w:p>
        </w:tc>
        <w:tc>
          <w:tcPr>
            <w:tcW w:w="92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96.2 %</w:t>
            </w:r>
          </w:p>
        </w:tc>
        <w:tc>
          <w:tcPr>
            <w:tcW w:w="80" w:type="dxa"/>
            <w:vAlign w:val="bottom"/>
            <w:shd w:val="clear" w:color="auto" w:fill="D2EDFE"/>
          </w:tcPr>
          <w:p>
            <w:pPr>
              <w:spacing w:after="0"/>
              <w:rPr>
                <w:sz w:val="20"/>
                <w:szCs w:val="20"/>
                <w:color w:val="auto"/>
              </w:rPr>
            </w:pPr>
          </w:p>
        </w:tc>
        <w:tc>
          <w:tcPr>
            <w:tcW w:w="160" w:type="dxa"/>
            <w:vAlign w:val="bottom"/>
            <w:tcBorders>
              <w:top w:val="single" w:sz="8" w:color="auto"/>
              <w:bottom w:val="single" w:sz="8" w:color="auto"/>
            </w:tcBorders>
            <w:shd w:val="clear" w:color="auto" w:fill="D2EDFE"/>
          </w:tcPr>
          <w:p>
            <w:pPr>
              <w:spacing w:after="0"/>
              <w:rPr>
                <w:sz w:val="20"/>
                <w:szCs w:val="20"/>
                <w:color w:val="auto"/>
              </w:rPr>
            </w:pPr>
          </w:p>
        </w:tc>
        <w:tc>
          <w:tcPr>
            <w:tcW w:w="84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40,715</w:t>
            </w:r>
          </w:p>
        </w:tc>
        <w:tc>
          <w:tcPr>
            <w:tcW w:w="80" w:type="dxa"/>
            <w:vAlign w:val="bottom"/>
            <w:shd w:val="clear" w:color="auto" w:fill="D2EDFE"/>
          </w:tcPr>
          <w:p>
            <w:pPr>
              <w:spacing w:after="0"/>
              <w:rPr>
                <w:sz w:val="20"/>
                <w:szCs w:val="20"/>
                <w:color w:val="auto"/>
              </w:rPr>
            </w:pPr>
          </w:p>
        </w:tc>
        <w:tc>
          <w:tcPr>
            <w:tcW w:w="240" w:type="dxa"/>
            <w:vAlign w:val="bottom"/>
            <w:tcBorders>
              <w:top w:val="single" w:sz="8" w:color="auto"/>
              <w:bottom w:val="single" w:sz="8" w:color="auto"/>
            </w:tcBorders>
            <w:shd w:val="clear" w:color="auto" w:fill="D2EDFE"/>
          </w:tcPr>
          <w:p>
            <w:pPr>
              <w:spacing w:after="0"/>
              <w:rPr>
                <w:sz w:val="20"/>
                <w:szCs w:val="20"/>
                <w:color w:val="auto"/>
              </w:rPr>
            </w:pPr>
          </w:p>
        </w:tc>
        <w:tc>
          <w:tcPr>
            <w:tcW w:w="900" w:type="dxa"/>
            <w:vAlign w:val="bottom"/>
            <w:tcBorders>
              <w:top w:val="single" w:sz="8" w:color="auto"/>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103.0 %</w:t>
            </w:r>
          </w:p>
        </w:tc>
        <w:tc>
          <w:tcPr>
            <w:tcW w:w="0" w:type="dxa"/>
            <w:vAlign w:val="bottom"/>
          </w:tcPr>
          <w:p>
            <w:pPr>
              <w:spacing w:after="0"/>
              <w:rPr>
                <w:sz w:val="1"/>
                <w:szCs w:val="1"/>
                <w:color w:val="auto"/>
              </w:rPr>
            </w:pPr>
          </w:p>
        </w:tc>
      </w:tr>
      <w:tr>
        <w:trPr>
          <w:trHeight w:val="223"/>
        </w:trPr>
        <w:tc>
          <w:tcPr>
            <w:tcW w:w="3380" w:type="dxa"/>
            <w:vAlign w:val="bottom"/>
          </w:tcPr>
          <w:p>
            <w:pPr>
              <w:ind w:left="140"/>
              <w:spacing w:after="0"/>
              <w:rPr>
                <w:sz w:val="20"/>
                <w:szCs w:val="20"/>
                <w:color w:val="auto"/>
              </w:rPr>
            </w:pPr>
            <w:r>
              <w:rPr>
                <w:rFonts w:ascii="Arial" w:cs="Arial" w:eastAsia="Arial" w:hAnsi="Arial"/>
                <w:sz w:val="18"/>
                <w:szCs w:val="18"/>
                <w:color w:val="auto"/>
              </w:rPr>
              <w:t>Income/(loss) from operations</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338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auto"/>
            </w:tcBorders>
            <w:shd w:val="clear" w:color="auto" w:fill="D2EDFE"/>
          </w:tcPr>
          <w:p>
            <w:pPr>
              <w:spacing w:after="0"/>
              <w:rPr>
                <w:sz w:val="19"/>
                <w:szCs w:val="19"/>
                <w:color w:val="auto"/>
              </w:rPr>
            </w:pPr>
          </w:p>
        </w:tc>
        <w:tc>
          <w:tcPr>
            <w:tcW w:w="8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1,735</w:t>
            </w:r>
          </w:p>
        </w:tc>
        <w:tc>
          <w:tcPr>
            <w:tcW w:w="80" w:type="dxa"/>
            <w:vAlign w:val="bottom"/>
            <w:tcBorders>
              <w:bottom w:val="single" w:sz="8" w:color="D2EDFE"/>
            </w:tcBorders>
            <w:shd w:val="clear" w:color="auto" w:fill="D2EDFE"/>
          </w:tcPr>
          <w:p>
            <w:pPr>
              <w:spacing w:after="0"/>
              <w:rPr>
                <w:sz w:val="19"/>
                <w:szCs w:val="19"/>
                <w:color w:val="auto"/>
              </w:rPr>
            </w:pPr>
          </w:p>
        </w:tc>
        <w:tc>
          <w:tcPr>
            <w:tcW w:w="220" w:type="dxa"/>
            <w:vAlign w:val="bottom"/>
            <w:tcBorders>
              <w:bottom w:val="single" w:sz="8" w:color="auto"/>
            </w:tcBorders>
            <w:shd w:val="clear" w:color="auto" w:fill="D2EDFE"/>
          </w:tcPr>
          <w:p>
            <w:pPr>
              <w:spacing w:after="0"/>
              <w:rPr>
                <w:sz w:val="19"/>
                <w:szCs w:val="19"/>
                <w:color w:val="auto"/>
              </w:rPr>
            </w:pPr>
          </w:p>
        </w:tc>
        <w:tc>
          <w:tcPr>
            <w:tcW w:w="9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3.8 %</w:t>
            </w:r>
          </w:p>
        </w:tc>
        <w:tc>
          <w:tcPr>
            <w:tcW w:w="80" w:type="dxa"/>
            <w:vAlign w:val="bottom"/>
            <w:tcBorders>
              <w:bottom w:val="single" w:sz="8" w:color="D2EDFE"/>
            </w:tcBorders>
            <w:shd w:val="clear" w:color="auto" w:fill="D2EDFE"/>
          </w:tcPr>
          <w:p>
            <w:pPr>
              <w:spacing w:after="0"/>
              <w:rPr>
                <w:sz w:val="19"/>
                <w:szCs w:val="19"/>
                <w:color w:val="auto"/>
              </w:rPr>
            </w:pPr>
          </w:p>
        </w:tc>
        <w:tc>
          <w:tcPr>
            <w:tcW w:w="160" w:type="dxa"/>
            <w:vAlign w:val="bottom"/>
            <w:tcBorders>
              <w:bottom w:val="single" w:sz="8" w:color="auto"/>
            </w:tcBorders>
            <w:shd w:val="clear" w:color="auto" w:fill="D2EDFE"/>
          </w:tcPr>
          <w:p>
            <w:pPr>
              <w:spacing w:after="0"/>
              <w:rPr>
                <w:sz w:val="19"/>
                <w:szCs w:val="19"/>
                <w:color w:val="auto"/>
              </w:rPr>
            </w:pPr>
          </w:p>
        </w:tc>
        <w:tc>
          <w:tcPr>
            <w:tcW w:w="8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1,492</w:t>
            </w:r>
          </w:p>
        </w:tc>
        <w:tc>
          <w:tcPr>
            <w:tcW w:w="80" w:type="dxa"/>
            <w:vAlign w:val="bottom"/>
            <w:tcBorders>
              <w:bottom w:val="single" w:sz="8" w:color="D2EDFE"/>
            </w:tcBorders>
            <w:shd w:val="clear" w:color="auto" w:fill="D2EDFE"/>
          </w:tcPr>
          <w:p>
            <w:pPr>
              <w:spacing w:after="0"/>
              <w:rPr>
                <w:sz w:val="19"/>
                <w:szCs w:val="19"/>
                <w:color w:val="auto"/>
              </w:rPr>
            </w:pPr>
          </w:p>
        </w:tc>
        <w:tc>
          <w:tcPr>
            <w:tcW w:w="240" w:type="dxa"/>
            <w:vAlign w:val="bottom"/>
            <w:tcBorders>
              <w:bottom w:val="single" w:sz="8" w:color="auto"/>
            </w:tcBorders>
            <w:shd w:val="clear" w:color="auto" w:fill="D2EDFE"/>
          </w:tcPr>
          <w:p>
            <w:pPr>
              <w:spacing w:after="0"/>
              <w:rPr>
                <w:sz w:val="19"/>
                <w:szCs w:val="19"/>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Pre-tax net income/(loss)</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6"/>
        </w:trPr>
        <w:tc>
          <w:tcPr>
            <w:tcW w:w="3380" w:type="dxa"/>
            <w:vAlign w:val="bottom"/>
            <w:tcBorders>
              <w:bottom w:val="single" w:sz="8" w:color="D2EDFE"/>
            </w:tcBorders>
            <w:shd w:val="clear" w:color="auto" w:fill="D2EDFE"/>
          </w:tcPr>
          <w:p>
            <w:pPr>
              <w:ind w:left="20"/>
              <w:spacing w:after="0"/>
              <w:rPr>
                <w:sz w:val="20"/>
                <w:szCs w:val="20"/>
                <w:color w:val="auto"/>
              </w:rPr>
            </w:pPr>
            <w:r>
              <w:rPr>
                <w:rFonts w:ascii="Arial" w:cs="Arial" w:eastAsia="Arial" w:hAnsi="Arial"/>
                <w:sz w:val="18"/>
                <w:szCs w:val="18"/>
                <w:color w:val="auto"/>
              </w:rPr>
              <w:t>Income tax expense/(benefit)</w:t>
            </w:r>
          </w:p>
        </w:tc>
        <w:tc>
          <w:tcPr>
            <w:tcW w:w="180" w:type="dxa"/>
            <w:vAlign w:val="bottom"/>
            <w:tcBorders>
              <w:bottom w:val="single" w:sz="8" w:color="auto"/>
            </w:tcBorders>
            <w:shd w:val="clear" w:color="auto" w:fill="D2EDFE"/>
          </w:tcPr>
          <w:p>
            <w:pPr>
              <w:spacing w:after="0"/>
              <w:rPr>
                <w:sz w:val="20"/>
                <w:szCs w:val="20"/>
                <w:color w:val="auto"/>
              </w:rPr>
            </w:pPr>
          </w:p>
        </w:tc>
        <w:tc>
          <w:tcPr>
            <w:tcW w:w="8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D2EDFE"/>
            </w:tcBorders>
            <w:shd w:val="clear" w:color="auto" w:fill="D2EDFE"/>
          </w:tcPr>
          <w:p>
            <w:pPr>
              <w:spacing w:after="0"/>
              <w:rPr>
                <w:sz w:val="20"/>
                <w:szCs w:val="20"/>
                <w:color w:val="auto"/>
              </w:rPr>
            </w:pPr>
          </w:p>
        </w:tc>
        <w:tc>
          <w:tcPr>
            <w:tcW w:w="220" w:type="dxa"/>
            <w:vAlign w:val="bottom"/>
            <w:tcBorders>
              <w:bottom w:val="single" w:sz="8" w:color="auto"/>
            </w:tcBorders>
            <w:shd w:val="clear" w:color="auto" w:fill="D2EDFE"/>
          </w:tcPr>
          <w:p>
            <w:pPr>
              <w:spacing w:after="0"/>
              <w:rPr>
                <w:sz w:val="20"/>
                <w:szCs w:val="20"/>
                <w:color w:val="auto"/>
              </w:rPr>
            </w:pPr>
          </w:p>
        </w:tc>
        <w:tc>
          <w:tcPr>
            <w:tcW w:w="92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0.1 %</w:t>
            </w:r>
          </w:p>
        </w:tc>
        <w:tc>
          <w:tcPr>
            <w:tcW w:w="80" w:type="dxa"/>
            <w:vAlign w:val="bottom"/>
            <w:tcBorders>
              <w:bottom w:val="single" w:sz="8" w:color="D2EDFE"/>
            </w:tcBorders>
            <w:shd w:val="clear" w:color="auto" w:fill="D2EDFE"/>
          </w:tcPr>
          <w:p>
            <w:pPr>
              <w:spacing w:after="0"/>
              <w:rPr>
                <w:sz w:val="20"/>
                <w:szCs w:val="20"/>
                <w:color w:val="auto"/>
              </w:rPr>
            </w:pPr>
          </w:p>
        </w:tc>
        <w:tc>
          <w:tcPr>
            <w:tcW w:w="160" w:type="dxa"/>
            <w:vAlign w:val="bottom"/>
            <w:tcBorders>
              <w:bottom w:val="single" w:sz="8" w:color="auto"/>
            </w:tcBorders>
            <w:shd w:val="clear" w:color="auto" w:fill="D2EDFE"/>
          </w:tcPr>
          <w:p>
            <w:pPr>
              <w:spacing w:after="0"/>
              <w:rPr>
                <w:sz w:val="20"/>
                <w:szCs w:val="20"/>
                <w:color w:val="auto"/>
              </w:rPr>
            </w:pPr>
          </w:p>
        </w:tc>
        <w:tc>
          <w:tcPr>
            <w:tcW w:w="84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(1,970)</w:t>
            </w:r>
          </w:p>
        </w:tc>
        <w:tc>
          <w:tcPr>
            <w:tcW w:w="80" w:type="dxa"/>
            <w:vAlign w:val="bottom"/>
            <w:tcBorders>
              <w:bottom w:val="single" w:sz="8" w:color="D2EDFE"/>
            </w:tcBorders>
            <w:shd w:val="clear" w:color="auto" w:fill="D2EDFE"/>
          </w:tcPr>
          <w:p>
            <w:pPr>
              <w:spacing w:after="0"/>
              <w:rPr>
                <w:sz w:val="20"/>
                <w:szCs w:val="20"/>
                <w:color w:val="auto"/>
              </w:rPr>
            </w:pPr>
          </w:p>
        </w:tc>
        <w:tc>
          <w:tcPr>
            <w:tcW w:w="240" w:type="dxa"/>
            <w:vAlign w:val="bottom"/>
            <w:tcBorders>
              <w:bottom w:val="single" w:sz="8" w:color="auto"/>
            </w:tcBorders>
            <w:shd w:val="clear" w:color="auto" w:fill="D2EDFE"/>
          </w:tcPr>
          <w:p>
            <w:pPr>
              <w:spacing w:after="0"/>
              <w:rPr>
                <w:sz w:val="20"/>
                <w:szCs w:val="20"/>
                <w:color w:val="auto"/>
              </w:rPr>
            </w:pPr>
          </w:p>
        </w:tc>
        <w:tc>
          <w:tcPr>
            <w:tcW w:w="900" w:type="dxa"/>
            <w:vAlign w:val="bottom"/>
            <w:tcBorders>
              <w:bottom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33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Our financial results for the three months ended March 31, 2023 compared to the three months ended March 31, 2022 reflect the addition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four de novo centers and expansion of existing centers which increased our procedure rooms by 13.</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Our revenue increased $6.3 million, or 15.9%, compared to the same period in 2022. The increase is the result of adding four de novo centers</w:t>
      </w:r>
      <w:r>
        <w:rPr>
          <w:rFonts w:ascii="Arial" w:cs="Arial" w:eastAsia="Arial" w:hAnsi="Arial"/>
          <w:sz w:val="18"/>
          <w:szCs w:val="18"/>
          <w:i w:val="1"/>
          <w:iCs w:val="1"/>
          <w:color w:val="auto"/>
        </w:rPr>
        <w:t xml:space="preserve"> </w:t>
      </w:r>
      <w:r>
        <w:rPr>
          <w:rFonts w:ascii="Arial" w:cs="Arial" w:eastAsia="Arial" w:hAnsi="Arial"/>
          <w:sz w:val="18"/>
          <w:szCs w:val="18"/>
          <w:color w:val="auto"/>
        </w:rPr>
        <w:t>which expanded our footprint from 19 centers to 23 centers and our number of procedure rooms from 36 to 49 as of March 31, 2023. Same store revenue for the three months ended March 31, 2023, increased by 2.2%.</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Cost of Service—</w:t>
      </w:r>
      <w:r>
        <w:rPr>
          <w:rFonts w:ascii="Arial" w:cs="Arial" w:eastAsia="Arial" w:hAnsi="Arial"/>
          <w:sz w:val="18"/>
          <w:szCs w:val="18"/>
          <w:color w:val="auto"/>
        </w:rPr>
        <w:t>Our cost of services increased $3.4 million, or 22.9%, compared to the three months ended March 31, 2022. This increase is attributable to</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four centers since the 2022 period. Cost of service was 39.3% and 37.1% as a percentage of revenue for the three months ended March 31, 2023 and 2022, respectively. This increase is primarily due to adding four de novo centers over the prior period and increasing rent related to opening these new facilities. Cost of service as a percent of revenue is higher for a de novo center in the first year until the center reaches maturity, which can take up to two years.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Selling, general and administrative expenses decreased $(0.3) million, or (1.2)%,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2023 compared to the same period in 2022. This decrease is related to a decrease in our equity-based compensation expense offset by additional expenses we incurred for marketing and corporate support as we grow our center count through de novo expansion and providing support for our centers. We expect our marketing and corporate support costs to continue to increase as we open de novo centers and expand the support we provide to our centers. Selling, general and administrative expenses as a percent of revenue was at 52.1% and 61.1% for the three months ended March 31, 2023 and 2022, respectively.</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expenses consist of advertising costs for social, digital and traditional marketing and sales and marketing personnel. Total selling expenses were approximately $8.6 million and $6.0 million for the three months ended March 31, 2023 and 2022, respectively. Our customer acquisition costs were approximately $2,360 and $2,200 per customer in the three months ended March 31, 2023 and 2022, respectively. We intend to continue investing in our sales and marketing capabilities as we add new centers and further increase our brand awareness, which will also drive further same-center growth. As a</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 we expect these costs to increase on an absolute dollar basis. Additionally, selling expenses as a percentage of revenue may fluctuate from quarter to quarter based on the timing and scope of our initiatives and the related impact to our revenue.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include employee-related expenses, including salaries and related costs (excluding physician and clinical cost included in cost of service), equity-based compensation, technology, operations, finance, legal, corporate office rent and human resources. General and administrative expenses were approximately $15.3 million and $18.2 million for the three months ended March 31, 2023 and 2022, respectively. As previously mentioned, a decline in our equity-based compensation was the main driver for this decrease. We expect to continue to expand our corporate team to support the opening of new centers and growth at existing facilities.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Depreciation and amortization increased to approximately $2.3 million for the three months ended March 31,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$1.9 million for the same period in 2022. This increase is the result of having four additional de novo centers during the three months ended March 31, 2023 as compared to the 2022 period.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Gain on disposal of long-lived assets—</w:t>
      </w:r>
      <w:r>
        <w:rPr>
          <w:rFonts w:ascii="Arial" w:cs="Arial" w:eastAsia="Arial" w:hAnsi="Arial"/>
          <w:sz w:val="18"/>
          <w:szCs w:val="18"/>
          <w:color w:val="auto"/>
        </w:rPr>
        <w:t>We recognized a $0.2 million gain related to the disposal of previous long-lived assets as a result of relocations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expand certain centers.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Interest expense increased to $1.7 million from $1.5 million for the three months ended March 31, 2023 and 2022,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is due to rising interest rates in the current quarter as compared to prior quarter.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Income Tax Expense/(Benefit)— </w:t>
      </w:r>
      <w:r>
        <w:rPr>
          <w:rFonts w:ascii="Arial" w:cs="Arial" w:eastAsia="Arial" w:hAnsi="Arial"/>
          <w:sz w:val="18"/>
          <w:szCs w:val="18"/>
          <w:color w:val="auto"/>
        </w:rPr>
        <w:t>Our effective tax rate is 151.9% and (74.0)% for the three months ended March 31, 2023 and 2022, respectively. The main</w:t>
      </w:r>
      <w:r>
        <w:rPr>
          <w:rFonts w:ascii="Arial" w:cs="Arial" w:eastAsia="Arial" w:hAnsi="Arial"/>
          <w:sz w:val="18"/>
          <w:szCs w:val="18"/>
          <w:i w:val="1"/>
          <w:iCs w:val="1"/>
          <w:color w:val="auto"/>
        </w:rPr>
        <w:t xml:space="preserve"> </w:t>
      </w:r>
      <w:r>
        <w:rPr>
          <w:rFonts w:ascii="Arial" w:cs="Arial" w:eastAsia="Arial" w:hAnsi="Arial"/>
          <w:sz w:val="18"/>
          <w:szCs w:val="18"/>
          <w:color w:val="auto"/>
        </w:rPr>
        <w:t>driver of the difference between the effective and statutory rate is non-deductible executive compensation under Section 162(m) of the Internal Revenue 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principally rely on cash flows from operations as our primary source of liquidity and, if needed, up to $5.0 million in revolving loans under our revolving credit facility. Our primary cash needs are for payroll, marketing and advertisements, rent, capital expenditures associated with de novo locations and new procedure room additions, as well as information technology and infrastructure, including our corporate office. We believe that the cash expected to be generated from operations and the availability of borrowings under the revolving credit facility will be sufficient for our working capital requirements, liquidity obligations, anticipated capital expenditures relating to the opening of de novo centers, and the addition of new procedure rooms to our existing locations, and payments due under our existing credit facilities for at least the next 12 months.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2023, we had $11.3 million in cash and cash equivalents and an available amount of $5.0 million under our revolving credit facility. We do not have any letters of credit outstanding as of March 31, 2023.</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had $9.6 million in cash and cash equivalents and an available amount of $5.0 million under our revolving credit facility. We did not have any letters of credit outstanding as of December 31,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net cash provided by (used for) operating activities, investing activities and financing activities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5"/>
              </w:rPr>
              <w:t>March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320" w:type="dxa"/>
            <w:vAlign w:val="bottom"/>
            <w:vMerge w:val="restart"/>
          </w:tcPr>
          <w:p>
            <w:pPr>
              <w:ind w:left="20"/>
              <w:spacing w:after="0"/>
              <w:rPr>
                <w:sz w:val="20"/>
                <w:szCs w:val="20"/>
                <w:color w:val="auto"/>
              </w:rPr>
            </w:pPr>
            <w:r>
              <w:rPr>
                <w:rFonts w:ascii="Arial" w:cs="Arial" w:eastAsia="Arial" w:hAnsi="Arial"/>
                <w:sz w:val="14"/>
                <w:szCs w:val="14"/>
                <w:color w:val="auto"/>
              </w:rPr>
              <w:t>($ in thousands)</w:t>
            </w:r>
          </w:p>
        </w:tc>
        <w:tc>
          <w:tcPr>
            <w:tcW w:w="3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320" w:type="dxa"/>
            <w:vAlign w:val="bottom"/>
            <w:vMerge w:val="continue"/>
          </w:tcPr>
          <w:p>
            <w:pPr>
              <w:spacing w:after="0"/>
              <w:rPr>
                <w:sz w:val="15"/>
                <w:szCs w:val="15"/>
                <w:color w:val="auto"/>
              </w:rPr>
            </w:pPr>
          </w:p>
        </w:tc>
        <w:tc>
          <w:tcPr>
            <w:tcW w:w="3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4"/>
        </w:trPr>
        <w:tc>
          <w:tcPr>
            <w:tcW w:w="4320" w:type="dxa"/>
            <w:vAlign w:val="bottom"/>
            <w:shd w:val="clear" w:color="auto" w:fill="D2EDFE"/>
          </w:tcPr>
          <w:p>
            <w:pPr>
              <w:ind w:left="20"/>
              <w:spacing w:after="0"/>
              <w:rPr>
                <w:sz w:val="20"/>
                <w:szCs w:val="20"/>
                <w:color w:val="auto"/>
              </w:rPr>
            </w:pPr>
            <w:r>
              <w:rPr>
                <w:rFonts w:ascii="Arial" w:cs="Arial" w:eastAsia="Arial" w:hAnsi="Arial"/>
                <w:sz w:val="18"/>
                <w:szCs w:val="18"/>
                <w:b w:val="1"/>
                <w:bCs w:val="1"/>
                <w:color w:val="auto"/>
              </w:rPr>
              <w:t>Cash Flows Provided By (Used For):</w:t>
            </w:r>
          </w:p>
        </w:tc>
        <w:tc>
          <w:tcPr>
            <w:tcW w:w="3820" w:type="dxa"/>
            <w:vAlign w:val="bottom"/>
            <w:shd w:val="clear" w:color="auto" w:fill="D2EDFE"/>
          </w:tcPr>
          <w:p>
            <w:pPr>
              <w:spacing w:after="0"/>
              <w:rPr>
                <w:sz w:val="19"/>
                <w:szCs w:val="19"/>
                <w:color w:val="auto"/>
              </w:rPr>
            </w:pPr>
          </w:p>
        </w:tc>
        <w:tc>
          <w:tcPr>
            <w:tcW w:w="360" w:type="dxa"/>
            <w:vAlign w:val="bottom"/>
            <w:shd w:val="clear" w:color="auto" w:fill="D2EDFE"/>
          </w:tcPr>
          <w:p>
            <w:pPr>
              <w:spacing w:after="0"/>
              <w:rPr>
                <w:sz w:val="19"/>
                <w:szCs w:val="19"/>
                <w:color w:val="auto"/>
              </w:rPr>
            </w:pPr>
          </w:p>
        </w:tc>
        <w:tc>
          <w:tcPr>
            <w:tcW w:w="1140" w:type="dxa"/>
            <w:vAlign w:val="bottom"/>
            <w:shd w:val="clear" w:color="auto" w:fill="D2EDFE"/>
          </w:tcPr>
          <w:p>
            <w:pPr>
              <w:spacing w:after="0"/>
              <w:rPr>
                <w:sz w:val="19"/>
                <w:szCs w:val="19"/>
                <w:color w:val="auto"/>
              </w:rPr>
            </w:pPr>
          </w:p>
        </w:tc>
        <w:tc>
          <w:tcPr>
            <w:tcW w:w="120" w:type="dxa"/>
            <w:vAlign w:val="bottom"/>
            <w:shd w:val="clear" w:color="auto" w:fill="D2EDFE"/>
          </w:tcPr>
          <w:p>
            <w:pPr>
              <w:spacing w:after="0"/>
              <w:rPr>
                <w:sz w:val="19"/>
                <w:szCs w:val="19"/>
                <w:color w:val="auto"/>
              </w:rPr>
            </w:pPr>
          </w:p>
        </w:tc>
        <w:tc>
          <w:tcPr>
            <w:tcW w:w="580" w:type="dxa"/>
            <w:vAlign w:val="bottom"/>
            <w:shd w:val="clear" w:color="auto" w:fill="D2EDFE"/>
          </w:tcPr>
          <w:p>
            <w:pPr>
              <w:spacing w:after="0"/>
              <w:rPr>
                <w:sz w:val="19"/>
                <w:szCs w:val="19"/>
                <w:color w:val="auto"/>
              </w:rPr>
            </w:pPr>
          </w:p>
        </w:tc>
        <w:tc>
          <w:tcPr>
            <w:tcW w:w="900" w:type="dxa"/>
            <w:vAlign w:val="bottom"/>
            <w:shd w:val="clear" w:color="auto" w:fill="D2EDF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2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4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6,219</w:t>
            </w:r>
          </w:p>
        </w:tc>
        <w:tc>
          <w:tcPr>
            <w:tcW w:w="7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36"/>
        </w:trPr>
        <w:tc>
          <w:tcPr>
            <w:tcW w:w="43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Investing activities</w:t>
            </w:r>
          </w:p>
        </w:tc>
        <w:tc>
          <w:tcPr>
            <w:tcW w:w="3820" w:type="dxa"/>
            <w:vAlign w:val="bottom"/>
            <w:shd w:val="clear" w:color="auto" w:fill="D2EDFE"/>
          </w:tcPr>
          <w:p>
            <w:pPr>
              <w:spacing w:after="0"/>
              <w:rPr>
                <w:sz w:val="20"/>
                <w:szCs w:val="20"/>
                <w:color w:val="auto"/>
              </w:rPr>
            </w:pPr>
          </w:p>
        </w:tc>
        <w:tc>
          <w:tcPr>
            <w:tcW w:w="360" w:type="dxa"/>
            <w:vAlign w:val="bottom"/>
            <w:shd w:val="clear" w:color="auto" w:fill="D2EDFE"/>
          </w:tcPr>
          <w:p>
            <w:pPr>
              <w:spacing w:after="0"/>
              <w:rPr>
                <w:sz w:val="20"/>
                <w:szCs w:val="20"/>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(3,815)</w:t>
            </w:r>
          </w:p>
        </w:tc>
        <w:tc>
          <w:tcPr>
            <w:tcW w:w="120" w:type="dxa"/>
            <w:vAlign w:val="bottom"/>
            <w:shd w:val="clear" w:color="auto" w:fill="D2EDFE"/>
          </w:tcPr>
          <w:p>
            <w:pPr>
              <w:spacing w:after="0"/>
              <w:rPr>
                <w:sz w:val="20"/>
                <w:szCs w:val="20"/>
                <w:color w:val="auto"/>
              </w:rPr>
            </w:pPr>
          </w:p>
        </w:tc>
        <w:tc>
          <w:tcPr>
            <w:tcW w:w="580" w:type="dxa"/>
            <w:vAlign w:val="bottom"/>
            <w:shd w:val="clear" w:color="auto" w:fill="D2EDFE"/>
          </w:tcPr>
          <w:p>
            <w:pPr>
              <w:spacing w:after="0"/>
              <w:rPr>
                <w:sz w:val="20"/>
                <w:szCs w:val="20"/>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(4,274)</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4320" w:type="dxa"/>
            <w:vAlign w:val="bottom"/>
            <w:shd w:val="clear" w:color="auto" w:fill="D2EDFE"/>
          </w:tcPr>
          <w:p>
            <w:pPr>
              <w:ind w:left="140"/>
              <w:spacing w:after="0"/>
              <w:rPr>
                <w:sz w:val="20"/>
                <w:szCs w:val="20"/>
                <w:color w:val="auto"/>
              </w:rPr>
            </w:pPr>
            <w:r>
              <w:rPr>
                <w:rFonts w:ascii="Arial" w:cs="Arial" w:eastAsia="Arial" w:hAnsi="Arial"/>
                <w:sz w:val="18"/>
                <w:szCs w:val="18"/>
                <w:color w:val="auto"/>
              </w:rPr>
              <w:t>Net increase in cash and cash equivalents</w:t>
            </w:r>
          </w:p>
        </w:tc>
        <w:tc>
          <w:tcPr>
            <w:tcW w:w="3820" w:type="dxa"/>
            <w:vAlign w:val="bottom"/>
            <w:shd w:val="clear" w:color="auto" w:fill="D2EDFE"/>
          </w:tcPr>
          <w:p>
            <w:pPr>
              <w:spacing w:after="0"/>
              <w:rPr>
                <w:sz w:val="21"/>
                <w:szCs w:val="21"/>
                <w:color w:val="auto"/>
              </w:rPr>
            </w:pPr>
          </w:p>
        </w:tc>
        <w:tc>
          <w:tcPr>
            <w:tcW w:w="360" w:type="dxa"/>
            <w:vAlign w:val="bottom"/>
            <w:shd w:val="clear" w:color="auto" w:fill="D2EDFE"/>
          </w:tcPr>
          <w:p>
            <w:pPr>
              <w:spacing w:after="0"/>
              <w:rPr>
                <w:sz w:val="21"/>
                <w:szCs w:val="21"/>
                <w:color w:val="auto"/>
              </w:rPr>
            </w:pPr>
          </w:p>
        </w:tc>
        <w:tc>
          <w:tcPr>
            <w:tcW w:w="11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1,667</w:t>
            </w:r>
          </w:p>
        </w:tc>
        <w:tc>
          <w:tcPr>
            <w:tcW w:w="120" w:type="dxa"/>
            <w:vAlign w:val="bottom"/>
            <w:shd w:val="clear" w:color="auto" w:fill="D2EDFE"/>
          </w:tcPr>
          <w:p>
            <w:pPr>
              <w:spacing w:after="0"/>
              <w:rPr>
                <w:sz w:val="21"/>
                <w:szCs w:val="21"/>
                <w:color w:val="auto"/>
              </w:rPr>
            </w:pPr>
          </w:p>
        </w:tc>
        <w:tc>
          <w:tcPr>
            <w:tcW w:w="580" w:type="dxa"/>
            <w:vAlign w:val="bottom"/>
            <w:shd w:val="clear" w:color="auto" w:fill="D2EDFE"/>
          </w:tcPr>
          <w:p>
            <w:pPr>
              <w:spacing w:after="0"/>
              <w:rPr>
                <w:sz w:val="21"/>
                <w:szCs w:val="21"/>
                <w:color w:val="auto"/>
              </w:rPr>
            </w:pPr>
          </w:p>
        </w:tc>
        <w:tc>
          <w:tcPr>
            <w:tcW w:w="9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905"/>
        </w:trPr>
        <w:tc>
          <w:tcPr>
            <w:tcW w:w="4320" w:type="dxa"/>
            <w:vAlign w:val="bottom"/>
          </w:tcPr>
          <w:p>
            <w:pPr>
              <w:spacing w:after="0"/>
              <w:rPr>
                <w:sz w:val="24"/>
                <w:szCs w:val="24"/>
                <w:color w:val="auto"/>
              </w:rPr>
            </w:pPr>
          </w:p>
        </w:tc>
        <w:tc>
          <w:tcPr>
            <w:tcW w:w="3820" w:type="dxa"/>
            <w:vAlign w:val="bottom"/>
          </w:tcPr>
          <w:p>
            <w:pPr>
              <w:jc w:val="right"/>
              <w:ind w:right="233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32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primary source of our operating cash flow is the collection of patient payments received prior to performing surgical procedures. For the three months ended March 31, 2023, our operating cash flow decreased by $0.9 million compared to the same period in 2022. This decrease primarily relates to increased spending on brand awareness to support future growth. At March 31, 2023, we had working capital of $(3.6) million compared to $(5.6) million at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for the three months ended March 31, 2023 and 2022 was $3.8 million and $4.3 million, respectively. The decrease in investing activities during the three months ended March 31, 2023 as compared to the three months ended March 31, 2022 was attributable to the expansion of multiple existing facilities during the 2022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during the three months ended March 31, 2023 was $0.7 million. During the three months ended March 31, 2023, we paid cash dividends to shareholders of $0.2 million and made principal payments on our debt of $0.5 million.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for the three months ended March 31, 2022 was $0.9 million. For the three months ended March 31, 2022, we made distributions to EBS Parent, LLC of $0.7 million and paid scheduled principal payments on our debt of $0.2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our total indebtedness was $83.3 million and $83.5 million, which includes unamortized deferred financing costs and issuance discount of $1.2 million and $1.5 million, as of March 31, 2023 and December 31, 2022,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7, 2022, the Company entered into a credit agreement with a syndicate of lenders (the "Credit Agreement") maturing November 7, 2027. Pursuant to the Credit Agreement, there is (i) an $85.0 million aggregate principal amount of term loans and (ii) a revolving loan facility in an aggregate principal amount of up to $5.0 million. The proceeds were used, in part, to pay off the Company’s $83.6 million outstanding principal balance under its previous credit facility.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Credit Agreement, all outstanding loans bear interest based on either a base rate or SOFR plus an applicable per annum margin. The applicable per annum margin is 2.0% or 3.0% for base rate or SOFR, respectively, if the Company's total leverage ratio is equal to or greater than 2.0x. If the Company's total leverage ratio is equal to or greater than 1.0x and less than 2.0x, the applicable per annum margin is 1.5% or 2.5% for base rate or SOFR, respectively. If the Company's total leverage ratio is below 1.0x, the applicable per annum margin is 1.0% or 2.0% for base rate or SOFR, respectively. As of March 31, 2023, the interest rate was 7.23%.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executive compensation and performance and comparisons of the CEO’s compensation to median employee compensation. These exemptions will apply for a period of five years following the completion of our IPO or until we are no longer an “emerging growth company,” whichever is earlier.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summary of significant accounting policies is disclosed in our Annual Report on Form 10-K dated March 10, 2023 filed with the Securities and Exchange Commission (“SEC”) pursuant to Section 13 or 15d of the Securities Exchange Act of 1934, as amended (the "Exchange Act") under the caption “Critical Accounting Policies and Estimates” in the Management’s Discussion and Analysis of Financial Condition and Results of Operations section. There have been no material changes in the nature of our critical accounting policies and estimates or the application of those policies from our Annual Report on Form 10-K dated March 10,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 is a smaller reporting company as defined by Rule 12b-2 of the Exchange Act and is not required to provide the information required under this item.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end of the period covered by this Quarterly Report on Form 10-Q, our management, under the supervision and with the participation of our principal executive officer and principal financial officer, evaluated the effectiveness of our disclosure controls and procedures pursuant to Exchange Act Rule 13a-15(e) and 15d-15(e). Based upon this evaluation, our principal executive officer and principal financial officer concluded that our disclosure controls and procedures were effective at a reasonable assurance level as of March 31, 2023.</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March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the Effectiveness of Controls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the Chief Executive Officer and the Chief Financial Officer, recognizes that any set of controls and procedures, no matter how well-designed and operated, can provide only reasonable, not absolute, assurance of achieving the desired control objectives.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controls. For these reasons,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ordinary course of business, we have become and may in the future become subject to pending and threatened legal actions and proceedings, including with respect to the quality of our services. All of the current legal actions and proceedings that we are a party to are of an ordinary or routine nature incidental to our operations, the resolution of which should not have a material adverse effect on our financial condition, results of operations or cash flows. These claims, to the extent they exceed our insurance deductibles, are covered by insurance, but there can be no assurance that our insurance coverage will be adequate to cover any such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to the extent updated below or to the extent additional factual information disclosed elsewhere in this Quarterly Report on Form 10-Q relates to such risk factors (including, without limitation, the matters discussed in Part I, “Item 2—Management’s Discussion and Analysis of Financial Condition and Results of Operations”), there were no material changes to the risk factors discussed in our Annual Report on Form 10-K for the year ended December 31, 2022 dated March 10, 2023 and filed with the Securities and Exchange Commission ("SEC") pursuant to Section 13 or 15(d) of the Securities Exchange Act of 1934.</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9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Exhibit</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8743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10.1</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31.1*</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31.2*</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Description of Exhibit</w:t>
      </w:r>
    </w:p>
    <w:p>
      <w:pPr>
        <w:spacing w:after="0" w:line="162" w:lineRule="exact"/>
        <w:rPr>
          <w:sz w:val="20"/>
          <w:szCs w:val="20"/>
          <w:color w:val="auto"/>
        </w:rPr>
      </w:pPr>
    </w:p>
    <w:p>
      <w:pPr>
        <w:spacing w:after="0"/>
        <w:rPr>
          <w:rFonts w:ascii="Arial" w:cs="Arial" w:eastAsia="Arial" w:hAnsi="Arial"/>
          <w:sz w:val="18"/>
          <w:szCs w:val="18"/>
          <w:u w:val="single" w:color="auto"/>
          <w:color w:val="auto"/>
        </w:rPr>
      </w:pPr>
      <w:hyperlink r:id="rId52">
        <w:r>
          <w:rPr>
            <w:rFonts w:ascii="Arial" w:cs="Arial" w:eastAsia="Arial" w:hAnsi="Arial"/>
            <w:sz w:val="18"/>
            <w:szCs w:val="18"/>
            <w:u w:val="single" w:color="auto"/>
            <w:color w:val="auto"/>
          </w:rPr>
          <w:t>Second Amended and Restated Employment Agreement between the Company and Dr. Rollins, dated January 4, 2023</w:t>
        </w:r>
      </w:hyperlink>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u w:val="single" w:color="auto"/>
          <w:color w:val="auto"/>
        </w:rPr>
        <w:t>Certification of Principal Executive Officer Pursuant to Rules 13a-14(a) and 15d-14(a) under the Securities Exchange Act of 1934, as Adopted Pursuant to Section 302 of the Sarbanes-Oxley Act of 2002</w:t>
      </w:r>
    </w:p>
    <w:p>
      <w:pPr>
        <w:spacing w:after="0" w:line="9"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u w:val="single" w:color="auto"/>
          <w:color w:val="auto"/>
        </w:rPr>
        <w:t>Certification of Principal Financial Officer Pursuant to Rules 13a-14(a) and 15d-14(a) under the Securities Exchange Act of 1934, as Adopted Pursuant to Section 302 of the Sarbanes-Oxley Act of 2002</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u w:val="single" w:color="auto"/>
          <w:color w:val="auto"/>
        </w:rPr>
        <w:t>Certification of Principal Executive Officer Pursuant to 18 U.S.C. Section 1350, as Adopted Pursuant to Section 906 of the Sarbanes-Oxley Act of 2002</w:t>
      </w:r>
    </w:p>
    <w:p>
      <w:pPr>
        <w:spacing w:after="0" w:line="5" w:lineRule="exact"/>
        <w:rPr>
          <w:sz w:val="20"/>
          <w:szCs w:val="20"/>
          <w:color w:val="auto"/>
        </w:rPr>
      </w:pPr>
    </w:p>
    <w:p>
      <w:pPr>
        <w:sectPr>
          <w:pgSz w:w="11900" w:h="16838" w:orient="portrait"/>
          <w:cols w:equalWidth="0" w:num="2">
            <w:col w:w="1280" w:space="180"/>
            <w:col w:w="9780"/>
          </w:cols>
          <w:pgMar w:left="320" w:top="517" w:right="339" w:bottom="1440" w:gutter="0" w:footer="0" w:header="0"/>
        </w:sect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2"/>
              </w:rPr>
              <w:t>32.2*†</w:t>
            </w:r>
          </w:p>
        </w:tc>
        <w:tc>
          <w:tcPr>
            <w:tcW w:w="220" w:type="dxa"/>
            <w:vAlign w:val="bottom"/>
          </w:tcPr>
          <w:p>
            <w:pPr>
              <w:spacing w:after="0"/>
              <w:rPr>
                <w:sz w:val="17"/>
                <w:szCs w:val="17"/>
                <w:color w:val="auto"/>
              </w:rPr>
            </w:pPr>
          </w:p>
        </w:tc>
        <w:tc>
          <w:tcPr>
            <w:tcW w:w="9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Certification of Principal Financial Officer Pursuant to 18 U.S.C. Section 1350, as Adopted Pursuant to Section 906 of the Sarbanes-</w:t>
            </w:r>
          </w:p>
        </w:tc>
      </w:tr>
      <w:tr>
        <w:trPr>
          <w:trHeight w:val="183"/>
        </w:trPr>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w w:val="92"/>
              </w:rPr>
              <w:t>Oxley Act of 2002</w:t>
            </w:r>
          </w:p>
        </w:tc>
        <w:tc>
          <w:tcPr>
            <w:tcW w:w="8380" w:type="dxa"/>
            <w:vAlign w:val="bottom"/>
          </w:tcPr>
          <w:p>
            <w:pPr>
              <w:spacing w:after="0"/>
              <w:rPr>
                <w:sz w:val="15"/>
                <w:szCs w:val="15"/>
                <w:color w:val="auto"/>
              </w:rPr>
            </w:pPr>
          </w:p>
        </w:tc>
      </w:tr>
      <w:tr>
        <w:trPr>
          <w:trHeight w:val="249"/>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2"/>
              </w:rPr>
              <w:t>101.INS</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r>
      <w:tr>
        <w:trPr>
          <w:trHeight w:val="230"/>
        </w:trPr>
        <w:tc>
          <w:tcPr>
            <w:tcW w:w="920" w:type="dxa"/>
            <w:vAlign w:val="bottom"/>
          </w:tcPr>
          <w:p>
            <w:pPr>
              <w:spacing w:after="0"/>
              <w:rPr>
                <w:sz w:val="20"/>
                <w:szCs w:val="20"/>
                <w:color w:val="auto"/>
              </w:rPr>
            </w:pP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embedded within the Inline XBRL document</w:t>
            </w:r>
          </w:p>
        </w:tc>
      </w:tr>
      <w:tr>
        <w:trPr>
          <w:trHeight w:val="270"/>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4"/>
              </w:rPr>
              <w:t>101.SCH*</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256"/>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8"/>
              </w:rPr>
              <w:t>101.CAL*</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5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7"/>
              </w:rPr>
              <w:t>101.DEF*</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5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9"/>
              </w:rPr>
              <w:t>101.LAB*</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57"/>
        </w:trPr>
        <w:tc>
          <w:tcPr>
            <w:tcW w:w="920" w:type="dxa"/>
            <w:vAlign w:val="bottom"/>
          </w:tcPr>
          <w:p>
            <w:pPr>
              <w:jc w:val="center"/>
              <w:ind w:right="70"/>
              <w:spacing w:after="0"/>
              <w:rPr>
                <w:sz w:val="20"/>
                <w:szCs w:val="20"/>
                <w:color w:val="auto"/>
              </w:rPr>
            </w:pPr>
            <w:r>
              <w:rPr>
                <w:rFonts w:ascii="Arial" w:cs="Arial" w:eastAsia="Arial" w:hAnsi="Arial"/>
                <w:sz w:val="18"/>
                <w:szCs w:val="18"/>
                <w:color w:val="auto"/>
                <w:w w:val="91"/>
              </w:rPr>
              <w:t>101.PRE*</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70"/>
        </w:trPr>
        <w:tc>
          <w:tcPr>
            <w:tcW w:w="92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9940" w:type="dxa"/>
            <w:vAlign w:val="bottom"/>
            <w:gridSpan w:val="3"/>
          </w:tcPr>
          <w:p>
            <w:pPr>
              <w:ind w:left="16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9"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 w:lineRule="exact"/>
        <w:rPr>
          <w:sz w:val="20"/>
          <w:szCs w:val="20"/>
          <w:color w:val="auto"/>
        </w:rPr>
      </w:pPr>
    </w:p>
    <w:p>
      <w:pPr>
        <w:ind w:left="660" w:hanging="652"/>
        <w:spacing w:after="0" w:line="253" w:lineRule="auto"/>
        <w:tabs>
          <w:tab w:leader="none" w:pos="30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AIRSCULPT TECHNOLOGIES, INC.</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ind w:left="840"/>
              <w:spacing w:after="0"/>
              <w:rPr>
                <w:sz w:val="20"/>
                <w:szCs w:val="20"/>
                <w:color w:val="auto"/>
              </w:rPr>
            </w:pPr>
            <w:r>
              <w:rPr>
                <w:rFonts w:ascii="Arial" w:cs="Arial" w:eastAsia="Arial" w:hAnsi="Arial"/>
                <w:sz w:val="18"/>
                <w:szCs w:val="18"/>
                <w:color w:val="auto"/>
              </w:rPr>
              <w:t>By:</w:t>
            </w: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Dennis Dean</w:t>
            </w:r>
          </w:p>
        </w:tc>
      </w:tr>
      <w:tr>
        <w:trPr>
          <w:trHeight w:val="224"/>
        </w:trPr>
        <w:tc>
          <w:tcPr>
            <w:tcW w:w="2340" w:type="dxa"/>
            <w:vAlign w:val="bottom"/>
          </w:tcPr>
          <w:p>
            <w:pPr>
              <w:spacing w:after="0"/>
              <w:rPr>
                <w:sz w:val="19"/>
                <w:szCs w:val="19"/>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Dennis Dean</w:t>
            </w:r>
          </w:p>
        </w:tc>
      </w:tr>
      <w:tr>
        <w:trPr>
          <w:trHeight w:val="241"/>
        </w:trPr>
        <w:tc>
          <w:tcPr>
            <w:tcW w:w="234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234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(Principal Accounting and Financial Officer)</w:t>
            </w:r>
          </w:p>
        </w:tc>
      </w:tr>
      <w:tr>
        <w:trPr>
          <w:trHeight w:val="526"/>
        </w:trPr>
        <w:tc>
          <w:tcPr>
            <w:tcW w:w="2340" w:type="dxa"/>
            <w:vAlign w:val="bottom"/>
          </w:tcPr>
          <w:p>
            <w:pPr>
              <w:spacing w:after="0"/>
              <w:rPr>
                <w:sz w:val="20"/>
                <w:szCs w:val="20"/>
                <w:color w:val="auto"/>
              </w:rPr>
            </w:pPr>
            <w:r>
              <w:rPr>
                <w:rFonts w:ascii="Arial" w:cs="Arial" w:eastAsia="Arial" w:hAnsi="Arial"/>
                <w:sz w:val="18"/>
                <w:szCs w:val="18"/>
                <w:color w:val="auto"/>
              </w:rPr>
              <w:t>Date: May 12, 2023</w:t>
            </w:r>
          </w:p>
        </w:tc>
        <w:tc>
          <w:tcPr>
            <w:tcW w:w="5920" w:type="dxa"/>
            <w:vAlign w:val="bottom"/>
          </w:tcPr>
          <w:p>
            <w:pPr>
              <w:spacing w:after="0"/>
              <w:rPr>
                <w:sz w:val="24"/>
                <w:szCs w:val="24"/>
                <w:color w:val="auto"/>
              </w:rPr>
            </w:pPr>
          </w:p>
        </w:tc>
      </w:tr>
      <w:tr>
        <w:trPr>
          <w:trHeight w:val="824"/>
        </w:trPr>
        <w:tc>
          <w:tcPr>
            <w:tcW w:w="2340" w:type="dxa"/>
            <w:vAlign w:val="bottom"/>
          </w:tcPr>
          <w:p>
            <w:pPr>
              <w:spacing w:after="0"/>
              <w:rPr>
                <w:sz w:val="24"/>
                <w:szCs w:val="24"/>
                <w:color w:val="auto"/>
              </w:rPr>
            </w:pPr>
          </w:p>
        </w:tc>
        <w:tc>
          <w:tcPr>
            <w:tcW w:w="5920" w:type="dxa"/>
            <w:vAlign w:val="bottom"/>
          </w:tcPr>
          <w:p>
            <w:pPr>
              <w:ind w:left="320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240"/>
          </w:cols>
          <w:pgMar w:left="320" w:top="517" w:right="339" w:bottom="1440" w:gutter="0" w:footer="0" w:header="0"/>
        </w:sectPr>
      </w:pPr>
    </w:p>
    <w:bookmarkStart w:id="26" w:name="page27"/>
    <w:bookmarkEnd w:id="26"/>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4640"/>
        <w:spacing w:after="0" w:line="221" w:lineRule="auto"/>
        <w:rPr>
          <w:sz w:val="20"/>
          <w:szCs w:val="20"/>
          <w:color w:val="auto"/>
        </w:rPr>
      </w:pPr>
      <w:r>
        <w:rPr>
          <w:rFonts w:ascii="Arial" w:cs="Arial" w:eastAsia="Arial" w:hAnsi="Arial"/>
          <w:sz w:val="18"/>
          <w:szCs w:val="18"/>
          <w:b w:val="1"/>
          <w:bCs w:val="1"/>
          <w:color w:val="auto"/>
        </w:rPr>
        <w:t>18 U.S.C. SECTION 1350</w:t>
      </w:r>
    </w:p>
    <w:p>
      <w:pPr>
        <w:jc w:val="center"/>
        <w:spacing w:after="0" w:line="219"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Todd Magazine,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AirSculpt Technologies,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664" w:val="left"/>
        </w:tabs>
        <w:numPr>
          <w:ilvl w:val="1"/>
          <w:numId w:val="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3"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AirSculpt Technologies, Inc.</w:t>
      </w:r>
    </w:p>
    <w:p>
      <w:pPr>
        <w:spacing w:after="0" w:line="175" w:lineRule="exact"/>
        <w:rPr>
          <w:sz w:val="20"/>
          <w:szCs w:val="20"/>
          <w:color w:val="auto"/>
        </w:rPr>
      </w:pPr>
    </w:p>
    <w:p>
      <w:pPr>
        <w:ind w:left="360"/>
        <w:spacing w:after="0"/>
        <w:tabs>
          <w:tab w:leader="none" w:pos="7340" w:val="left"/>
          <w:tab w:leader="none" w:pos="7940" w:val="left"/>
        </w:tabs>
        <w:rPr>
          <w:sz w:val="20"/>
          <w:szCs w:val="20"/>
          <w:color w:val="auto"/>
        </w:rPr>
      </w:pPr>
      <w:r>
        <w:rPr>
          <w:rFonts w:ascii="Arial" w:cs="Arial" w:eastAsia="Arial" w:hAnsi="Arial"/>
          <w:sz w:val="18"/>
          <w:szCs w:val="18"/>
          <w:color w:val="auto"/>
        </w:rPr>
        <w:t>Date: May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14605</wp:posOffset>
            </wp:positionV>
            <wp:extent cx="18434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1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Todd Magazine</w:t>
      </w:r>
    </w:p>
    <w:p>
      <w:pPr>
        <w:spacing w:after="0" w:line="3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27" w:name="page28"/>
    <w:bookmarkEnd w:id="27"/>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4640"/>
        <w:spacing w:after="0" w:line="221" w:lineRule="auto"/>
        <w:rPr>
          <w:sz w:val="20"/>
          <w:szCs w:val="20"/>
          <w:color w:val="auto"/>
        </w:rPr>
      </w:pPr>
      <w:r>
        <w:rPr>
          <w:rFonts w:ascii="Arial" w:cs="Arial" w:eastAsia="Arial" w:hAnsi="Arial"/>
          <w:sz w:val="18"/>
          <w:szCs w:val="18"/>
          <w:b w:val="1"/>
          <w:bCs w:val="1"/>
          <w:color w:val="auto"/>
        </w:rPr>
        <w:t>18 U.S.C. SECTION 1350</w:t>
      </w:r>
    </w:p>
    <w:p>
      <w:pPr>
        <w:jc w:val="center"/>
        <w:spacing w:after="0" w:line="219"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Dennis Dean, certify that: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have reviewed this quarterly report on Form 10-Q of AirSculpt Technologies, Inc.;</w:t>
      </w:r>
    </w:p>
    <w:p>
      <w:pPr>
        <w:spacing w:after="0" w:line="225" w:lineRule="exact"/>
        <w:rPr>
          <w:sz w:val="20"/>
          <w:szCs w:val="20"/>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340" w:hanging="8"/>
        <w:spacing w:after="0" w:line="263" w:lineRule="auto"/>
        <w:tabs>
          <w:tab w:leader="none" w:pos="6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340" w:hanging="8"/>
        <w:spacing w:after="0" w:line="308" w:lineRule="auto"/>
        <w:tabs>
          <w:tab w:leader="none" w:pos="664"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40" w:hanging="8"/>
        <w:spacing w:after="0" w:line="263" w:lineRule="auto"/>
        <w:tabs>
          <w:tab w:leader="none" w:pos="664"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hanging="8"/>
        <w:spacing w:after="0" w:line="277" w:lineRule="auto"/>
        <w:tabs>
          <w:tab w:leader="none" w:pos="6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hanging="8"/>
        <w:spacing w:after="0" w:line="277" w:lineRule="auto"/>
        <w:tabs>
          <w:tab w:leader="none" w:pos="66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AirSculpt Technologies, Inc.</w:t>
      </w:r>
    </w:p>
    <w:p>
      <w:pPr>
        <w:spacing w:after="0" w:line="200" w:lineRule="exact"/>
        <w:rPr>
          <w:sz w:val="20"/>
          <w:szCs w:val="20"/>
          <w:color w:val="auto"/>
        </w:rPr>
      </w:pPr>
    </w:p>
    <w:p>
      <w:pPr>
        <w:spacing w:after="0" w:line="205" w:lineRule="exact"/>
        <w:rPr>
          <w:sz w:val="20"/>
          <w:szCs w:val="20"/>
          <w:color w:val="auto"/>
        </w:rPr>
      </w:pPr>
    </w:p>
    <w:p>
      <w:pPr>
        <w:ind w:left="360"/>
        <w:spacing w:after="0"/>
        <w:tabs>
          <w:tab w:leader="none" w:pos="7340" w:val="left"/>
          <w:tab w:leader="none" w:pos="7940" w:val="left"/>
        </w:tabs>
        <w:rPr>
          <w:sz w:val="20"/>
          <w:szCs w:val="20"/>
          <w:color w:val="auto"/>
        </w:rPr>
      </w:pPr>
      <w:r>
        <w:rPr>
          <w:rFonts w:ascii="Arial" w:cs="Arial" w:eastAsia="Arial" w:hAnsi="Arial"/>
          <w:sz w:val="18"/>
          <w:szCs w:val="18"/>
          <w:color w:val="auto"/>
        </w:rPr>
        <w:t>Date: May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23495</wp:posOffset>
            </wp:positionV>
            <wp:extent cx="1843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24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Dennis Dean</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4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quarterly report of AirSculpt Technologies, Inc. (the “Company”) on Form 10-Q for the period ended March 31, 2023, as filed with the Securities and Exchange Commission on the date hereof (the “Report”), the undersigned certifies, pursuant to 18 U.S.C. Sec.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67" w:lineRule="exact"/>
        <w:rPr>
          <w:sz w:val="20"/>
          <w:szCs w:val="20"/>
          <w:color w:val="auto"/>
        </w:rPr>
      </w:pPr>
    </w:p>
    <w:p>
      <w:pPr>
        <w:ind w:left="360"/>
        <w:spacing w:after="0"/>
        <w:tabs>
          <w:tab w:leader="none" w:pos="6960" w:val="left"/>
          <w:tab w:leader="none" w:pos="7480" w:val="left"/>
        </w:tabs>
        <w:rPr>
          <w:sz w:val="20"/>
          <w:szCs w:val="20"/>
          <w:color w:val="auto"/>
        </w:rPr>
      </w:pPr>
      <w:r>
        <w:rPr>
          <w:rFonts w:ascii="Arial" w:cs="Arial" w:eastAsia="Arial" w:hAnsi="Arial"/>
          <w:sz w:val="18"/>
          <w:szCs w:val="18"/>
          <w:color w:val="auto"/>
        </w:rPr>
        <w:t>Date: May 12,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Magazine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831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32"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Todd Magazine</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4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connection with the quarterly report of AirSculpt Technologies, Inc. (the “Company”) on Form 10-Q for the period ended March 31, 2023, as filed with the Securities and Exchange Commission on the date hereof (the “Report”), the undersigned certifies, pursuant to 18 U.S.C. Sec. 1350, as adopted pursuant to Section 906 of the Sarbanes-Oxley Act of 2002, that:</w:t>
      </w:r>
    </w:p>
    <w:p>
      <w:pPr>
        <w:spacing w:after="0" w:line="18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Sections 13(a) or 15(d) of the Securities Exchange Act of 1934; and</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227" w:lineRule="exact"/>
        <w:rPr>
          <w:sz w:val="20"/>
          <w:szCs w:val="20"/>
          <w:color w:val="auto"/>
        </w:rPr>
      </w:pPr>
    </w:p>
    <w:p>
      <w:pPr>
        <w:ind w:left="1060"/>
        <w:spacing w:after="0"/>
        <w:tabs>
          <w:tab w:leader="none" w:pos="1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14605</wp:posOffset>
            </wp:positionV>
            <wp:extent cx="35833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23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Dennis Dean</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12, 2023</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2" Type="http://schemas.openxmlformats.org/officeDocument/2006/relationships/hyperlink" Target="https://www.sec.gov/Archives/edgar/data/1870940/000110465923001736/tm232309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2023-05-12T13:27:22Z</dcterms:created>
  <dcterms:modified xsi:type="dcterms:W3CDTF">2023-05-12T13:27:22Z</dcterms:modified>
</cp:coreProperties>
</file>