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FORM </w:t>
      </w:r>
      <w:r>
        <w:rPr>
          <w:rFonts w:ascii="Arial" w:cs="Arial" w:eastAsia="Arial" w:hAnsi="Arial"/>
          <w:sz w:val="17"/>
          <w:szCs w:val="17"/>
          <w:b w:val="1"/>
          <w:bCs w:val="1"/>
          <w:color w:val="auto"/>
        </w:rPr>
        <w:t>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3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39"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1020" w:type="dxa"/>
        <w:tblCellMar>
          <w:top w:w="0" w:type="dxa"/>
          <w:left w:w="0" w:type="dxa"/>
          <w:bottom w:w="0" w:type="dxa"/>
          <w:right w:w="0" w:type="dxa"/>
        </w:tblCellMar>
      </w:tblPr>
      <w:tr>
        <w:trPr>
          <w:trHeight w:val="207"/>
        </w:trPr>
        <w:tc>
          <w:tcPr>
            <w:tcW w:w="4040" w:type="dxa"/>
            <w:vAlign w:val="bottom"/>
          </w:tcPr>
          <w:p>
            <w:pPr>
              <w:ind w:left="1720"/>
              <w:spacing w:after="0"/>
              <w:rPr>
                <w:sz w:val="20"/>
                <w:szCs w:val="20"/>
                <w:color w:val="auto"/>
              </w:rPr>
            </w:pPr>
            <w:r>
              <w:rPr>
                <w:rFonts w:ascii="Arial" w:cs="Arial" w:eastAsia="Arial" w:hAnsi="Arial"/>
                <w:sz w:val="18"/>
                <w:szCs w:val="18"/>
                <w:b w:val="1"/>
                <w:bCs w:val="1"/>
                <w:color w:val="auto"/>
                <w:w w:val="90"/>
              </w:rPr>
              <w:t>For the transition period from</w:t>
            </w:r>
          </w:p>
        </w:tc>
        <w:tc>
          <w:tcPr>
            <w:tcW w:w="10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c>
          <w:tcPr>
            <w:tcW w:w="134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w:t>
            </w:r>
          </w:p>
        </w:tc>
      </w:tr>
      <w:tr>
        <w:trPr>
          <w:trHeight w:val="20"/>
        </w:trPr>
        <w:tc>
          <w:tcPr>
            <w:tcW w:w="4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5"/>
        </w:trPr>
        <w:tc>
          <w:tcPr>
            <w:tcW w:w="5800" w:type="dxa"/>
            <w:vAlign w:val="bottom"/>
            <w:gridSpan w:val="4"/>
          </w:tcPr>
          <w:p>
            <w:pPr>
              <w:jc w:val="center"/>
              <w:ind w:left="2008"/>
              <w:spacing w:after="0"/>
              <w:rPr>
                <w:sz w:val="20"/>
                <w:szCs w:val="20"/>
                <w:color w:val="auto"/>
              </w:rPr>
            </w:pPr>
            <w:r>
              <w:rPr>
                <w:rFonts w:ascii="Arial" w:cs="Arial" w:eastAsia="Arial" w:hAnsi="Arial"/>
                <w:sz w:val="18"/>
                <w:szCs w:val="18"/>
                <w:b w:val="1"/>
                <w:bCs w:val="1"/>
                <w:color w:val="auto"/>
                <w:w w:val="90"/>
              </w:rPr>
              <w:t>Commission file number: 001-40973</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7"/>
        </w:trPr>
        <w:tc>
          <w:tcPr>
            <w:tcW w:w="5800" w:type="dxa"/>
            <w:vAlign w:val="bottom"/>
            <w:gridSpan w:val="4"/>
          </w:tcPr>
          <w:p>
            <w:pPr>
              <w:jc w:val="center"/>
              <w:ind w:left="1988"/>
              <w:spacing w:after="0"/>
              <w:rPr>
                <w:sz w:val="20"/>
                <w:szCs w:val="20"/>
                <w:color w:val="auto"/>
              </w:rPr>
            </w:pPr>
            <w:r>
              <w:rPr>
                <w:rFonts w:ascii="Arial" w:cs="Arial" w:eastAsia="Arial" w:hAnsi="Arial"/>
                <w:sz w:val="22"/>
                <w:szCs w:val="22"/>
                <w:b w:val="1"/>
                <w:bCs w:val="1"/>
                <w:color w:val="auto"/>
                <w:w w:val="87"/>
              </w:rPr>
              <w:t>AirSculpt Technologies, Inc.</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5800" w:type="dxa"/>
            <w:vAlign w:val="bottom"/>
            <w:gridSpan w:val="4"/>
          </w:tcPr>
          <w:p>
            <w:pPr>
              <w:jc w:val="center"/>
              <w:ind w:left="1988"/>
              <w:spacing w:after="0"/>
              <w:rPr>
                <w:sz w:val="20"/>
                <w:szCs w:val="20"/>
                <w:color w:val="auto"/>
              </w:rPr>
            </w:pPr>
            <w:r>
              <w:rPr>
                <w:rFonts w:ascii="Arial" w:cs="Arial" w:eastAsia="Arial" w:hAnsi="Arial"/>
                <w:sz w:val="18"/>
                <w:szCs w:val="18"/>
                <w:color w:val="auto"/>
                <w:w w:val="90"/>
              </w:rPr>
              <w:t>(Exact name of registrant as specified in its charter)</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4040" w:type="dxa"/>
            <w:vAlign w:val="bottom"/>
          </w:tcPr>
          <w:p>
            <w:pPr>
              <w:jc w:val="center"/>
              <w:ind w:right="1108"/>
              <w:spacing w:after="0"/>
              <w:rPr>
                <w:sz w:val="20"/>
                <w:szCs w:val="20"/>
                <w:color w:val="auto"/>
              </w:rPr>
            </w:pPr>
            <w:r>
              <w:rPr>
                <w:rFonts w:ascii="Arial" w:cs="Arial" w:eastAsia="Arial" w:hAnsi="Arial"/>
                <w:sz w:val="18"/>
                <w:szCs w:val="18"/>
                <w:color w:val="auto"/>
                <w:w w:val="89"/>
              </w:rPr>
              <w:t>Delaware</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1"/>
              </w:rPr>
              <w:t>87-1471855</w:t>
            </w:r>
          </w:p>
        </w:tc>
      </w:tr>
      <w:tr>
        <w:trPr>
          <w:trHeight w:val="216"/>
        </w:trPr>
        <w:tc>
          <w:tcPr>
            <w:tcW w:w="4040" w:type="dxa"/>
            <w:vAlign w:val="bottom"/>
          </w:tcPr>
          <w:p>
            <w:pPr>
              <w:jc w:val="center"/>
              <w:ind w:right="1108"/>
              <w:spacing w:after="0"/>
              <w:rPr>
                <w:sz w:val="20"/>
                <w:szCs w:val="20"/>
                <w:color w:val="auto"/>
              </w:rPr>
            </w:pPr>
            <w:r>
              <w:rPr>
                <w:rFonts w:ascii="Arial" w:cs="Arial" w:eastAsia="Arial" w:hAnsi="Arial"/>
                <w:sz w:val="18"/>
                <w:szCs w:val="18"/>
                <w:color w:val="auto"/>
                <w:w w:val="92"/>
              </w:rPr>
              <w:t>(State or other jurisdiction of</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jc w:val="center"/>
              <w:ind w:right="1108"/>
              <w:spacing w:after="0"/>
              <w:rPr>
                <w:sz w:val="20"/>
                <w:szCs w:val="20"/>
                <w:color w:val="auto"/>
              </w:rPr>
            </w:pPr>
            <w:r>
              <w:rPr>
                <w:rFonts w:ascii="Arial" w:cs="Arial" w:eastAsia="Arial" w:hAnsi="Arial"/>
                <w:sz w:val="18"/>
                <w:szCs w:val="18"/>
                <w:color w:val="auto"/>
                <w:w w:val="92"/>
              </w:rPr>
              <w:t>incorporation or organization)</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64"/>
        </w:trPr>
        <w:tc>
          <w:tcPr>
            <w:tcW w:w="4040" w:type="dxa"/>
            <w:vAlign w:val="bottom"/>
          </w:tcPr>
          <w:p>
            <w:pPr>
              <w:jc w:val="center"/>
              <w:ind w:right="1108"/>
              <w:spacing w:after="0"/>
              <w:rPr>
                <w:sz w:val="20"/>
                <w:szCs w:val="20"/>
                <w:color w:val="auto"/>
              </w:rPr>
            </w:pPr>
            <w:r>
              <w:rPr>
                <w:rFonts w:ascii="Arial" w:cs="Arial" w:eastAsia="Arial" w:hAnsi="Arial"/>
                <w:sz w:val="18"/>
                <w:szCs w:val="18"/>
                <w:color w:val="auto"/>
                <w:w w:val="94"/>
              </w:rPr>
              <w:t>400 Alton Road, Unit TH-103M</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040" w:type="dxa"/>
            <w:vAlign w:val="bottom"/>
          </w:tcPr>
          <w:p>
            <w:pPr>
              <w:jc w:val="center"/>
              <w:ind w:right="1108"/>
              <w:spacing w:after="0"/>
              <w:rPr>
                <w:sz w:val="20"/>
                <w:szCs w:val="20"/>
                <w:color w:val="auto"/>
              </w:rPr>
            </w:pPr>
            <w:r>
              <w:rPr>
                <w:rFonts w:ascii="Arial" w:cs="Arial" w:eastAsia="Arial" w:hAnsi="Arial"/>
                <w:sz w:val="18"/>
                <w:szCs w:val="18"/>
                <w:color w:val="auto"/>
                <w:w w:val="94"/>
              </w:rPr>
              <w:t>Miami Beach, Florida</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33139</w:t>
            </w:r>
          </w:p>
        </w:tc>
      </w:tr>
      <w:tr>
        <w:trPr>
          <w:trHeight w:val="230"/>
        </w:trPr>
        <w:tc>
          <w:tcPr>
            <w:tcW w:w="4040" w:type="dxa"/>
            <w:vAlign w:val="bottom"/>
          </w:tcPr>
          <w:p>
            <w:pPr>
              <w:jc w:val="center"/>
              <w:ind w:right="1108"/>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(Zip Code)</w:t>
            </w:r>
          </w:p>
        </w:tc>
      </w:tr>
    </w:tbl>
    <w:p>
      <w:pPr>
        <w:spacing w:after="0" w:line="130"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Registrant’s telephone number, including area code: (786) 709-9690</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304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86"/>
              </w:rPr>
              <w:t>Title of each class</w:t>
            </w:r>
          </w:p>
        </w:tc>
        <w:tc>
          <w:tcPr>
            <w:tcW w:w="18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Trading Symbol(s)</w:t>
            </w:r>
          </w:p>
        </w:tc>
        <w:tc>
          <w:tcPr>
            <w:tcW w:w="38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37"/>
        </w:trPr>
        <w:tc>
          <w:tcPr>
            <w:tcW w:w="3940" w:type="dxa"/>
            <w:vAlign w:val="bottom"/>
            <w:gridSpan w:val="3"/>
          </w:tcPr>
          <w:p>
            <w:pPr>
              <w:jc w:val="center"/>
              <w:ind w:right="820"/>
              <w:spacing w:after="0"/>
              <w:rPr>
                <w:sz w:val="20"/>
                <w:szCs w:val="20"/>
                <w:color w:val="auto"/>
              </w:rPr>
            </w:pPr>
            <w:r>
              <w:rPr>
                <w:rFonts w:ascii="Arial" w:cs="Arial" w:eastAsia="Arial" w:hAnsi="Arial"/>
                <w:sz w:val="18"/>
                <w:szCs w:val="18"/>
                <w:color w:val="auto"/>
                <w:w w:val="89"/>
              </w:rPr>
              <w:t>Common Stock, par value $0.001 per share</w:t>
            </w:r>
          </w:p>
        </w:tc>
        <w:tc>
          <w:tcPr>
            <w:tcW w:w="188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AIRS</w:t>
            </w:r>
          </w:p>
        </w:tc>
        <w:tc>
          <w:tcPr>
            <w:tcW w:w="4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134" w:lineRule="exact"/>
        <w:rPr>
          <w:sz w:val="24"/>
          <w:szCs w:val="24"/>
          <w:color w:val="auto"/>
        </w:rPr>
      </w:pPr>
    </w:p>
    <w:p>
      <w:pPr>
        <w:jc w:val="both"/>
        <w:ind w:left="20" w:hanging="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97" w:lineRule="exact"/>
        <w:rPr>
          <w:sz w:val="24"/>
          <w:szCs w:val="24"/>
          <w:color w:val="auto"/>
        </w:rPr>
      </w:pPr>
    </w:p>
    <w:p>
      <w:pPr>
        <w:ind w:left="15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1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3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34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jc w:val="center"/>
        <w:ind w:right="13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5" w:lineRule="exact"/>
        <w:rPr>
          <w:sz w:val="24"/>
          <w:szCs w:val="24"/>
          <w:color w:val="auto"/>
        </w:rPr>
      </w:pPr>
    </w:p>
    <w:p>
      <w:pPr>
        <w:sectPr>
          <w:pgSz w:w="11900" w:h="16838" w:orient="portrait"/>
          <w:cols w:equalWidth="0" w:num="2">
            <w:col w:w="5680" w:space="720"/>
            <w:col w:w="3520"/>
          </w:cols>
          <w:pgMar w:left="980" w:top="665" w:right="999" w:bottom="1440" w:gutter="0" w:footer="0" w:header="0"/>
          <w:type w:val="continuous"/>
        </w:sectPr>
      </w:pPr>
    </w:p>
    <w:p>
      <w:pPr>
        <w:ind w:right="2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2" w:lineRule="exact"/>
        <w:rPr>
          <w:sz w:val="24"/>
          <w:szCs w:val="24"/>
          <w:color w:val="auto"/>
        </w:rPr>
      </w:pPr>
    </w:p>
    <w:p>
      <w:pPr>
        <w:ind w:right="760"/>
        <w:spacing w:after="0" w:line="31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December 2, 2021, there were 55,640,154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471805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20" w:type="dxa"/>
            <w:vAlign w:val="bottom"/>
            <w:gridSpan w:val="3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r>
      <w:tr>
        <w:trPr>
          <w:trHeight w:val="81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gridSpan w:val="10"/>
          </w:tcPr>
          <w:p>
            <w:pPr>
              <w:ind w:left="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Arial" w:cs="Arial" w:eastAsia="Arial" w:hAnsi="Arial"/>
                <w:sz w:val="18"/>
                <w:szCs w:val="18"/>
                <w:b w:val="1"/>
                <w:bCs w:val="1"/>
                <w:color w:val="auto"/>
              </w:rPr>
              <w:t>Page(s)</w:t>
            </w:r>
          </w:p>
        </w:tc>
      </w:tr>
      <w:tr>
        <w:trPr>
          <w:trHeight w:val="216"/>
        </w:trPr>
        <w:tc>
          <w:tcPr>
            <w:tcW w:w="20" w:type="dxa"/>
            <w:vAlign w:val="bottom"/>
          </w:tcPr>
          <w:p>
            <w:pPr>
              <w:spacing w:after="0"/>
              <w:rPr>
                <w:sz w:val="18"/>
                <w:szCs w:val="18"/>
                <w:color w:val="auto"/>
              </w:rPr>
            </w:pPr>
          </w:p>
        </w:tc>
        <w:tc>
          <w:tcPr>
            <w:tcW w:w="9000" w:type="dxa"/>
            <w:vAlign w:val="bottom"/>
            <w:gridSpan w:val="2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900" w:type="dxa"/>
            <w:vAlign w:val="bottom"/>
          </w:tcPr>
          <w:p>
            <w:pPr>
              <w:spacing w:after="0"/>
              <w:rPr>
                <w:sz w:val="18"/>
                <w:szCs w:val="18"/>
                <w:color w:val="auto"/>
              </w:rPr>
            </w:pPr>
          </w:p>
        </w:tc>
      </w:tr>
      <w:tr>
        <w:trPr>
          <w:trHeight w:val="493"/>
        </w:trPr>
        <w:tc>
          <w:tcPr>
            <w:tcW w:w="20" w:type="dxa"/>
            <w:vAlign w:val="bottom"/>
          </w:tcPr>
          <w:p>
            <w:pPr>
              <w:spacing w:after="0"/>
              <w:rPr>
                <w:sz w:val="24"/>
                <w:szCs w:val="24"/>
                <w:color w:val="auto"/>
              </w:rPr>
            </w:pPr>
          </w:p>
        </w:tc>
        <w:tc>
          <w:tcPr>
            <w:tcW w:w="820" w:type="dxa"/>
            <w:vAlign w:val="bottom"/>
            <w:tcBorders>
              <w:top w:val="single" w:sz="8" w:color="0000EE"/>
            </w:tcBorders>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200" w:type="dxa"/>
            <w:vAlign w:val="bottom"/>
            <w:tcBorders>
              <w:top w:val="single" w:sz="8" w:color="0000EE"/>
            </w:tcBorders>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980" w:type="dxa"/>
            <w:vAlign w:val="bottom"/>
            <w:gridSpan w:val="13"/>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331"/>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2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w w:val="90"/>
              </w:rPr>
              <w:t>AirSculpt Technologies, Inc.</w:t>
            </w:r>
          </w:p>
        </w:tc>
        <w:tc>
          <w:tcPr>
            <w:tcW w:w="9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Balance Sheets as of September 30, 2021 and June 30, 2021 (Unaudited)</w:t>
              </w:r>
            </w:hyperlink>
          </w:p>
        </w:tc>
        <w:tc>
          <w:tcPr>
            <w:tcW w:w="2920" w:type="dxa"/>
            <w:vAlign w:val="bottom"/>
            <w:gridSpan w:val="7"/>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18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 of Cash Flows for the Three Months Ended September 30, 2021 (Unaudited)</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9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00" w:type="dxa"/>
            <w:vAlign w:val="bottom"/>
            <w:tcBorders>
              <w:top w:val="single" w:sz="8" w:color="0000EE"/>
            </w:tcBorders>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Financial Statements</w:t>
              </w:r>
            </w:hyperlink>
          </w:p>
        </w:tc>
        <w:tc>
          <w:tcPr>
            <w:tcW w:w="188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80" w:type="dxa"/>
            <w:vAlign w:val="bottom"/>
            <w:gridSpan w:val="13"/>
          </w:tcPr>
          <w:p>
            <w:pPr>
              <w:jc w:val="center"/>
              <w:ind w:right="2200"/>
              <w:spacing w:after="0"/>
              <w:rPr>
                <w:sz w:val="20"/>
                <w:szCs w:val="20"/>
                <w:color w:val="auto"/>
              </w:rPr>
            </w:pPr>
            <w:r>
              <w:rPr>
                <w:rFonts w:ascii="Arial" w:cs="Arial" w:eastAsia="Arial" w:hAnsi="Arial"/>
                <w:sz w:val="18"/>
                <w:szCs w:val="18"/>
                <w:b w:val="1"/>
                <w:bCs w:val="1"/>
                <w:color w:val="auto"/>
                <w:w w:val="92"/>
              </w:rPr>
              <w:t>EBS Intermediate Parent, LLC and Subsidiaries</w:t>
            </w:r>
          </w:p>
        </w:tc>
        <w:tc>
          <w:tcPr>
            <w:tcW w:w="9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5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Balance Sheets as of September 30, 2021 (Unaudited) and December 31, 2020</w:t>
              </w:r>
            </w:hyperlink>
          </w:p>
        </w:tc>
        <w:tc>
          <w:tcPr>
            <w:tcW w:w="680" w:type="dxa"/>
            <w:vAlign w:val="bottom"/>
            <w:gridSpan w:val="4"/>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9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Income for the Three and Nine Months Ended September 30, 2021 and</w:t>
              </w:r>
            </w:hyperlink>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8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2020 (Unaudited)</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8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Member’s Equity for the Quarters and Nine Months Ended</w:t>
              </w:r>
            </w:hyperlink>
          </w:p>
        </w:tc>
        <w:tc>
          <w:tcPr>
            <w:tcW w:w="20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September 30, 2021 and 2020 (Unaudited)</w:t>
              </w:r>
            </w:hyperlink>
          </w:p>
        </w:tc>
        <w:tc>
          <w:tcPr>
            <w:tcW w:w="5100" w:type="dxa"/>
            <w:vAlign w:val="bottom"/>
            <w:gridSpan w:val="10"/>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r>
      <w:tr>
        <w:trPr>
          <w:trHeight w:val="2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 for the Nine Months Ended September 30, 2021 and 2020</w:t>
              </w:r>
            </w:hyperlink>
          </w:p>
        </w:tc>
        <w:tc>
          <w:tcPr>
            <w:tcW w:w="24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(Unaudited)</w:t>
              </w:r>
            </w:hyperlink>
          </w:p>
        </w:tc>
        <w:tc>
          <w:tcPr>
            <w:tcW w:w="7300" w:type="dxa"/>
            <w:vAlign w:val="bottom"/>
            <w:gridSpan w:val="20"/>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w:t>
            </w:r>
          </w:p>
        </w:tc>
      </w:tr>
      <w:tr>
        <w:trPr>
          <w:trHeight w:val="29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Notes to Unaudited Condensed Consolidated Financial Statements</w:t>
              </w:r>
            </w:hyperlink>
          </w:p>
        </w:tc>
        <w:tc>
          <w:tcPr>
            <w:tcW w:w="338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399"/>
        </w:trPr>
        <w:tc>
          <w:tcPr>
            <w:tcW w:w="2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2.</w:t>
              </w:r>
            </w:hyperlink>
          </w:p>
        </w:tc>
        <w:tc>
          <w:tcPr>
            <w:tcW w:w="280" w:type="dxa"/>
            <w:vAlign w:val="bottom"/>
            <w:gridSpan w:val="3"/>
          </w:tcPr>
          <w:p>
            <w:pPr>
              <w:spacing w:after="0"/>
              <w:rPr>
                <w:sz w:val="24"/>
                <w:szCs w:val="24"/>
                <w:color w:val="auto"/>
              </w:rPr>
            </w:pPr>
          </w:p>
        </w:tc>
        <w:tc>
          <w:tcPr>
            <w:tcW w:w="8180" w:type="dxa"/>
            <w:vAlign w:val="bottom"/>
            <w:gridSpan w:val="2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3.</w:t>
              </w:r>
            </w:hyperlink>
          </w:p>
        </w:tc>
        <w:tc>
          <w:tcPr>
            <w:tcW w:w="280" w:type="dxa"/>
            <w:vAlign w:val="bottom"/>
            <w:gridSpan w:val="3"/>
          </w:tcPr>
          <w:p>
            <w:pPr>
              <w:spacing w:after="0"/>
              <w:rPr>
                <w:sz w:val="24"/>
                <w:szCs w:val="24"/>
                <w:color w:val="auto"/>
              </w:rPr>
            </w:pPr>
          </w:p>
        </w:tc>
        <w:tc>
          <w:tcPr>
            <w:tcW w:w="818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820" w:type="dxa"/>
            <w:vAlign w:val="bottom"/>
            <w:tcBorders>
              <w:left w:val="single" w:sz="8" w:color="0000EE"/>
            </w:tcBorders>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20" w:type="dxa"/>
            <w:vAlign w:val="bottom"/>
          </w:tcPr>
          <w:p>
            <w:pPr>
              <w:spacing w:after="0"/>
              <w:rPr>
                <w:sz w:val="24"/>
                <w:szCs w:val="24"/>
                <w:color w:val="auto"/>
              </w:rPr>
            </w:pPr>
          </w:p>
        </w:tc>
        <w:tc>
          <w:tcPr>
            <w:tcW w:w="280" w:type="dxa"/>
            <w:vAlign w:val="bottom"/>
            <w:gridSpan w:val="3"/>
          </w:tcPr>
          <w:p>
            <w:pPr>
              <w:spacing w:after="0"/>
              <w:rPr>
                <w:sz w:val="24"/>
                <w:szCs w:val="24"/>
                <w:color w:val="auto"/>
              </w:rPr>
            </w:pPr>
          </w:p>
        </w:tc>
        <w:tc>
          <w:tcPr>
            <w:tcW w:w="818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9000" w:type="dxa"/>
            <w:vAlign w:val="bottom"/>
            <w:gridSpan w:val="29"/>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90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1.</w:t>
              </w:r>
            </w:hyperlink>
          </w:p>
        </w:tc>
        <w:tc>
          <w:tcPr>
            <w:tcW w:w="280" w:type="dxa"/>
            <w:vAlign w:val="bottom"/>
            <w:tcBorders>
              <w:top w:val="single" w:sz="8" w:color="0000EE"/>
            </w:tcBorders>
            <w:gridSpan w:val="3"/>
          </w:tcPr>
          <w:p>
            <w:pPr>
              <w:spacing w:after="0"/>
              <w:rPr>
                <w:sz w:val="22"/>
                <w:szCs w:val="22"/>
                <w:color w:val="auto"/>
              </w:rPr>
            </w:pPr>
          </w:p>
        </w:tc>
        <w:tc>
          <w:tcPr>
            <w:tcW w:w="1900" w:type="dxa"/>
            <w:vAlign w:val="bottom"/>
            <w:tcBorders>
              <w:top w:val="single" w:sz="8" w:color="0000EE"/>
            </w:tcBorders>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6280" w:type="dxa"/>
            <w:vAlign w:val="bottom"/>
            <w:gridSpan w:val="14"/>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820" w:type="dxa"/>
            <w:vAlign w:val="bottom"/>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818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818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3.</w:t>
              </w:r>
            </w:hyperlink>
          </w:p>
        </w:tc>
        <w:tc>
          <w:tcPr>
            <w:tcW w:w="280" w:type="dxa"/>
            <w:vAlign w:val="bottom"/>
            <w:gridSpan w:val="3"/>
          </w:tcPr>
          <w:p>
            <w:pPr>
              <w:spacing w:after="0"/>
              <w:rPr>
                <w:sz w:val="24"/>
                <w:szCs w:val="24"/>
                <w:color w:val="auto"/>
              </w:rPr>
            </w:pPr>
          </w:p>
        </w:tc>
        <w:tc>
          <w:tcPr>
            <w:tcW w:w="818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584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4.</w:t>
              </w:r>
            </w:hyperlink>
          </w:p>
        </w:tc>
        <w:tc>
          <w:tcPr>
            <w:tcW w:w="280" w:type="dxa"/>
            <w:vAlign w:val="bottom"/>
            <w:gridSpan w:val="3"/>
          </w:tcPr>
          <w:p>
            <w:pPr>
              <w:spacing w:after="0"/>
              <w:rPr>
                <w:sz w:val="24"/>
                <w:szCs w:val="24"/>
                <w:color w:val="auto"/>
              </w:rPr>
            </w:pPr>
          </w:p>
        </w:tc>
        <w:tc>
          <w:tcPr>
            <w:tcW w:w="818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5.</w:t>
              </w:r>
            </w:hyperlink>
          </w:p>
        </w:tc>
        <w:tc>
          <w:tcPr>
            <w:tcW w:w="280" w:type="dxa"/>
            <w:vAlign w:val="bottom"/>
            <w:gridSpan w:val="3"/>
          </w:tcPr>
          <w:p>
            <w:pPr>
              <w:spacing w:after="0"/>
              <w:rPr>
                <w:sz w:val="24"/>
                <w:szCs w:val="24"/>
                <w:color w:val="auto"/>
              </w:rPr>
            </w:pPr>
          </w:p>
        </w:tc>
        <w:tc>
          <w:tcPr>
            <w:tcW w:w="818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86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6.</w:t>
              </w:r>
            </w:hyperlink>
          </w:p>
        </w:tc>
        <w:tc>
          <w:tcPr>
            <w:tcW w:w="280" w:type="dxa"/>
            <w:vAlign w:val="bottom"/>
            <w:gridSpan w:val="3"/>
          </w:tcPr>
          <w:p>
            <w:pPr>
              <w:spacing w:after="0"/>
              <w:rPr>
                <w:sz w:val="24"/>
                <w:szCs w:val="24"/>
                <w:color w:val="auto"/>
              </w:rPr>
            </w:pPr>
          </w:p>
        </w:tc>
        <w:tc>
          <w:tcPr>
            <w:tcW w:w="818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820" w:type="dxa"/>
            <w:vAlign w:val="bottom"/>
            <w:gridSpan w:val="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Signatures</w:t>
              </w:r>
            </w:hyperlink>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1094"/>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We have made statements in the sections titled “Quantitative and Qualitative Disclosures About Market Risk” and “Management’s Discussion and Analysis of Financial Condition and Results of Operations,”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in the section titled “Risk Factors” in our Registration Statement (Registration No. 333-260067) on Form S-1.</w:t>
      </w:r>
    </w:p>
    <w:p>
      <w:pPr>
        <w:spacing w:after="0" w:line="168"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Our future results could be affected by a variety of other factors, including, but not limited to, failure to open and operate new centers in a timely and cost-effective manner;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economic and other conditions of the states and jurisdictions where our facilities are located; and business disruption or other losses from war, pandemic, terrorist acts or political unrest.</w:t>
      </w:r>
    </w:p>
    <w:p>
      <w:pPr>
        <w:spacing w:after="0" w:line="19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risk factors discussed in “Risk Factors” in our Registration Statement (Registration No. 333-260067) on Form S-1 and this Quarterly Report on Form 10-Q could cause our results to differ materially from those expressed in the forward-looking statements made in this Quarterly Report on Form 10-Q.</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also may be other risks that are currently unknown to us or that we are unable to predict at this time.</w:t>
      </w:r>
    </w:p>
    <w:p>
      <w:pPr>
        <w:spacing w:after="0" w:line="225"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were made, and we are under no duty to update any of these forward-looking statements after the date of this Quarterly Report on Form 10-Q to conform our prior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AirSculpt Technologies, Inc.</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4"/>
                <w:szCs w:val="14"/>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Common stock, $0.0001 par value, 1,000,000 shares authorized, 100 shares outstanding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paid in capital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Stockholder receivable</w:t>
            </w: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balance sheets.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59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59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59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96"/>
              </w:rPr>
              <w:t>2021</w:t>
            </w: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Proceeds from stockholder receivable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59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2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5900" w:type="dxa"/>
            <w:vAlign w:val="bottom"/>
          </w:tcPr>
          <w:p>
            <w:pPr>
              <w:ind w:left="120"/>
              <w:spacing w:after="0"/>
              <w:rPr>
                <w:sz w:val="20"/>
                <w:szCs w:val="20"/>
                <w:color w:val="auto"/>
              </w:rPr>
            </w:pPr>
            <w:r>
              <w:rPr>
                <w:rFonts w:ascii="Arial" w:cs="Arial" w:eastAsia="Arial" w:hAnsi="Arial"/>
                <w:sz w:val="18"/>
                <w:szCs w:val="18"/>
                <w:color w:val="auto"/>
              </w:rPr>
              <w:t>Net increase in cash and cash equivalents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Beginning of period</w:t>
            </w:r>
          </w:p>
        </w:tc>
        <w:tc>
          <w:tcPr>
            <w:tcW w:w="2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this statement of cash flows.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AirSculpt Technologies, Inc. (“AirSculpt”) was incorporated in the state of Delaware on June 30, 2021, with the issuance of 100 shares of common stock to its sole stockholder in exchange for $10 due from that stockholder. The receivable from the stockholder is presented in the accompanying balance sheet as a deduction from stockholder’s equity. AirSculpt collected this stockholder receivable during the three months ended September 30, 2021. The Company had no operations through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statements have been prepared in accordance with accounting principles generally accepted in the United States of America (“GAAP”). Separate statements of income, comprehensive income, and changes in stockholder’s equity have not been presented because there have been no activities in this entity from the date of incorporation through September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3—SUBSEQUENT EVENTS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28, 2021, AirSculpt completed an initial public offering (“IPO”) of 8,050,000 shares of common stock at an initial public offering price of $11.00 per share. Of the 8,050,000 shares, AirSculpt offered 2,173,913, while 5,876,087 shares were offered by AirSculpt stockholders. The 8,050,000 shares, includes 1,050,000 shares purchased from AirSculpt stockholders upon the full execution of the underwriter’s option to purchase additional shares. Pursuant to a reorganization (the “Reorganization”) among entities under common control immediately prior to the IPO, AirSculpt became a holding company with its principal asset being 100% of the ownership interests in EBS Intermediate Parent LLC (the “Company”). Immediately following the IPO, AirSculpt's total outstanding shares were 55,640,154.</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part of the IPO, AirSculpt received proceeds of $13.5 million, net of underwriting and other offering related expenses, from their portion of the offering and did not receive any proceeds from the sale of shares of common stock by the selling stockholders in the IPO.</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conjunction with the IPO and Reorganization, AirSculpt filed an Amended and Restated Certificate of Incorporation authorizing 450,000,000 shares of $0.001 par value common stock and 50,000,000 shares of $0.001 par value preferred stock.</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27, 2021, AirSculpt established the 2021 Equity Incentive Plan. Under the 2021 Equity Incentive Plan, 3,950,450 stock units were awarded to the AirSculpt’s executive officers and directors and 728,886 stock units were awarded to employees on November 4, 2021 and November 10,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EBS Intermediate Parent,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20"/>
                <w:szCs w:val="20"/>
                <w:color w:val="auto"/>
              </w:rPr>
            </w:pPr>
            <w:r>
              <w:rPr>
                <w:rFonts w:ascii="Arial" w:cs="Arial" w:eastAsia="Arial" w:hAnsi="Arial"/>
                <w:sz w:val="14"/>
                <w:szCs w:val="14"/>
                <w:color w:val="auto"/>
              </w:rPr>
              <w:t>($000s)</w:t>
            </w: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4"/>
                <w:szCs w:val="14"/>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7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Right of use operating lease assets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17,053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60,608</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81,734</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81,734</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192,245</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179,610</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payroll and benefits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 and patient deposits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Accrued and other current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right of use operating 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0"/>
        </w:trPr>
        <w:tc>
          <w:tcPr>
            <w:tcW w:w="75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9,457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32,119</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right of use operating lease liabilities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15,037</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Commitments and contingent liabilities (Note 9)</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82,014</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123,676</w:t>
            </w:r>
          </w:p>
        </w:tc>
        <w:tc>
          <w:tcPr>
            <w:tcW w:w="0" w:type="dxa"/>
            <w:vAlign w:val="bottom"/>
          </w:tcPr>
          <w:p>
            <w:pPr>
              <w:spacing w:after="0"/>
              <w:rPr>
                <w:sz w:val="1"/>
                <w:szCs w:val="1"/>
                <w:color w:val="auto"/>
              </w:rPr>
            </w:pPr>
          </w:p>
        </w:tc>
      </w:tr>
      <w:tr>
        <w:trPr>
          <w:trHeight w:val="210"/>
        </w:trPr>
        <w:tc>
          <w:tcPr>
            <w:tcW w:w="7580" w:type="dxa"/>
            <w:vAlign w:val="bottom"/>
          </w:tcPr>
          <w:p>
            <w:pPr>
              <w:ind w:left="220"/>
              <w:spacing w:after="0"/>
              <w:rPr>
                <w:sz w:val="20"/>
                <w:szCs w:val="20"/>
                <w:color w:val="auto"/>
              </w:rPr>
            </w:pPr>
            <w:r>
              <w:rPr>
                <w:rFonts w:ascii="Arial" w:cs="Arial" w:eastAsia="Arial" w:hAnsi="Arial"/>
                <w:sz w:val="18"/>
                <w:szCs w:val="18"/>
                <w:color w:val="auto"/>
              </w:rPr>
              <w:t>Total liabilities and member’s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192,245</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EBS Intermediate Parent,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($000s)</w:t>
            </w: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39,923</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service (exclusive of depreciation and amortization shown below)</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16,118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debt modification</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36,136</w:t>
            </w:r>
          </w:p>
        </w:tc>
        <w:tc>
          <w:tcPr>
            <w:tcW w:w="0" w:type="dxa"/>
            <w:vAlign w:val="bottom"/>
          </w:tcPr>
          <w:p>
            <w:pPr>
              <w:spacing w:after="0"/>
              <w:rPr>
                <w:sz w:val="1"/>
                <w:szCs w:val="1"/>
                <w:color w:val="auto"/>
              </w:rPr>
            </w:pPr>
          </w:p>
        </w:tc>
      </w:tr>
      <w:tr>
        <w:trPr>
          <w:trHeight w:val="210"/>
        </w:trPr>
        <w:tc>
          <w:tcPr>
            <w:tcW w:w="604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0"/>
        </w:trPr>
        <w:tc>
          <w:tcPr>
            <w:tcW w:w="6040" w:type="dxa"/>
            <w:vAlign w:val="bottom"/>
          </w:tcPr>
          <w:p>
            <w:pPr>
              <w:ind w:left="220"/>
              <w:spacing w:after="0"/>
              <w:rPr>
                <w:sz w:val="20"/>
                <w:szCs w:val="20"/>
                <w:color w:val="auto"/>
              </w:rPr>
            </w:pPr>
            <w:r>
              <w:rPr>
                <w:rFonts w:ascii="Arial" w:cs="Arial" w:eastAsia="Arial" w:hAnsi="Arial"/>
                <w:sz w:val="18"/>
                <w:szCs w:val="18"/>
                <w:color w:val="auto"/>
              </w:rPr>
              <w:t>Pro forma 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2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9"/>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6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EBS Intermediate Parent, LLC and Subsidiaries</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96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Condensed Consolidated Statement of Changes in Member’s Equity (Unaudited)</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240" w:type="dxa"/>
            <w:vAlign w:val="bottom"/>
            <w:gridSpan w:val="3"/>
          </w:tcPr>
          <w:p>
            <w:pPr>
              <w:spacing w:after="0"/>
              <w:rPr>
                <w:sz w:val="20"/>
                <w:szCs w:val="20"/>
                <w:color w:val="auto"/>
              </w:rPr>
            </w:pPr>
            <w:r>
              <w:rPr>
                <w:rFonts w:ascii="Arial" w:cs="Arial" w:eastAsia="Arial" w:hAnsi="Arial"/>
                <w:sz w:val="18"/>
                <w:szCs w:val="18"/>
                <w:color w:val="auto"/>
              </w:rPr>
              <w:t>($000s)</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Unit-based compensation</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Unit-based compensation</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Unit-based compensation</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Unit-based compensation</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Unit-based compensation</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gridSpan w:val="2"/>
          </w:tcPr>
          <w:p>
            <w:pPr>
              <w:ind w:left="100"/>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Unit-based compensation</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2021</w:t>
            </w: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EBS Intermediate Parent,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($000s)</w:t>
            </w: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24,702</w:t>
            </w:r>
          </w:p>
        </w:tc>
        <w:tc>
          <w:tcPr>
            <w:tcW w:w="24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Unit-based compensation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Non-cash interest expense; amortization of debt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debt modification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 and other current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(1,585)</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Deferred revenue and patient deposits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and 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32,339</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(4,726)</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Payment on term loan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Borrowings on term loan,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49,994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member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(66,622)</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(17,254)</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49"/>
        </w:trPr>
        <w:tc>
          <w:tcPr>
            <w:tcW w:w="758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20,738</w:t>
            </w:r>
          </w:p>
        </w:tc>
        <w:tc>
          <w:tcPr>
            <w:tcW w:w="240" w:type="dxa"/>
            <w:vAlign w:val="bottom"/>
          </w:tcPr>
          <w:p>
            <w:pPr>
              <w:spacing w:after="0"/>
              <w:rPr>
                <w:sz w:val="21"/>
                <w:szCs w:val="21"/>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EBS Intermediate Parent,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ORGANIZATION AND SUMMARY OF KEY ACCOUNTING POLICIES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AirSculpt Technologies, Inc. (“AirSculpt”), was formed as a Delaware corporation on June 30, 2021. On October 28, 2021, AirSculpt. completed an initial public offering (“IPO”) of 8,050,000 shares of common stock at an initial public offering price of $11.00 per share. Of the 8,050,000 shares, AirSculpt offered 2,173,913, while 5,876,087 shares were offered by AirSculpt stockholders. The 8,050,000 shares, includes 1,050,000 shares purchased from AirSculpt stockholders upon the full execution of the underwriter's option to purchase additional shares.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(the “Company”). The operations of the Company represent the predecessor to AirSculpt prior to the IPO. The Company and its consolidated subsidiaries are referred to collectively in this Quarterly Report on Form 10-Q (“10-Q Report”) as “we,” “our,” and “us.” Solely for convenience, some of the copyrights, trade names and trademarks referred to in this 10-Q Report are listed without their </w:t>
      </w:r>
      <w:r>
        <w:rPr>
          <w:rFonts w:ascii="Arial" w:cs="Arial" w:eastAsia="Arial" w:hAnsi="Arial"/>
          <w:sz w:val="11"/>
          <w:szCs w:val="11"/>
          <w:color w:val="auto"/>
        </w:rPr>
        <w:t>©</w:t>
      </w:r>
      <w:r>
        <w:rPr>
          <w:rFonts w:ascii="Arial" w:cs="Arial" w:eastAsia="Arial" w:hAnsi="Arial"/>
          <w:sz w:val="16"/>
          <w:szCs w:val="16"/>
          <w:color w:val="auto"/>
        </w:rPr>
        <w:t xml:space="preserve">, </w:t>
      </w:r>
      <w:r>
        <w:rPr>
          <w:rFonts w:ascii="Arial" w:cs="Arial" w:eastAsia="Arial" w:hAnsi="Arial"/>
          <w:sz w:val="11"/>
          <w:szCs w:val="11"/>
          <w:color w:val="auto"/>
        </w:rPr>
        <w:t>®</w:t>
      </w:r>
      <w:r>
        <w:rPr>
          <w:rFonts w:ascii="Arial" w:cs="Arial" w:eastAsia="Arial" w:hAnsi="Arial"/>
          <w:sz w:val="16"/>
          <w:szCs w:val="16"/>
          <w:color w:val="auto"/>
        </w:rPr>
        <w:t xml:space="preserve"> and ™ symbols, but we will assert, to the fullest extent under applicable law, our rights to our copyrights, trade names and trademarks.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was formed as a limited liability company under the laws of the state of Delaware pursuant to an agreement effective October 2, 2018 to facilitate the acquisition of EBS Enterprises, LLC f/k/a Rollins Enterprises, LLC. Prior to the Reorganization, the Company was a wholly-owned subsidiary of EBS Parent, LLC (the “Parent”). Subsequent to the Reorganization, the Company became a wholly-owned subsidiary of AirSculpt. The Company’s revenues are concentrated in the specialty, minimally invasive liposuction market.</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through its wholly-owned subsidiaries, is a provider of practice management services to professional associations (“PAs”) located throughout the United States.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2021 and 2020, the Company is providing management services to sixteen and thirteen medical practices,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MSA, the PA is responsible for all clinical aspects of the medical operations of the practice.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COVID-19</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COVID-19 global pandemic has significantly affected the Company’s facilities, employees, patients, business operations and financial performance, as well as the U.S. economy and financial markets. The COVID-19 pandemic materially impacted the Company’s financial performance for the nine months ended September 30, 2020. Beginning in March 2020, the COVID-19 pandemic began to negatively affect revenue and business operations. As a result of federal, state, and local guidelines, the Company cancelled or postponed most procedures scheduled at the facilities. As a result, case volumes across most of the Company’s centers were significantly impacted during the 2020 period. Although the length and severity of the impact of the COVID-19 pandemic cannot be predicted, the Company’s volumes improved in the second half of 2020 as states began to re-open and allow for non-emergent procedures. During the second half of 2020 the Company’s volumes and revenue recovered to pre-pandemic levels and for the three and nine months ended September 30, 2021 include minimal impact from the COVID-19 global pandemic. The length and severity of the pandemic continues to be difficult to predict and is dependent on factors beyond the Company’s control.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consolidated financial statements present the financial position and results of operations of the Company, its wholly-owned subsidiaries, and the PAs, which are under the control of the Company and are considered variable interest entities in which the Company is the primary beneficiary.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 variable interest in the managed PAs where it has a long-term and unilateral controlling financial interest over such PAs’ assets and operations. The Company has the ability to direct the activities that most significantly affect the PAs’ economic performance via the MSAs and related agreements. The Company is a practice management service organization and does not engage in the practice of medicine. These services are provided by licensed professionals at each of the PAs. Certain key features of the MSAs and related agreements enable the Company to assign the member interests of certain of the PAs to another member designated by the Company (i.e., “nominee shareholder”) for a nominal value in certain circumstances at the Company’s sole discretion. The MSA does not allow the Company to be involved in, or provide guidance on, the clinical operations of the PAs. The Company consolidates the PAs into the financial statements. All of the Company’s revenue is earned from services provided by the PAs. The only assets and liabilities held by the PAs included in the accompanying consolidated balance sheets are clinical related. The clinical assets and liabilities are not material to the Company as a whole.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condensed consolidated balance sheet as of September 30, 2021, and the condensed consolidated statements of income, member’s equity, and cash flows for the three and nine months ended September 30, 2020 and 2021 are unaudited. The unaudited condensed consolidated financial statements have been prepared on the same basis as the annual consolidated financial statements and reflect, in the opinion of management, all adjustments of a normal and recurring nature that are necessary for the fair statement of the Company’s financial position as of September 30, 2021 and the results of operations and cash flows for the nine months ended September 30, 2021 and 2020. Certain information and footnote disclosures normally included in financial statements prepared in accordance with U.S. GAAP have been condensed or omitted. The financial data and the other financial information disclosed in these notes to the condensed consolidated financial statements related to the three and nine months ended September 30, 2021 and 2020 are also unaudited. The consolidated results of operations for the three and nine months ended September 30, 2021 are not necessarily indicative of results to be expected for the year ending December 31, 2021 or for any other future annual or interim period.</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condensed consolidated balance sheet as of December 31, 2020 is derived from the Company’s annual audited consolidated financial statements for the year ended December 31, 2020, which should be read in conjunction with these condensed consolidated financial statements and which are included in the Company’s Prospectus dated October 28, 2021 filed with the Securities and Exchange Commission (“SEC”) pursuant to Rule 424(b) of the Securities Act of 1933, as amended, relating to the Company’s Registration Statement on Form S-1 (File No. 333-260067).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as well as interests in PAs controlled by the Company through rights granted to the Company by contract to manage and control the affiliate’s business (as described in “Variable Interest Entities” above). All significant intercompany balances and transactions are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the Company recognizes revenue based on the expected transaction price which is reduced for financing fees.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policy is to require payment for services in advance. Payments received for services that have yet to be performed as of September 30, 2021 and December 31, 2020 are included in deferred revenue and patient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Costs, Net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$399,000 and $159,000 for the nine months ended September 30, 2021 and 2020, respectively, and $208,000 and $53,000 for the three months ended September 30, 2021 and 2020, respectively. Amortization of loan costs and discounts is included as a component of interest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accounts for impairment of long-lived assets in accordance with the provisions of the Financial Accounting Standards Board (“FASB”)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This standard requires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and nine months ended September 30, 2021 and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w:t>
      </w:r>
      <w:r>
        <w:rPr>
          <w:rFonts w:ascii="Arial" w:cs="Arial" w:eastAsia="Arial" w:hAnsi="Arial"/>
          <w:sz w:val="18"/>
          <w:szCs w:val="18"/>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observable inputs that are corroborated by market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Prior to the Reorganization, the Company was a wholly-owned subsidiary of EBS Parent, LLC. As a result, the Company does not believe earnings per share to be a meaningful presentation in the accompanying condensed consolidated financial statements.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Advertising costs are expensed in the period when the costs are incurred and are included as a component of selling, general and administrative costs. Advertising expenses were approximately $4.3 million and $1.8 million for the three months ended September 30, 2021 and 2020, respectively, and $9.4 million and $4.8 million for the nine months ended September 30, 2021 and 2020,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organized as a limited liability company and has elected to be treated as a partnership for federal and state income tax purposes. Accordingly, the tax consequences of the Company’s profits and losses are passed through to the members of the Company and are reported in their respective income tax returns. Therefore, historically no provision for income taxes has been provided in the accompanying condensed consolidated financial statements.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 result of the Reorganization, the Company became subject to taxation as a C corporation for periods after October 28, 2021. The Company has included a pro forma tax expense in its condensed consolidated statements of income, as if it were taxed as a C corporation.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applies the provisions of ASC 740-10, </w:t>
      </w:r>
      <w:r>
        <w:rPr>
          <w:rFonts w:ascii="Arial" w:cs="Arial" w:eastAsia="Arial" w:hAnsi="Arial"/>
          <w:sz w:val="17"/>
          <w:szCs w:val="17"/>
          <w:i w:val="1"/>
          <w:iCs w:val="1"/>
          <w:color w:val="auto"/>
        </w:rPr>
        <w:t>Accounting for Uncertain Tax Positions</w:t>
      </w:r>
      <w:r>
        <w:rPr>
          <w:rFonts w:ascii="Arial" w:cs="Arial" w:eastAsia="Arial" w:hAnsi="Arial"/>
          <w:sz w:val="17"/>
          <w:szCs w:val="17"/>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September 30, 2021 or December 31, 2020. The Company is not subject to U.S. federal tax examination prior to 2018, when it was formed.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 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included a pro forma tax expense in its condensed consolidated statements of income, as if it were taxed as a C corporation. The Company has computed pro forma entity level income tax expense using an estimated effective tax rate of approximately 24.0% and 23.9% for the three and nine months ended September 30, 2021, respectively, and 17.0% and 24.7% for the three and nine months ended September 30, 2020, respectively, inclusive of all applicable U.S. federal and state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2 – GOODWILL AND INTANGIBLES,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 review of goodwill impairment will be performed in October 2021. There were no triggering events during the three and nine months ended September 30,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goodwill of $81.7 million at September 30, 2021 and December 31,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2021 and December 31, 2020 (in 000’s):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know-how</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Trademarks and tradenames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Accumulated amortization of technology and know-how</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(10,719)</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(8,038)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of tradenames and trademarks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(2,654)</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12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60,608</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amortization expense on intangible assets was approximately $1.2 million for both of the three months ended September 30, 2021 and 2020, and $3.6 million for both of the nine months ended September 30,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3 - PROPERTY AND EQUIPMENT,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property and equipment consists of the following: (in 000’s):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Medical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5,374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10"/>
        </w:trPr>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w:t>
            </w: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was approximately $452,000 and $244,000 for the three months ended September 30, 2021 and 2020, respectively, and $1.1 million and $600,000 for the nine months ended September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DEBT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2018, the Company entered into a credit agreement (the “Credit Agreement”) with a lender. Under the terms of the Credit Agreement, the Company obtained a $34.0 million term loan and a $5.0 million revolving credit facility. In May 2021, the Company amended the Credit Agreement by adding an incremental $52.0 million senior secured term loan. The proceeds from this loan plus excess cash on the balance sheet were used to pay a distribution to the Parent of approximately $59.7 million and the related fees for this transaction. Beginning on June 30, 2021, the quarterly principal payments increased from $100,000 to $212,500. As a result of the amendment, the Company recognized a loss on debt modification of $682,000 in its condensed consolidated statements of income for the nine months ended September 30, 2021.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other changes in the terms of the Credit Agreement during the three and nine months ended September 30,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Total borrowings as of September 30, 2021 and December 31, 2020 were as follows (in 000’s):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Unamortized debt discounts and issuance costs</w:t>
            </w:r>
          </w:p>
        </w:tc>
        <w:tc>
          <w:tcPr>
            <w:tcW w:w="18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09"/>
        </w:trPr>
        <w:tc>
          <w:tcPr>
            <w:tcW w:w="68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 net</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82,968</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32,519</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09"/>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82,118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32,119</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had $5.0 million available on the revolving credit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8500" w:type="dxa"/>
            <w:vAlign w:val="bottom"/>
            <w:gridSpan w:val="3"/>
          </w:tcPr>
          <w:p>
            <w:pPr>
              <w:spacing w:after="0"/>
              <w:rPr>
                <w:sz w:val="20"/>
                <w:szCs w:val="20"/>
                <w:color w:val="auto"/>
              </w:rPr>
            </w:pPr>
            <w:r>
              <w:rPr>
                <w:rFonts w:ascii="Arial" w:cs="Arial" w:eastAsia="Arial" w:hAnsi="Arial"/>
                <w:sz w:val="18"/>
                <w:szCs w:val="18"/>
                <w:color w:val="auto"/>
              </w:rPr>
              <w:t>The scheduled future maturities of long-term debt as of September 30, 2021 is as follows (in 000’s):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6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2022</w:t>
            </w:r>
          </w:p>
        </w:tc>
        <w:tc>
          <w:tcPr>
            <w:tcW w:w="7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83,413</w:t>
            </w:r>
          </w:p>
        </w:tc>
        <w:tc>
          <w:tcPr>
            <w:tcW w:w="0" w:type="dxa"/>
            <w:vAlign w:val="bottom"/>
          </w:tcPr>
          <w:p>
            <w:pPr>
              <w:spacing w:after="0"/>
              <w:rPr>
                <w:sz w:val="1"/>
                <w:szCs w:val="1"/>
                <w:color w:val="auto"/>
              </w:rPr>
            </w:pPr>
          </w:p>
        </w:tc>
      </w:tr>
      <w:tr>
        <w:trPr>
          <w:trHeight w:val="209"/>
        </w:trPr>
        <w:tc>
          <w:tcPr>
            <w:tcW w:w="8500" w:type="dxa"/>
            <w:vAlign w:val="bottom"/>
            <w:gridSpan w:val="3"/>
          </w:tcPr>
          <w:p>
            <w:pPr>
              <w:spacing w:after="0"/>
              <w:rPr>
                <w:sz w:val="20"/>
                <w:szCs w:val="20"/>
                <w:color w:val="auto"/>
              </w:rPr>
            </w:pPr>
            <w:r>
              <w:rPr>
                <w:rFonts w:ascii="Arial" w:cs="Arial" w:eastAsia="Arial" w:hAnsi="Arial"/>
                <w:sz w:val="18"/>
                <w:szCs w:val="18"/>
                <w:color w:val="auto"/>
              </w:rPr>
              <w:t>Total maturities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borrowings under the Credit Agreement are cross collateralized by substantially all assets of the Company and are subject to certain restrictive covenants including quarterly total leverage ratio and fixed charge ratio requirements and a limit on capital expenditures. The Company is in compliance with all covenants and has no letter of credit outstanding as of September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5 – LEASES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operating leases are primarily for real estate, including medical office suites and corporate offices. For the three months ended September 30, 2021 and 2020, the Company incurred rent expense of $740,000 and $855,000, respectively, for its medical office suites. For the nine months ended September 30, 2021 and 2020, the Company incurred rent expense of $2.4 million and $2.2 million, respectively, related to its medical office suites. The Company’s rent expense related to its medical office suites is classified in cost of services within the Company’s condensed consolidated statements of income. The Company incurred rent expense of $22,000 and $49,000 for the three months ended September 30, 2021 and 2020, respectively, and $66,000 and $112,000 for the nine months ended September 30, 2021 and 2020, respectively, related to the corporate offices which is classified in selling, general and administrative expenses. The Company currently does not have any finance leases.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cash flow information for the nine months ended September 30, 2021 and 2020 (in 000’s):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4"/>
                <w:szCs w:val="14"/>
                <w:color w:val="auto"/>
              </w:rPr>
            </w:pPr>
          </w:p>
        </w:tc>
        <w:tc>
          <w:tcPr>
            <w:tcW w:w="10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8"/>
              </w:rPr>
              <w:t>September 30,</w:t>
            </w:r>
          </w:p>
        </w:tc>
      </w:tr>
      <w:tr>
        <w:trPr>
          <w:trHeight w:val="171"/>
        </w:trPr>
        <w:tc>
          <w:tcPr>
            <w:tcW w:w="76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Operating cash outflows from operating leases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2,366</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76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3,651</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3,924</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4"/>
              </w:rPr>
              <w:t>2021 (excluding the nine months ended September 30, 2021)</w:t>
            </w:r>
          </w:p>
        </w:tc>
        <w:tc>
          <w:tcPr>
            <w:tcW w:w="44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2022</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2024</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4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lease obligations</w:t>
            </w:r>
          </w:p>
        </w:tc>
        <w:tc>
          <w:tcPr>
            <w:tcW w:w="4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160" w:type="dxa"/>
            <w:vAlign w:val="bottom"/>
            <w:vMerge w:val="restart"/>
          </w:tcPr>
          <w:p>
            <w:pPr>
              <w:jc w:val="right"/>
              <w:ind w:right="3650"/>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NOTE 6 – UNIT-BASED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Parent’s 2018 incentive unit plan, the Parent is authorized to issue approximately 14,000 PIUs (the “Class B units”) that represent non-voting interest in the Parent and that may only be issued in return for services provided to the Parent or its subsidiaries. Approximately 2,000 PIUs remain available for grant under the plan as of September 30, 2021. No PIUs were granted in the three or nine months ended September 30, 2021 or 2020.</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recorded unit-based compensation expense of $86,000 and $81,000 for the three months ended September 30, 2021 and 2020, respectively, and $258,000 and $244,000 for the nine months ended September 30, 2021 and 2020, respectively, in selling, general and administrative expenses on the condensed consolidated statements of income. Forfeitures are recognized as incurred.</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conjunction with the IPO and Reorganization, all of the PIUs vested and were settled, and we do not intend to grant any further awards under the Parent’s 2018 incentive unit plan.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IPO and Reorganization, AirSculpt established the 2021 Equity Incentive Plan. Under the 2021 Equity Incentive Plan, 3,950,450 stock units were awarded to AirSculpt's executive officers and directors and 728,886 stock units were awarded to employees on November 4, 2021 and November 10,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7 – MEMBER’S EQUITY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 2018, the Company transferred all of its limited liability company interests to the Parent, in exchange for all capital contributions made from the Parent. The Parent has approximately 124,785 Class A units outstanding at both September 30, 2021 and December 31,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rights of all such units are governed by the amended and restated limited liability agreements of the Company and the Parent both dated October 2,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paid distributions to the Parent of approximately $66.6 million and $4.6 million for the nine months ended September 30, 2021 and 2020, respectively.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conjunction with the IPO and Reorganization, AirSculpt filed an Amended and Restated Certificate of Incorporation authorizing 450,000,000 shares of $0.001 par value common stock and 50,000,000 shares of $0.001 par value preferred stock.</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AirSculpt’s common stock began trading on the NASDAQ Exchange on October 29, 2021 under the symbol “AIRS” and on November 2, 2021, certain selling stockholders completed the sale of a total of 5,876,087 shares of common stock at an initial price to the public of $11.00 per share. Of the shares sold by certain selling stockholders, 1,050,000 shares relate to the full execution of the underwriter's option to purchase additional shares. The Company did not receive any proceeds from the sale of shares of common stock by the selling stockholders in the IPO. The Company paid all of the underwriting discounts and commissions applicable to the sale of the common stock of the selling stockholders in connection with such sale.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entered into a professional services agreements, effective October 2, 2018, with Vesey Street Capital Partners, LLC, JCBI II, LLC, and Dr. Aaron Rollins (collectively the “Advisors”), where the Advisors provide certain managerial and advisory services to the Company. Each of the Advisors has an ownership interest in the Parent. Under the professional services agreements, the Company agreed to pay the Advisors an aggregate annual fee (also referred to as the sponsor management fee) of the greater of $500,000 or 2% of consolidated earnings before interest, tax, depreciation and amortization, payable in advance quarterly installments, and the fee is allocated between the Advisors based on the outstanding Parent Class A Units held. Under the agreements, the Company also reimburses the Advisors for any out-of-pocket expenses incurred related to providing their services. During the three months ended September 30, 2021 and 2020, the Company incurred sponsor management fees of approximately $417,000 and $125,000, respectively. During the nine months ended September 30, 2021 and 2020, the Company incurred sponsor management fees of approximately $667,000 and $375,000,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IPO and Reorganization, the professional services agreements with the Advisors were terminated. The Company paid a fee of $1.0 million to terminate this agreement on November 19,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9 -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Liability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10 – SEGMENT INFORMATION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one reportable segment: direct medical procedure services. This segment is made up of facilities and medical staff that provide the Company’s patented AirSculpt® procedures to patients. Segment information is presented in the same manner that the Company’s chief operating decision maker (“CODM”) reviews the operating results in assessing performance and allocating resources. The Company’s CODM is the Company’s chief executive and chief operating officers. This committee reviews financial information presented on a consolidated basis for purposes of making operating decisions, assessing financial performance and allocating resources. The Company’s CODM reviews revenue, gross profit and EBITDA. Gross profit is defined as revenues less cost of service incurred and EBITDA as net income excluding depreciation and amortization, net interest expense, loss on debt modification, sponsor management fee, pre-opening de novo and relocation costs, restructuring and related severance costs, and unit-based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11 - SUBSEQUENT EVENTS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25, 2021, the Company amended certain provisions in its credit agreement related to the IPO transaction. The amendment revises certain definitions and covenant requirements but does not change the timing or amount of principal payments or interest due under the agreement. As of October 25, 2021, the Company was in compliance with all revised covenant requirements.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27, 2021, AirSculpt established the 2021 Equity Incentive Plan. Under the 2021 Equity Incentive Plan, 3,950,450 stock units were awarded to the AirSculpt's executive officers and directors and 728,886 stock units were awarded to employees on November 4, 2021 and November 10, 2021,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October 28, 2021, AirSculpt completed an IPO of 8,050,000 shares of common stock at an initial public offering price of $11.00 per share. Of the 8,050,000 shares, AirSculpt offered 2,173,913, while 5,876,087 shares were offered by AirSculpt stockholders. The 8,050,000 shares, includes 1,050,000 shares purchased from AirSculpt stockholders upon the full execution of the underwriter's option to purchase additional shares. Pursuant to the Reorganization, AirSculpt became a holding company with its principal asset being 100% of the ownership interests in the Company. Immediately following the IPO, AirSculpt's total outstanding shares were 55,640,154.</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received proceeds of $13.5 million, net of underwriting and other offering related expenses, from their portion of the offering and did not receive any proceeds from the sale of shares of common stock by the selling stockholders in the IPO.</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IPO and Reorganization, the professional services agreements with the Advisors were terminated. The Company paid a fee of $1.0 million to terminate this agreement on November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financial statements and related notes and other financial information appearing in our Prospectus dated October 28, 2021 filed with the Securities and Exchange Commission (“SEC”) pursuant to Rule 424(b) of the Securities Act of 1933. This discussion and analysis contains forward-looking statements that involve risk, uncertainties and assumptions. See the section entitled “Cautionary Note Regarding Forward-Looking Statements” in this Quarterly Report on Form 10-Q. Our actual results could differ materially from those anticipated in the forward-looking statements as a result of many factors, including those discussed in “Risk Factors” and elsewhere in this Quarterly Report on Form 10-Q.</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Quarterly Report on Form 10-Q to the “Company,” “Elite Body Sculpture,” “we,” “us” and “our” refer to EBS Intermediate Parent LLC and its consolidated subsidiaries and the Professional Associations.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Elite Body Sculpture is an experienced, fast-growing national provider of body contouring procedures delivering a premium consumer experience. We provide custom body contouring using our proprietary AirSculpt® procedure that removes unwanted fat in a minimally invasive procedure, producing dramatic results. In November 2021, we opened two new centers in Miami Beach, FL and Salt Lake City, UT. We now deliver our AirSculpt® procedures through a growing nationwide footprint of 18 centers across 14 states as of December 2, 2021.</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and nine months ended September 30, 2021, we performed 2,743 and 8,165 cases, respectively. For the three and nine months ended September 30, 2021, we generated approximately $34.7 million and $95.8 million of revenue, respectively, compared to $17.8 million and $39.9 million for the three and nine months ended September 30, 2020, respectively. This represents approximately 94% growth for the three months ended September 30, 2021 over the same period in prior year and approximately 140% growth for the nine months ended September 30, 2021 over the same period in prior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measures presented in our condensed consolidated financial statements, we use the following key operational and business metrics to evaluate our business, measure our performance, develop financial forecasts and make strategic decisions: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and 2020</w:t>
      </w:r>
    </w:p>
    <w:p>
      <w:pPr>
        <w:spacing w:after="0" w:line="225"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Cases performed were 2,743 and 1,710 in 2021 and 2020, respectively;</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per case was $12,632 and $10,431 in 2021 and 2020, respectively;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Same-center cases performed were 2,174 and 1,674 in 2021 and 2020, respectively;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Same-center revenue per case was $12,519 and $10,408 in 2021 and 2020, respectively;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was $8.1 million and $2.9 million in 2021 and 2020, respectively;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was $12.1 million and $5.3 million in 2021 and 2020, respectively;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Margin was 35.0% and 29.9% in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and 2020</w:t>
      </w:r>
    </w:p>
    <w:p>
      <w:pPr>
        <w:spacing w:after="0" w:line="225"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Cases performed were 8,165 and 3,879 in 2021 and 2020, respectively;</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per case was $11,728 and $10,292 in 2021 and 2020, respectively;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Same-center cases performed were 6,733 and 3,843 in 2021 and 2020, respectively;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Same-center revenue per case was $11,591 and $10,281 in 2021 and 2020, respectively;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was $24.7 million and $2.0 million in 2021 and 2020, respectively;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was $35.9 million and $9.4 million in 2021 and 2020, respectively;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Margin was 37.5% and 23.5% in 2021 and 2020, respectively.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Cases Performed and Revenue per Case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case volumes in the table below, which are used for calculating revenue per case, represent one patient visit; notwithstanding that, a patient may incur multiple procedures during one visit. We believe this provides the best approach for assessing our revenue performance and trends.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Case and Revenue Metrics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133"/>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2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296"/>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Case growth</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60.4 %</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N/A</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110.5 %</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 per case</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116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  11,728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Revenue per case growth</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21.1 %</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N/A</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14.0 %</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Number of facilities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Number of total procedure rooms</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Same-Center Information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September 30, 2021 and 2020, we define same-center case and revenue growth as the growth in each of our cases and revenue at facilities that have been owned and operated since July 1, 2020. We define same-center facilities and procedure rooms as facilities and procedure rooms that have been owned or operated since July 1, 2020.</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nine months ended September 30, 2021 and 2020, we define same-center case and revenue growth as the growth in each of our cases and revenue at facilities that have been owned and operated since January 1, 2020. We define same-center facilities and procedure rooms as facilities and procedure rooms that have been owned or operated since January 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 Case and Revenue Metrics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133"/>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296"/>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Case growth</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29.9 %</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75.2 %</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 per case</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12,519</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Revenue per case growth</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20.3 %</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12.7 %</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Number of facilities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Number of total procedure rooms</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Measures—Adjusted EBITDA and Adjusted EBITDA Margin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report our financial results in accordance with GAAP, however, management believes the evaluation of our ongoing operating results may be enhanced by a presentation of Adjusted EBITDA and Adjusted EBITDA Margin, which are non-GAAP financial measures.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define Adjusted EBITDA as net income excluding depreciation and amortization, net interest expense, loss on debt modification, sponsor management fee, pre-opening de novo and relocation costs, restructuring and related severance costs, and unit-based compensation. We include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including: (i) Adjusted EBITDA does not include results from unit-based compensation and (ii) Adjusted EBITDA does not reflect interest expense on our debt or the cash requirements necessary to service interest or principal payments. Adjusted EBITDA increased 127% between the three months ended September 30, 2021 and 2020 and 283% between the nine months ended September 30, 2021 and 2020 due to organic growth, opening de novo centers and the 2020 period being negatively impacted by the COVID-19 pandemic.</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define Adjusted EBITDA Margin as net income excluding depreciation and amortization, net interest expense, loss on debt modification, sponsor management fee, pre-opening de novo and relocation costs, restructuring and related severance costs, and unit-based compensation calculated as a percentage of revenue. We included Adjusted EBITDA Margin because it is an important measure on which our management assesses and believes investors should assess our operating performance. We consider Adjusted EBITDA Margin to be an important measure because it helps illustrate underlying trends in our business and our historical operating performance on a more consistent basis. Adjusted EBITDA Margin increased to 35.0% for the three months ended September 30, 2021 compared to 29.9% for the three months ended September 30, 2020 and to 37.5% for the nine months ended September 30, 2021 compared to 23.5% for the nine months ended September 30, 2020, due to organic growth.</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Adjusted EBITDA and Adjusted EBITDA Margin to net income (loss), the most directly comparable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center"/>
              <w:ind w:right="31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center"/>
              <w:ind w:right="27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vMerge w:val="continue"/>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i w:val="1"/>
                <w:iCs w:val="1"/>
                <w:color w:val="auto"/>
              </w:rPr>
              <w:t>Plus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debt modification</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Pre-opening de novo and relocation costs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and related severance costs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Sponsor management fee</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Unit-based compensation</w:t>
            </w:r>
          </w:p>
        </w:tc>
        <w:tc>
          <w:tcPr>
            <w:tcW w:w="10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12,116</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5,333</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35,899</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global pandemic has significantly affected our centers, employees, customers, communities, business operations and financial performance, as well as the U.S. economy and financial markets. The COVID-19 pandemic materially impacted our financial performance for the year ended December 31, 2020. Through the first nine months of 2021, we have not experienced a negative impact at our centers; however, we continue to monitor the current COVID-19 situation in each market we perform procedures and will react accordingly should events require us to temporarily close.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structure also allows for some flexibility in the cost structure according to the volume of cases performed, including much of our cost of services. As a result of this flexibility and the return of volumes in the second half of the year, we did not request or receive any proceeds from the CARES Act and other governmental assistance programs. Other than the temporary decrease in revenue and cost of service, we did not incur any significant costs attributable to the pandemic.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certain results from the statements of income for each of the periods indicated and the changes between periods. The tables also show the percentage relationship to revenue for the periods indicated:</w:t>
      </w:r>
    </w:p>
    <w:p>
      <w:pPr>
        <w:spacing w:after="0" w:line="175"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Three Months Ended</w:t>
      </w:r>
    </w:p>
    <w:p>
      <w:pPr>
        <w:ind w:left="71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5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816"/>
              <w:spacing w:after="0" w:line="142" w:lineRule="exact"/>
              <w:rPr>
                <w:sz w:val="20"/>
                <w:szCs w:val="20"/>
                <w:color w:val="auto"/>
              </w:rPr>
            </w:pPr>
            <w:r>
              <w:rPr>
                <w:rFonts w:ascii="Arial" w:cs="Arial" w:eastAsia="Arial" w:hAnsi="Arial"/>
                <w:sz w:val="14"/>
                <w:szCs w:val="14"/>
                <w:b w:val="1"/>
                <w:bCs w:val="1"/>
                <w:color w:val="auto"/>
                <w:w w:val="83"/>
              </w:rPr>
              <w:t>2021</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right"/>
              <w:ind w:right="836"/>
              <w:spacing w:after="0" w:line="142" w:lineRule="exact"/>
              <w:rPr>
                <w:sz w:val="20"/>
                <w:szCs w:val="20"/>
                <w:color w:val="auto"/>
              </w:rPr>
            </w:pPr>
            <w:r>
              <w:rPr>
                <w:rFonts w:ascii="Arial" w:cs="Arial" w:eastAsia="Arial" w:hAnsi="Arial"/>
                <w:sz w:val="14"/>
                <w:szCs w:val="14"/>
                <w:b w:val="1"/>
                <w:bCs w:val="1"/>
                <w:color w:val="auto"/>
                <w:w w:val="83"/>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56"/>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right"/>
              <w:ind w:right="507"/>
              <w:spacing w:after="0"/>
              <w:rPr>
                <w:sz w:val="20"/>
                <w:szCs w:val="20"/>
                <w:color w:val="auto"/>
              </w:rPr>
            </w:pPr>
            <w:r>
              <w:rPr>
                <w:rFonts w:ascii="Arial" w:cs="Arial" w:eastAsia="Arial" w:hAnsi="Arial"/>
                <w:sz w:val="14"/>
                <w:szCs w:val="14"/>
                <w:b w:val="1"/>
                <w:bCs w:val="1"/>
                <w:color w:val="auto"/>
              </w:rPr>
              <w:t>Revenue</w:t>
            </w: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34,651</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service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14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32.9 %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11,980</w:t>
            </w:r>
          </w:p>
        </w:tc>
        <w:tc>
          <w:tcPr>
            <w:tcW w:w="1440" w:type="dxa"/>
            <w:vAlign w:val="bottom"/>
            <w:gridSpan w:val="4"/>
          </w:tcPr>
          <w:p>
            <w:pPr>
              <w:jc w:val="right"/>
              <w:ind w:right="10"/>
              <w:spacing w:after="0"/>
              <w:rPr>
                <w:sz w:val="20"/>
                <w:szCs w:val="20"/>
                <w:color w:val="auto"/>
              </w:rPr>
            </w:pPr>
            <w:r>
              <w:rPr>
                <w:rFonts w:ascii="Arial" w:cs="Arial" w:eastAsia="Arial" w:hAnsi="Arial"/>
                <w:sz w:val="18"/>
                <w:szCs w:val="18"/>
                <w:color w:val="auto"/>
              </w:rPr>
              <w:t>34.6 %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6,199</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34.8 %</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4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4.7 %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25,031</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14,389</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1,566</w:t>
            </w:r>
          </w:p>
        </w:tc>
        <w:tc>
          <w:tcPr>
            <w:tcW w:w="1440" w:type="dxa"/>
            <w:vAlign w:val="bottom"/>
            <w:gridSpan w:val="4"/>
          </w:tcPr>
          <w:p>
            <w:pPr>
              <w:jc w:val="right"/>
              <w:ind w:right="10"/>
              <w:spacing w:after="0"/>
              <w:rPr>
                <w:sz w:val="20"/>
                <w:szCs w:val="20"/>
                <w:color w:val="auto"/>
              </w:rPr>
            </w:pPr>
            <w:r>
              <w:rPr>
                <w:rFonts w:ascii="Arial" w:cs="Arial" w:eastAsia="Arial" w:hAnsi="Arial"/>
                <w:sz w:val="18"/>
                <w:szCs w:val="18"/>
                <w:color w:val="auto"/>
              </w:rPr>
              <w:t>4.5 %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Pro forma income tax expense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1,933</w:t>
            </w:r>
          </w:p>
        </w:tc>
        <w:tc>
          <w:tcPr>
            <w:tcW w:w="1440" w:type="dxa"/>
            <w:vAlign w:val="bottom"/>
            <w:gridSpan w:val="4"/>
          </w:tcPr>
          <w:p>
            <w:pPr>
              <w:jc w:val="right"/>
              <w:ind w:right="10"/>
              <w:spacing w:after="0"/>
              <w:rPr>
                <w:sz w:val="20"/>
                <w:szCs w:val="20"/>
                <w:color w:val="auto"/>
              </w:rPr>
            </w:pPr>
            <w:r>
              <w:rPr>
                <w:rFonts w:ascii="Arial" w:cs="Arial" w:eastAsia="Arial" w:hAnsi="Arial"/>
                <w:sz w:val="18"/>
                <w:szCs w:val="18"/>
                <w:color w:val="auto"/>
              </w:rPr>
              <w:t>5.6 %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 forma net income</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Our financial results for the three months ended September 30, 2021 compared to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reflect the addition of three de novo centers which increased our procedure rooms by six.</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Our revenue increased $16.8 million, or 94.3%, compared to the same period in 2020. The increase is the result of adding</w:t>
      </w:r>
      <w:r>
        <w:rPr>
          <w:rFonts w:ascii="Arial" w:cs="Arial" w:eastAsia="Arial" w:hAnsi="Arial"/>
          <w:sz w:val="18"/>
          <w:szCs w:val="18"/>
          <w:i w:val="1"/>
          <w:iCs w:val="1"/>
          <w:color w:val="auto"/>
        </w:rPr>
        <w:t xml:space="preserve"> </w:t>
      </w:r>
      <w:r>
        <w:rPr>
          <w:rFonts w:ascii="Arial" w:cs="Arial" w:eastAsia="Arial" w:hAnsi="Arial"/>
          <w:sz w:val="18"/>
          <w:szCs w:val="18"/>
          <w:color w:val="auto"/>
        </w:rPr>
        <w:t>three de novo centers which expanded our footprint from 13 centers to 16 centers and our number of procedure rooms from 21 to 27 as of September 30, 2021.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also increased due to our same-center case volume, which increased to 2,174 cases from 1,674 cases for the three months ended September 30, 2021 compared to the same period in 2020. This increase was primarily due to continued growth at our existing centers as we continue to increase our social media and marketing capabilities to drive our brand awareness and increase consumer acceptance for our procedures.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Cost of Service—</w:t>
      </w:r>
      <w:r>
        <w:rPr>
          <w:rFonts w:ascii="Arial" w:cs="Arial" w:eastAsia="Arial" w:hAnsi="Arial"/>
          <w:sz w:val="18"/>
          <w:szCs w:val="18"/>
          <w:color w:val="auto"/>
        </w:rPr>
        <w:t>Our cost of services increased $4.7 million, or 68.8%, compared to the three months ended September 30, 2020.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attributable to opening three de novo centers. The increase in our cost of service also relates to the increase in our same center volumes and revenue. Cost of service was 32.9% and 37.9% as a percentage of revenue for the three months ended September 30, 2021 and 2020, respectively. This decrease is due to leveraging certain fixed costs, such as rent at our facilities, as well as improved efficiencies with our clinical staff.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Selling, general and administrative expenses increased $5.8 million, or 93.3%,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2021 compared to the same period in 2020. This increase is related to additional expenses we incurred for marketing and corporate support as we grow our center count through de novo expansion and providing support for our centers. We expect these costs to continue to increase as we continue to open de novo centers and expand the support we provide to our centers. Selling, general and administrative expenses as a percent of revenue remained relatively consistent at 34.6% and 34.8% for the three months ended September 30, 2021 and 2020, respectively.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expenses consist of advertising spend for social, digital and traditional marketing and sales and marketing personnel. Total selling expenses were approximately $6.0 million and $2.6 million for the three months ended September 30, 2021 and 2020, respectively. We intend to continue investing in our sales and marketing capabilities and expect these costs to increase on an absolute dollar basis. Additionally, selling expenses as a percentage of revenue may fluctuate from quarter to quarter based on the timing and scope of our investments.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include employee-related expenses, including salaries and related costs (excluding physician and clinical cost included in cost of service), unit-based compensation, technology, operations, finance, legal, corporate office rent and human resources. General and administrative expense were approximately $6.0 million and $3.6 million for the three months ended September 30, 2021 and 2020, respectively. We expect our general and administrative expenses to increase over time in absolute dollars following the closing of our IPO due to the additional legal, accounting, insurance, investor relations and other costs that we will incur as a public company.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to approximately $1.6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$1.4 million for the same period in 2020. This increase is the result of opening three de novo centers during the 12 months ended September 30, 2021 and having a full three months of depreciation in 2021 for facilities opened during the 2020 period.</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Interest expense increased to $1.6 million from $0.5 million for the three months ended September 30, 2021 and</w:t>
      </w:r>
      <w:r>
        <w:rPr>
          <w:rFonts w:ascii="Arial" w:cs="Arial" w:eastAsia="Arial" w:hAnsi="Arial"/>
          <w:sz w:val="17"/>
          <w:szCs w:val="17"/>
          <w:i w:val="1"/>
          <w:iCs w:val="1"/>
          <w:color w:val="auto"/>
        </w:rPr>
        <w:t xml:space="preserve"> </w:t>
      </w:r>
      <w:r>
        <w:rPr>
          <w:rFonts w:ascii="Arial" w:cs="Arial" w:eastAsia="Arial" w:hAnsi="Arial"/>
          <w:sz w:val="17"/>
          <w:szCs w:val="17"/>
          <w:color w:val="auto"/>
        </w:rPr>
        <w:t>2020, respectively. The increase is the result of adding an incremental $52.0 million of senior secured term loans in May 2021.</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Pro Forma Income Tax Expense—</w:t>
      </w:r>
      <w:r>
        <w:rPr>
          <w:rFonts w:ascii="Arial" w:cs="Arial" w:eastAsia="Arial" w:hAnsi="Arial"/>
          <w:sz w:val="18"/>
          <w:szCs w:val="18"/>
          <w:color w:val="auto"/>
        </w:rPr>
        <w:t>As a result of the Reorganization, the Company became subject to taxation as a C corporation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after October 28, 2021. Our pro forma effective tax rate is 24.0% and 17.0% for the three months ended September 30,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certain results from the statements of income for each of the periods indicated and the changes between periods. The tables also show the percentage relationship to revenue for the periods indicated:</w:t>
      </w:r>
    </w:p>
    <w:p>
      <w:pPr>
        <w:spacing w:after="0" w:line="175"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Nine Months Ended</w:t>
      </w:r>
    </w:p>
    <w:p>
      <w:pPr>
        <w:ind w:left="71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5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816"/>
              <w:spacing w:after="0" w:line="142" w:lineRule="exact"/>
              <w:rPr>
                <w:sz w:val="20"/>
                <w:szCs w:val="20"/>
                <w:color w:val="auto"/>
              </w:rPr>
            </w:pPr>
            <w:r>
              <w:rPr>
                <w:rFonts w:ascii="Arial" w:cs="Arial" w:eastAsia="Arial" w:hAnsi="Arial"/>
                <w:sz w:val="14"/>
                <w:szCs w:val="14"/>
                <w:b w:val="1"/>
                <w:bCs w:val="1"/>
                <w:color w:val="auto"/>
                <w:w w:val="83"/>
              </w:rPr>
              <w:t>2021</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right"/>
              <w:ind w:right="835"/>
              <w:spacing w:after="0" w:line="142" w:lineRule="exact"/>
              <w:rPr>
                <w:sz w:val="20"/>
                <w:szCs w:val="20"/>
                <w:color w:val="auto"/>
              </w:rPr>
            </w:pPr>
            <w:r>
              <w:rPr>
                <w:rFonts w:ascii="Arial" w:cs="Arial" w:eastAsia="Arial" w:hAnsi="Arial"/>
                <w:sz w:val="14"/>
                <w:szCs w:val="14"/>
                <w:b w:val="1"/>
                <w:bCs w:val="1"/>
                <w:color w:val="auto"/>
                <w:w w:val="83"/>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55"/>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right"/>
              <w:ind w:right="507"/>
              <w:spacing w:after="0"/>
              <w:rPr>
                <w:sz w:val="20"/>
                <w:szCs w:val="20"/>
                <w:color w:val="auto"/>
              </w:rPr>
            </w:pPr>
            <w:r>
              <w:rPr>
                <w:rFonts w:ascii="Arial" w:cs="Arial" w:eastAsia="Arial" w:hAnsi="Arial"/>
                <w:sz w:val="14"/>
                <w:szCs w:val="14"/>
                <w:b w:val="1"/>
                <w:bCs w:val="1"/>
                <w:color w:val="auto"/>
              </w:rPr>
              <w:t>Revenue</w:t>
            </w: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15"/>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95,759</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39,923</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service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31,462</w:t>
            </w:r>
          </w:p>
        </w:tc>
        <w:tc>
          <w:tcPr>
            <w:tcW w:w="14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32.9 %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30,926</w:t>
            </w:r>
          </w:p>
        </w:tc>
        <w:tc>
          <w:tcPr>
            <w:tcW w:w="1440" w:type="dxa"/>
            <w:vAlign w:val="bottom"/>
            <w:gridSpan w:val="4"/>
          </w:tcPr>
          <w:p>
            <w:pPr>
              <w:jc w:val="right"/>
              <w:ind w:right="10"/>
              <w:spacing w:after="0"/>
              <w:rPr>
                <w:sz w:val="20"/>
                <w:szCs w:val="20"/>
                <w:color w:val="auto"/>
              </w:rPr>
            </w:pPr>
            <w:r>
              <w:rPr>
                <w:rFonts w:ascii="Arial" w:cs="Arial" w:eastAsia="Arial" w:hAnsi="Arial"/>
                <w:sz w:val="18"/>
                <w:szCs w:val="18"/>
                <w:color w:val="auto"/>
              </w:rPr>
              <w:t>32.3 %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16,118</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debt modification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4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0.7 %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4,664</w:t>
            </w:r>
          </w:p>
        </w:tc>
        <w:tc>
          <w:tcPr>
            <w:tcW w:w="1440" w:type="dxa"/>
            <w:vAlign w:val="bottom"/>
            <w:gridSpan w:val="4"/>
          </w:tcPr>
          <w:p>
            <w:pPr>
              <w:jc w:val="right"/>
              <w:ind w:right="10"/>
              <w:spacing w:after="0"/>
              <w:rPr>
                <w:sz w:val="20"/>
                <w:szCs w:val="20"/>
                <w:color w:val="auto"/>
              </w:rPr>
            </w:pPr>
            <w:r>
              <w:rPr>
                <w:rFonts w:ascii="Arial" w:cs="Arial" w:eastAsia="Arial" w:hAnsi="Arial"/>
                <w:sz w:val="18"/>
                <w:szCs w:val="18"/>
                <w:color w:val="auto"/>
              </w:rPr>
              <w:t>4.9 %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4,165</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5320" w:type="dxa"/>
            <w:vAlign w:val="bottom"/>
          </w:tcPr>
          <w:p>
            <w:pPr>
              <w:ind w:left="12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28,025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4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3.5 %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9"/>
        </w:trPr>
        <w:tc>
          <w:tcPr>
            <w:tcW w:w="53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24,702</w:t>
            </w: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5.0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tax expense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4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6.2 %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0"/>
        </w:trPr>
        <w:tc>
          <w:tcPr>
            <w:tcW w:w="5320" w:type="dxa"/>
            <w:vAlign w:val="bottom"/>
          </w:tcPr>
          <w:p>
            <w:pPr>
              <w:ind w:left="120"/>
              <w:spacing w:after="0"/>
              <w:rPr>
                <w:sz w:val="20"/>
                <w:szCs w:val="20"/>
                <w:color w:val="auto"/>
              </w:rPr>
            </w:pPr>
            <w:r>
              <w:rPr>
                <w:rFonts w:ascii="Arial" w:cs="Arial" w:eastAsia="Arial" w:hAnsi="Arial"/>
                <w:sz w:val="18"/>
                <w:szCs w:val="18"/>
                <w:color w:val="auto"/>
              </w:rPr>
              <w:t>Pro forma net income</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18,794</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Our financial results for the nine months ended September 30, 2021 compared to the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the addition of three de novo centers which increased our procedure rooms by six. Additionally, our 2020 results were more negatively impacted by the COVID-19 pandemic. Beginning in March 2020, as a result of federal, state, and local guidelines, we cancelled or postponed most procedures scheduled at our facilities during the second half of March 2020, much of the second quarter and a portion of the third quarter of 2020. As a result, case volumes and revenue across most of our centers were significantly impacted during the nine months ended September 30, 2020. For the nine months ended September 30, 2021, we have continued to experience improved case volumes.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Our revenue increased $55.8 million, or 139.9%, compared to the same period in 2020. The increase is the result of adding</w:t>
      </w:r>
      <w:r>
        <w:rPr>
          <w:rFonts w:ascii="Arial" w:cs="Arial" w:eastAsia="Arial" w:hAnsi="Arial"/>
          <w:sz w:val="18"/>
          <w:szCs w:val="18"/>
          <w:i w:val="1"/>
          <w:iCs w:val="1"/>
          <w:color w:val="auto"/>
        </w:rPr>
        <w:t xml:space="preserve"> </w:t>
      </w:r>
      <w:r>
        <w:rPr>
          <w:rFonts w:ascii="Arial" w:cs="Arial" w:eastAsia="Arial" w:hAnsi="Arial"/>
          <w:sz w:val="18"/>
          <w:szCs w:val="18"/>
          <w:color w:val="auto"/>
        </w:rPr>
        <w:t>three de novo centers which expanded our footprint from 13 centers to 16 centers and our number of procedure rooms from 21 to 27 as of September 30,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also increased due to our same-center case volume, which increased to 6,733 cases from 3,843 cases for the nine months ended September 30, 2021 compared to the same period in 2020. This increase was primarily due to the lessening effect of the COVID-19 pandemic which decreased case volume primarily in the second and third quarters of 2020. Further, the increase is partially due to our continued investment in social media and marketing capabilities to drive our brand awareness and increase consumer acceptance for our procedures.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Cost of Service—</w:t>
      </w:r>
      <w:r>
        <w:rPr>
          <w:rFonts w:ascii="Arial" w:cs="Arial" w:eastAsia="Arial" w:hAnsi="Arial"/>
          <w:sz w:val="17"/>
          <w:szCs w:val="17"/>
          <w:color w:val="auto"/>
        </w:rPr>
        <w:t>Our cost of service increased $15.6 million, or 98.5%, compared to the nine months ended September 30, 2020.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is primarily attributable to opening three de novo centers. The increase in our cost of service also relates to the increase in our same center volume and revenue which was due to the lessening effect of the COVID-19 pandemic during the nine months ended September 30, 2021 compared to the nine months ended September 30, 2020. Cost of service was 32.9% and 39.7% as a percentage of revenue for the nine months ended September 30, 2021 and 2020, respectively. This decrease is due to leveraging certain fixed costs, such as rent at our facilities, as well as improved efficiencies with our clinical staff.</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increased $14.8 million, or 91.9%,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2021 compared to the same period in 2020. This increase is related to additional expenses we incurred for marketing and corporate support as we grow our center count through de novo expansion and providing support for our centers. We expect these costs to continue to increase as we continue to open de novo centers and expand the support we provide to our centers. Selling, general and administrative expenses as a percent of revenue were 32.3% and 40.4% for the nine months ended September 30, 2021 and 2020, respectively. This decline was due to leveraging some of our fixed general and administrative costs discussed further below.</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expenses consist of advertising spend for social, digital and traditional marketing and sales and marketing personnel. Total selling expenses were approximately $13.5 million and $6.3 million for the nine months ended September 30, 2021 and 2020, respectively. We intend to continue investing in our sales and marketing capabilities and expect these costs to increase on an absolute dollar basis. Additionally, selling expenses as a percentage of revenue may fluctuate from quarter to quarter based on the timing and scope of our investments.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include employee-related expenses, including salaries and related costs (excluding physician and clinical cost included in cost of service), unit-based compensation, technology, operations, finance, legal, corporate office rent and human resources. General and administrative expense were approximately $17.4 million and $9.8 million for the nine months ended September 30, 2021 and 2020, respectively. We expect our general and administrative expenses to increase over time in absolute dollars following the closing of our IPO due to the additional legal, accounting, insurance, investor relations and other costs that we will incur as a public company.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to approximately $4.7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$4.2 million for the same period in 2020. This increase is the result of opening three de novo centers during the 12 months ended September 30, 2021 and having a full nine months of depreciation in 2021 for facilities opened during the 2020 period.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Loss on debt modification—</w:t>
      </w:r>
      <w:r>
        <w:rPr>
          <w:rFonts w:ascii="Arial" w:cs="Arial" w:eastAsia="Arial" w:hAnsi="Arial"/>
          <w:sz w:val="18"/>
          <w:szCs w:val="18"/>
          <w:color w:val="auto"/>
        </w:rPr>
        <w:t>We recognized a $682,000 loss related to amending our existing credit agreement in May 2021, adding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$52.0 million of senior secured term loans.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Interest expense increased to $3.3 million from $1.8 million for the nine months ended September 30, 2021 and</w:t>
      </w:r>
      <w:r>
        <w:rPr>
          <w:rFonts w:ascii="Arial" w:cs="Arial" w:eastAsia="Arial" w:hAnsi="Arial"/>
          <w:sz w:val="17"/>
          <w:szCs w:val="17"/>
          <w:i w:val="1"/>
          <w:iCs w:val="1"/>
          <w:color w:val="auto"/>
        </w:rPr>
        <w:t xml:space="preserve"> </w:t>
      </w:r>
      <w:r>
        <w:rPr>
          <w:rFonts w:ascii="Arial" w:cs="Arial" w:eastAsia="Arial" w:hAnsi="Arial"/>
          <w:sz w:val="17"/>
          <w:szCs w:val="17"/>
          <w:color w:val="auto"/>
        </w:rPr>
        <w:t>2020, respectively. The increase is the result of adding an incremental $52.0 million of senior secured term loans in May 2021.</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 Forma Income Tax Expense— </w:t>
      </w:r>
      <w:r>
        <w:rPr>
          <w:rFonts w:ascii="Arial" w:cs="Arial" w:eastAsia="Arial" w:hAnsi="Arial"/>
          <w:sz w:val="18"/>
          <w:szCs w:val="18"/>
          <w:color w:val="auto"/>
        </w:rPr>
        <w:t>As a result of the Reorganization, the Company became subject to taxation as a C corporation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after October 28, 2021. Our pro forma effective tax rate is 23.9% and 24.7% for the nine months ended September 30, 2021 and 2020,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as well as information technology and infrastructure, including our corporate office. We believe that cash expected to be generated from operations and the availability of borrowings under the revolving credit facility will be sufficient for our working capital requirements, liquidity obligations, anticipated capital expenditures relating to the opening of de novo centers, adding new procedure rooms to our existing locations and payments due under our existing credit facilities for at least the next 12 months.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we had $20.7 million in cash and cash equivalents and an available amount of $5.0 million under our revolving credit facility. We do not have any letters of credit outstanding as of September 30,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net cash provided by (used for) operating activities, investing activities and financing activities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4"/>
              </w:rPr>
              <w:t>Nine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vMerge w:val="continue"/>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For):</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32,339</w:t>
            </w:r>
          </w:p>
        </w:tc>
        <w:tc>
          <w:tcPr>
            <w:tcW w:w="280" w:type="dxa"/>
            <w:vAlign w:val="bottom"/>
          </w:tcPr>
          <w:p>
            <w:pPr>
              <w:spacing w:after="0"/>
              <w:rPr>
                <w:sz w:val="18"/>
                <w:szCs w:val="18"/>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(4,726)</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(17,254)</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cash and cash equivalents</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source of our operating cash flow is the collection of patient payments received prior to performing surgical procedures. For the nine months ended September 30, 2021, our operating cash flow increased by $25.6 million compared to the same period in 2020. This increase is primarily driven by improved income from operations related to opening three new centers in the 12 months ended September 30, 2021 and an increase in same center volumes and revenue which were impacted by the COVID-19 pandemic in the second and third quarters of 2020. At September 30, 2021, we had working capital of $8.5 million compared to $2.1 million at December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2021 and 2020 was $4.7 million and $2.5 million, respectively. These expenditures were used to open new de novo centers and invest in improvements to our medical equipment and technology during the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investing activities during the nine months ended September 30, 2021 as compared to the nine months ended September 30, 2020 was partially attributable to the impact of COVID-19 limiting our ability to fully execute our de novo center growth strategy during 2020 and an increased investment in improving our medical equipment and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cash used in financing activities during the nine months ended September 30, 2021 was $17.3 million. During the nine months ended September 30, 2021, we received cash (net of fees) of $50.0 million from amending our existing credit agreement, adding an incremental $52.0 million in senior secured term loans. We used the proceeds from these borrowings plus approximately $10.0 million of cash from our balance sheet to pay $59.7 million of distributions to our member. We had further distributions to our member during the nine months ended September 30, 2021 of $6.9 million and made scheduled principal payments on our debt of $626,000.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financing activities for the nine months ended September 30, 2020 was $2.4 million. For the nine months ended September 30, 2020, we made distributions to our member of $4.6 million and paid scheduled principal payments on our debt of $301,000. This was offset by borrowings on our revolver of $2.5 million during the nine months ended September 30,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 of our total indebtedness was $83.0 million and $32.5 million, which includes unamortized deferred financing costs and issuance discount of $1.5 million and $0.6 million, as of September 30, 2021 and December 31,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and Revolving Credit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2018, we entered into our credit agreement with First Eagle Alternative Capital (formerly known as THL Corporate Finance). Under the terms of the credit agreement, we obtained a $34.0 million term loan and a $5.0 million revolving credit facility. Principal payments on the term loan commenced in January 2019 and are paid quarterly in the amount of $100,000 through the maturity date on October 2, 2023 when all remaining unpaid principal shall be due. The term loan is presented as long-term debt, net of debt issuance costs.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2021, we amended the credit agreement by adding an incremental $52.0 million senior secured term loan to the existing term loan. The proceeds from this incremental loan plus excess cash on our balance sheet were used to pay a distribution to our member of approximately $59.7 million and the related fees for this transaction. Beginning on June 30, 2021, our quarterly principal payments increased from $100,000 to $212,500.</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credit agreement, we are obligated to make interest payments on the last day of each month. All outstanding loans bear interest based on either a base rate or LIBOR (in all cases, the LIBOR component has a floor of 1%) plus an applicable per annum margin of 4.5% (base rate) or 5.5% (LIBOR) if our total leverage ratio, as defined in the credit agreement, is equal to or greater than 2.5x and less than 4.25x. If our total leverage ratio is equal to or greater than 4.25x, the interest is based on either a base rate or LIBOR plus an applicable per annum margin of 5.0% (base rate) or 6.0% (LIBOR). If our total leverage ratio is below 2.5x, the interest is based on either a base rate or LIBOR plus an applicable per annum margin of 4.0% (base rate) or 5.0% (LIBOR). At September 30, 2021, the applicable per annum margins under the credit agreement were 4.0% (base rate) and 5.0% (LIBOR). Additionally, we are required to pay an unused credit facility fee equal to 0.5% per annum on the unused amount of the revolving line of credit.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total leverage ratio exceeds 4.25x for the preceding twelve-month period the principal payment on the term loan is $250,000 per quarter or, beginning on September 30, 2021, $531,250 per quarter. Also, additional principal prepayments could be required if excess cash flow exists, as defined in the credit agreement.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borrowings under the credit facility are collateralized by substantially all our assets. We are subject to certain restrictive financial covenants including quarterly total leverage ratio and fixed charge ratio requirements and a limit on capital expenditures. We are in compliance with all covenants and have no letters of credit outstanding as of September 30, 2021 and December 31, 2020.</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25, 2021, we amended certain provisions in our credit agreement related to the IPO transaction. The amendment revises certain definitions and covenant requirements but does not change the timing or amount of principal payments or interest due under the agreement. As of October 25, 2021, we were in compliance with all revised covenant requirements. We did not make any payments on our debt with the IPO proceeds received during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of September 30, 2021 and December 31,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summary of significant accounting policies is disclosed in our Prospectus dated October 28, 2021 filed with the Securities and Exchange Commission (“SEC”) pursuant to Rule 424(b) of the Securities Act of 1933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since October 28,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market risk exposure is changing interest rates. Interest rate risk is highly sensitive due to many factors, including United States monetary and tax policies, United States and international economic factors and other factors beyond our control. Our Credit Agreement bears interest at a floating rate equal to either LIBOR plus 5.5% or a base rate plus 4.5% if the Company’s total leverage is equal to or greater than 2.5x and less than 4.25x as defined in our Credit Agreement. As of September 30, 2021, we had term loan borrowings of $84.5 million in principal amount under the Loan Agreement. Based on the amount outstanding, a 100 basis point increase or decrease in market interest rates over a twelve-month period would result in a change to interest expense of approximately $0.8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as a privately held company, we have maintained internal controls over financial reporting. However, these internal controls have not been subject to the testing required under the standards of publicly traded companies by Section 404 of Sarbanes-Oxley. We are not currently required to comply with SEC rules that implement Sections 302 and 404 of the Sarbanes-Oxley Act, and are therefore not required to make a formal assessment of the effectiveness of our internal controls over financial reporting for that purpose. However, at such time as Section 302 of the Sarbanes-Oxley Act is applicable to us, we will be required to evaluate our internal controls over financial reporting.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the end of the period covered by this 10-Q Report,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September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with respect to the risk factors discussed in our Prospectus dated October 28, 2021 filed with the Securities and Exchange Commission (“SEC”) pursuant to Rule 424(b) of the Securities Act of 1933.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28, 2021, our Registration Statement on Form S-1, as amended (File No. 333-260067) was declared effective in connection with our initial public offering, pursuant to which we sold an aggregate of 8,050,000 shares of our common stock, including the full exercise of the underwriters’ option to purchase additional shares, at a price to the public of $11.00 per share. Morgan Stanley &amp; Co. LLC, Piper Sandler &amp; Co. and SVB Leerink LLC acted as representatives of the underwriters.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public offering closed on November 2, 2021. The aggregate net proceeds received by the Company from the initial public offering were approximately $17.7 million, after deducting underwriting discounts and commissions of $6.2 million, but before deducting offering expenses payable by the Company, which were approximately $4.2 million. In connection with our initial public offering, no payments were made by us to directors, officers or persons owning ten percent or more of our common stock or to their associates or to our affiliates. There has been no material change in the planned use of proceeds from our initial public offering as described in our prospectus filed pursuant to Rule 424(b)(4) under the Securities Act with the SEC on October 29, 2021.</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20" w:type="dxa"/>
            <w:vAlign w:val="bottom"/>
            <w:gridSpan w:val="10"/>
            <w:vMerge w:val="restart"/>
          </w:tcPr>
          <w:p>
            <w:pPr>
              <w:ind w:left="180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26"/>
        </w:trPr>
        <w:tc>
          <w:tcPr>
            <w:tcW w:w="12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0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26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8660" w:type="dxa"/>
            <w:vAlign w:val="bottom"/>
            <w:gridSpan w:val="12"/>
          </w:tcPr>
          <w:p>
            <w:pPr>
              <w:spacing w:after="0" w:line="169" w:lineRule="exact"/>
              <w:rPr>
                <w:rFonts w:ascii="Arial" w:cs="Arial" w:eastAsia="Arial" w:hAnsi="Arial"/>
                <w:sz w:val="18"/>
                <w:szCs w:val="18"/>
                <w:color w:val="0000EE"/>
                <w:w w:val="94"/>
              </w:rPr>
            </w:pPr>
            <w:hyperlink r:id="rId39">
              <w:r>
                <w:rPr>
                  <w:rFonts w:ascii="Arial" w:cs="Arial" w:eastAsia="Arial" w:hAnsi="Arial"/>
                  <w:sz w:val="18"/>
                  <w:szCs w:val="18"/>
                  <w:color w:val="0000EE"/>
                  <w:w w:val="94"/>
                </w:rPr>
                <w:t>Amended and Restated Certificate of Incorporation of the Registrant (incorporated by reference to Exhibit 3.1 of the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39">
              <w:r>
                <w:rPr>
                  <w:rFonts w:ascii="Arial" w:cs="Arial" w:eastAsia="Arial" w:hAnsi="Arial"/>
                  <w:sz w:val="18"/>
                  <w:szCs w:val="18"/>
                  <w:color w:val="0000EE"/>
                  <w:w w:val="94"/>
                </w:rPr>
                <w:t>Company’s Current Report on Form 8-K (File No. 001-40973), filed with the Securities and Exchange Commission</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39">
              <w:r>
                <w:rPr>
                  <w:rFonts w:ascii="Arial" w:cs="Arial" w:eastAsia="Arial" w:hAnsi="Arial"/>
                  <w:sz w:val="18"/>
                  <w:szCs w:val="18"/>
                  <w:color w:val="0000EE"/>
                  <w:w w:val="90"/>
                </w:rPr>
                <w:t>on November 2, 2021)</w:t>
              </w:r>
            </w:hyperlink>
          </w:p>
        </w:tc>
        <w:tc>
          <w:tcPr>
            <w:tcW w:w="70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Amended and Restated By-Laws of the Registrant (incorporated by reference to Exhibit 3.2 of the Company’s Current</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Report on Form 8-K (File No. 001-40973), filed with the Securities and Exchange Commission on November 2, 2021)</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85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41">
              <w:r>
                <w:rPr>
                  <w:rFonts w:ascii="Arial" w:cs="Arial" w:eastAsia="Arial" w:hAnsi="Arial"/>
                  <w:sz w:val="18"/>
                  <w:szCs w:val="18"/>
                  <w:color w:val="0000EE"/>
                  <w:w w:val="94"/>
                </w:rPr>
                <w:t>Form of Indemnification Agreement by and between the Registrant and each of its directors and executive officers</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58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r:id="rId41">
              <w:r>
                <w:rPr>
                  <w:rFonts w:ascii="Arial" w:cs="Arial" w:eastAsia="Arial" w:hAnsi="Arial"/>
                  <w:sz w:val="18"/>
                  <w:szCs w:val="18"/>
                  <w:color w:val="0000EE"/>
                  <w:w w:val="97"/>
                </w:rPr>
                <w:t>(incorporated by reference to Exhibit 10.1 of the Company’s Registration Statement on Form S-1 (File No. 333-</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660" w:type="dxa"/>
            <w:vAlign w:val="bottom"/>
            <w:gridSpan w:val="12"/>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260067)</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Securities and Exchange Commission on October 28, 2021)</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5"/>
              </w:rPr>
              <w:t>10.2</w:t>
            </w:r>
          </w:p>
        </w:tc>
        <w:tc>
          <w:tcPr>
            <w:tcW w:w="8660" w:type="dxa"/>
            <w:vAlign w:val="bottom"/>
            <w:gridSpan w:val="12"/>
          </w:tcPr>
          <w:p>
            <w:pPr>
              <w:spacing w:after="0" w:line="196" w:lineRule="exact"/>
              <w:rPr>
                <w:rFonts w:ascii="Arial" w:cs="Arial" w:eastAsia="Arial" w:hAnsi="Arial"/>
                <w:sz w:val="18"/>
                <w:szCs w:val="18"/>
                <w:color w:val="0000EE"/>
                <w:w w:val="96"/>
              </w:rPr>
            </w:pPr>
            <w:hyperlink r:id="rId42">
              <w:r>
                <w:rPr>
                  <w:rFonts w:ascii="Arial" w:cs="Arial" w:eastAsia="Arial" w:hAnsi="Arial"/>
                  <w:sz w:val="18"/>
                  <w:szCs w:val="18"/>
                  <w:color w:val="0000EE"/>
                  <w:w w:val="96"/>
                </w:rPr>
                <w:t>Fifth Amendment to Credit Agreement by and among the Registrant, EBS Enterprises LLC, the Guarantors party</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thereto, the Lenders party thereto and First Eagle Alternative Capital Agents, Inc. (formerly known as THL Corporate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Finance), as Agent (incorporated by reference to Exhibit 10.2 of the Company’s Registration Statement on Form S-1</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70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(File No. 333-260067), filed with the Securities and Exchange Commission on October 28, 2021)</w:t>
              </w:r>
            </w:hyperlink>
          </w:p>
        </w:tc>
        <w:tc>
          <w:tcPr>
            <w:tcW w:w="16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5"/>
              </w:rPr>
              <w:t>10.3</w:t>
            </w:r>
          </w:p>
        </w:tc>
        <w:tc>
          <w:tcPr>
            <w:tcW w:w="85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43">
              <w:r>
                <w:rPr>
                  <w:rFonts w:ascii="Arial" w:cs="Arial" w:eastAsia="Arial" w:hAnsi="Arial"/>
                  <w:sz w:val="18"/>
                  <w:szCs w:val="18"/>
                  <w:color w:val="0000EE"/>
                  <w:w w:val="93"/>
                </w:rPr>
                <w:t>Form of Management Services Agreement (incorporated by reference to Exhibit 10.3 of the Company’s Registration</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660" w:type="dxa"/>
            <w:vAlign w:val="bottom"/>
            <w:gridSpan w:val="12"/>
          </w:tcPr>
          <w:p>
            <w:pPr>
              <w:spacing w:after="0" w:line="196" w:lineRule="exact"/>
              <w:rPr>
                <w:rFonts w:ascii="Arial" w:cs="Arial" w:eastAsia="Arial" w:hAnsi="Arial"/>
                <w:sz w:val="18"/>
                <w:szCs w:val="18"/>
                <w:color w:val="0000EE"/>
                <w:w w:val="95"/>
              </w:rPr>
            </w:pPr>
            <w:hyperlink r:id="rId43">
              <w:r>
                <w:rPr>
                  <w:rFonts w:ascii="Arial" w:cs="Arial" w:eastAsia="Arial" w:hAnsi="Arial"/>
                  <w:sz w:val="18"/>
                  <w:szCs w:val="18"/>
                  <w:color w:val="0000EE"/>
                  <w:w w:val="95"/>
                </w:rPr>
                <w:t>Statement on Form S-1 (File No. 333-260067), filed with the Securities and Exchange Commission on October 28,</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3">
              <w:r>
                <w:rPr>
                  <w:rFonts w:ascii="Arial" w:cs="Arial" w:eastAsia="Arial" w:hAnsi="Arial"/>
                  <w:sz w:val="18"/>
                  <w:szCs w:val="18"/>
                  <w:color w:val="0000EE"/>
                  <w:w w:val="86"/>
                </w:rPr>
                <w:t>2021)</w:t>
              </w:r>
            </w:hyperlink>
          </w:p>
        </w:tc>
        <w:tc>
          <w:tcPr>
            <w:tcW w:w="122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5"/>
              </w:rPr>
              <w:t>10.4</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44">
              <w:r>
                <w:rPr>
                  <w:rFonts w:ascii="Arial" w:cs="Arial" w:eastAsia="Arial" w:hAnsi="Arial"/>
                  <w:sz w:val="18"/>
                  <w:szCs w:val="18"/>
                  <w:color w:val="0000EE"/>
                  <w:w w:val="94"/>
                </w:rPr>
                <w:t>Form of Continuity Agreement (incorporated by reference to Exhibit 10.4 of the Company’s Registration Statement</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660" w:type="dxa"/>
            <w:vAlign w:val="bottom"/>
            <w:gridSpan w:val="12"/>
          </w:tcPr>
          <w:p>
            <w:pPr>
              <w:spacing w:after="0" w:line="196" w:lineRule="exact"/>
              <w:rPr>
                <w:rFonts w:ascii="Arial" w:cs="Arial" w:eastAsia="Arial" w:hAnsi="Arial"/>
                <w:sz w:val="18"/>
                <w:szCs w:val="18"/>
                <w:color w:val="0000EE"/>
                <w:w w:val="98"/>
              </w:rPr>
            </w:pPr>
            <w:hyperlink r:id="rId44">
              <w:r>
                <w:rPr>
                  <w:rFonts w:ascii="Arial" w:cs="Arial" w:eastAsia="Arial" w:hAnsi="Arial"/>
                  <w:sz w:val="18"/>
                  <w:szCs w:val="18"/>
                  <w:color w:val="0000EE"/>
                  <w:w w:val="98"/>
                </w:rPr>
                <w:t>on Form S-1 (File No. 333-260067), filed with the Securities and Exchange Commission on October 28, 2021)</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580" w:type="dxa"/>
            <w:vAlign w:val="bottom"/>
            <w:gridSpan w:val="3"/>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2"/>
              </w:rPr>
              <w:t>10.5+</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Amended and Restated Employment Agreement between EBS Enterprises, LLC and Dr. Aaron Rollins (incorporated</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by reference to Exhibit 10.5 of the Company’s Registration Statement on Form S-1 (File No. 333-260067), filed with</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5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the Securities and Exchange Commission on October 28, 2021)</w:t>
              </w:r>
            </w:hyperlink>
          </w:p>
        </w:tc>
        <w:tc>
          <w:tcPr>
            <w:tcW w:w="4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2"/>
              </w:rPr>
              <w:t>10.6+</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46">
              <w:r>
                <w:rPr>
                  <w:rFonts w:ascii="Arial" w:cs="Arial" w:eastAsia="Arial" w:hAnsi="Arial"/>
                  <w:sz w:val="18"/>
                  <w:szCs w:val="18"/>
                  <w:color w:val="0000EE"/>
                  <w:w w:val="94"/>
                </w:rPr>
                <w:t>2021 Equity Incentive Plan (incorporated by reference to Exhibit 10.6 of the Company’s Registration Statement on</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660" w:type="dxa"/>
            <w:vAlign w:val="bottom"/>
            <w:gridSpan w:val="12"/>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Form S-1 (File No. 333-260067), filed with the Securities and Exchange Commission on October 28, 2021)</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0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2"/>
              </w:rPr>
              <w:t>10.7+</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Form of AirSculpt Technologies, Inc. RSU Award Grant Notice and Award Agreement (2021 Equity Incentive Plan)</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(IPO Grants) (incorporated by reference to Exhibit 10.7 of the Company’s Registration Statement on Form S-1 (File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660" w:type="dxa"/>
            <w:vAlign w:val="bottom"/>
            <w:gridSpan w:val="12"/>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No. 333-260067), filed with the Securities and Exchange Commission on October 28, 2021)</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0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2"/>
              </w:rPr>
              <w:t>10.8+</w:t>
            </w:r>
          </w:p>
        </w:tc>
        <w:tc>
          <w:tcPr>
            <w:tcW w:w="85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48">
              <w:r>
                <w:rPr>
                  <w:rFonts w:ascii="Arial" w:cs="Arial" w:eastAsia="Arial" w:hAnsi="Arial"/>
                  <w:sz w:val="18"/>
                  <w:szCs w:val="18"/>
                  <w:color w:val="0000EE"/>
                  <w:w w:val="94"/>
                </w:rPr>
                <w:t>Form of AirSculpt Technologies, Inc. PSU Award Grant Notice and Award Agreement (2021 Equity Incentive Plan)</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48">
              <w:r>
                <w:rPr>
                  <w:rFonts w:ascii="Arial" w:cs="Arial" w:eastAsia="Arial" w:hAnsi="Arial"/>
                  <w:sz w:val="18"/>
                  <w:szCs w:val="18"/>
                  <w:color w:val="0000EE"/>
                  <w:w w:val="93"/>
                </w:rPr>
                <w:t>(IPO Grants) (incorporated by reference to Exhibit 10.8 of the Company’s Registration Statement on Form S-1 (File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660" w:type="dxa"/>
            <w:vAlign w:val="bottom"/>
            <w:gridSpan w:val="12"/>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No. 333-260067), filed with the Securities and Exchange Commission on October 28, 2021)</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0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2"/>
              </w:rPr>
              <w:t>10.9+</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Amended and Restated Employment Agreement between EBS Enterprises, LLC and Ronald Zelhof (incorporated by</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49">
              <w:r>
                <w:rPr>
                  <w:rFonts w:ascii="Arial" w:cs="Arial" w:eastAsia="Arial" w:hAnsi="Arial"/>
                  <w:sz w:val="18"/>
                  <w:szCs w:val="18"/>
                  <w:color w:val="0000EE"/>
                  <w:w w:val="94"/>
                </w:rPr>
                <w:t>reference to Exhibit 10.10 of the Company’s Registration Statement on Form S-1 (File No. 333-260067), filed with</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5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the Securities and Exchange Commission on October 28, 2021)</w:t>
              </w:r>
            </w:hyperlink>
          </w:p>
        </w:tc>
        <w:tc>
          <w:tcPr>
            <w:tcW w:w="4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10.10+</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Amended and Restated Employment Agreement between EBS Enterprises, LLC and Dennis Dean (incorporated by</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50">
              <w:r>
                <w:rPr>
                  <w:rFonts w:ascii="Arial" w:cs="Arial" w:eastAsia="Arial" w:hAnsi="Arial"/>
                  <w:sz w:val="18"/>
                  <w:szCs w:val="18"/>
                  <w:color w:val="0000EE"/>
                  <w:w w:val="94"/>
                </w:rPr>
                <w:t>reference to Exhibit 10.12 of the Company’s Registration Statement on Form S-1 (File No. 333-260067), filed with</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5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the Securities and Exchange Commission on October 28, 2021)</w:t>
              </w:r>
            </w:hyperlink>
          </w:p>
        </w:tc>
        <w:tc>
          <w:tcPr>
            <w:tcW w:w="4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10.11+</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51">
              <w:r>
                <w:rPr>
                  <w:rFonts w:ascii="Arial" w:cs="Arial" w:eastAsia="Arial" w:hAnsi="Arial"/>
                  <w:sz w:val="18"/>
                  <w:szCs w:val="18"/>
                  <w:color w:val="0000EE"/>
                  <w:w w:val="96"/>
                </w:rPr>
                <w:t>Form of Restricted Stock Agreement between AirSculpt Technologies, Inc., EBS Parent LLC and Ronald Zelhof</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660" w:type="dxa"/>
            <w:vAlign w:val="bottom"/>
            <w:gridSpan w:val="12"/>
          </w:tcPr>
          <w:p>
            <w:pPr>
              <w:spacing w:after="0" w:line="196" w:lineRule="exact"/>
              <w:rPr>
                <w:rFonts w:ascii="Arial" w:cs="Arial" w:eastAsia="Arial" w:hAnsi="Arial"/>
                <w:sz w:val="18"/>
                <w:szCs w:val="18"/>
                <w:color w:val="0000EE"/>
                <w:w w:val="97"/>
              </w:rPr>
            </w:pPr>
            <w:hyperlink r:id="rId51">
              <w:r>
                <w:rPr>
                  <w:rFonts w:ascii="Arial" w:cs="Arial" w:eastAsia="Arial" w:hAnsi="Arial"/>
                  <w:sz w:val="18"/>
                  <w:szCs w:val="18"/>
                  <w:color w:val="0000EE"/>
                  <w:w w:val="97"/>
                </w:rPr>
                <w:t>(incorporated by reference to Exhibit 10.13 of the Company’s Registration Statement on Form S-1(File No. 333-</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5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260067)</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Securities and Exchange Commission on October 28, 2021)</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260" w:type="dxa"/>
            <w:vAlign w:val="bottom"/>
          </w:tcPr>
          <w:p>
            <w:pPr>
              <w:spacing w:after="0"/>
              <w:rPr>
                <w:sz w:val="24"/>
                <w:szCs w:val="24"/>
                <w:color w:val="auto"/>
              </w:rPr>
            </w:pPr>
          </w:p>
        </w:tc>
        <w:tc>
          <w:tcPr>
            <w:tcW w:w="4580" w:type="dxa"/>
            <w:vAlign w:val="bottom"/>
            <w:tcBorders>
              <w:top w:val="single" w:sz="8" w:color="0000EE"/>
            </w:tcBorders>
            <w:gridSpan w:val="3"/>
          </w:tcPr>
          <w:p>
            <w:pPr>
              <w:ind w:left="3620"/>
              <w:spacing w:after="0"/>
              <w:rPr>
                <w:sz w:val="20"/>
                <w:szCs w:val="20"/>
                <w:color w:val="auto"/>
              </w:rPr>
            </w:pPr>
            <w:r>
              <w:rPr>
                <w:rFonts w:ascii="Arial" w:cs="Arial" w:eastAsia="Arial" w:hAnsi="Arial"/>
                <w:sz w:val="18"/>
                <w:szCs w:val="18"/>
                <w:color w:val="auto"/>
              </w:rPr>
              <w:t>28</w:t>
            </w:r>
          </w:p>
        </w:tc>
        <w:tc>
          <w:tcPr>
            <w:tcW w:w="14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3"/>
              </w:rPr>
              <w:t>10.12+</w:t>
            </w:r>
          </w:p>
        </w:tc>
        <w:tc>
          <w:tcPr>
            <w:tcW w:w="8560" w:type="dxa"/>
            <w:vAlign w:val="bottom"/>
            <w:tcBorders>
              <w:bottom w:val="single" w:sz="8" w:color="0000EE"/>
            </w:tcBorders>
            <w:gridSpan w:val="10"/>
          </w:tcPr>
          <w:p>
            <w:pPr>
              <w:spacing w:after="0"/>
              <w:rPr>
                <w:rFonts w:ascii="Arial" w:cs="Arial" w:eastAsia="Arial" w:hAnsi="Arial"/>
                <w:sz w:val="18"/>
                <w:szCs w:val="18"/>
                <w:color w:val="0000EE"/>
                <w:w w:val="93"/>
              </w:rPr>
            </w:pPr>
            <w:hyperlink r:id="rId52">
              <w:r>
                <w:rPr>
                  <w:rFonts w:ascii="Arial" w:cs="Arial" w:eastAsia="Arial" w:hAnsi="Arial"/>
                  <w:sz w:val="18"/>
                  <w:szCs w:val="18"/>
                  <w:color w:val="0000EE"/>
                  <w:w w:val="93"/>
                </w:rPr>
                <w:t>Form of AirSculpt Technologies, Inc. RSU Award Grant Notice and Award Agreement (2021 Equity Incentive Plan)</w:t>
              </w:r>
            </w:hyperlink>
          </w:p>
        </w:tc>
      </w:tr>
      <w:tr>
        <w:trPr>
          <w:trHeight w:val="196"/>
        </w:trPr>
        <w:tc>
          <w:tcPr>
            <w:tcW w:w="1060" w:type="dxa"/>
            <w:vAlign w:val="bottom"/>
          </w:tcPr>
          <w:p>
            <w:pPr>
              <w:spacing w:after="0"/>
              <w:rPr>
                <w:sz w:val="17"/>
                <w:szCs w:val="17"/>
                <w:color w:val="auto"/>
              </w:rPr>
            </w:pPr>
          </w:p>
        </w:tc>
        <w:tc>
          <w:tcPr>
            <w:tcW w:w="8560" w:type="dxa"/>
            <w:vAlign w:val="bottom"/>
            <w:gridSpan w:val="10"/>
          </w:tcPr>
          <w:p>
            <w:pPr>
              <w:spacing w:after="0" w:line="196" w:lineRule="exact"/>
              <w:rPr>
                <w:rFonts w:ascii="Arial" w:cs="Arial" w:eastAsia="Arial" w:hAnsi="Arial"/>
                <w:sz w:val="18"/>
                <w:szCs w:val="18"/>
                <w:color w:val="0000EE"/>
                <w:w w:val="96"/>
              </w:rPr>
            </w:pPr>
            <w:hyperlink r:id="rId52">
              <w:r>
                <w:rPr>
                  <w:rFonts w:ascii="Arial" w:cs="Arial" w:eastAsia="Arial" w:hAnsi="Arial"/>
                  <w:sz w:val="18"/>
                  <w:szCs w:val="18"/>
                  <w:color w:val="0000EE"/>
                  <w:w w:val="96"/>
                </w:rPr>
                <w:t>(incorporated by reference to Exhibit 10.14 of the Company’s Registration Statement on Form S-1(File No. 333-</w:t>
              </w:r>
            </w:hyperlink>
          </w:p>
        </w:tc>
      </w:tr>
      <w:tr>
        <w:trPr>
          <w:trHeight w:val="196"/>
        </w:trPr>
        <w:tc>
          <w:tcPr>
            <w:tcW w:w="106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260067)</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 xml:space="preserve"> filed with the Securities and Exchange Commission on October 28, 2021)</w:t>
              </w:r>
            </w:hyperlink>
          </w:p>
        </w:tc>
        <w:tc>
          <w:tcPr>
            <w:tcW w:w="254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93"/>
              </w:rPr>
              <w:t>10.13+</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Employee Covenants Agreement, dated as of October 2, 2018, by and between EBS Enterprises, LLC and Dr. Aaron</w:t>
              </w:r>
            </w:hyperlink>
          </w:p>
        </w:tc>
      </w:tr>
      <w:tr>
        <w:trPr>
          <w:trHeight w:val="196"/>
        </w:trPr>
        <w:tc>
          <w:tcPr>
            <w:tcW w:w="1060" w:type="dxa"/>
            <w:vAlign w:val="bottom"/>
          </w:tcPr>
          <w:p>
            <w:pPr>
              <w:spacing w:after="0"/>
              <w:rPr>
                <w:sz w:val="17"/>
                <w:szCs w:val="17"/>
                <w:color w:val="auto"/>
              </w:rPr>
            </w:pP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Rollins (incorporated by reference to Exhibit 10.15 of the Company’s Registration Statement on Form S-1(File No.</w:t>
              </w:r>
            </w:hyperlink>
          </w:p>
        </w:tc>
      </w:tr>
      <w:tr>
        <w:trPr>
          <w:trHeight w:val="196"/>
        </w:trPr>
        <w:tc>
          <w:tcPr>
            <w:tcW w:w="1060" w:type="dxa"/>
            <w:vAlign w:val="bottom"/>
          </w:tcPr>
          <w:p>
            <w:pPr>
              <w:spacing w:after="0"/>
              <w:rPr>
                <w:sz w:val="17"/>
                <w:szCs w:val="17"/>
                <w:color w:val="auto"/>
              </w:rPr>
            </w:pPr>
          </w:p>
        </w:tc>
        <w:tc>
          <w:tcPr>
            <w:tcW w:w="8560" w:type="dxa"/>
            <w:vAlign w:val="bottom"/>
            <w:gridSpan w:val="10"/>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333-260067), filed with the Securities and Exchange Commission on October 28, 2021)</w:t>
              </w:r>
            </w:hyperlink>
          </w:p>
        </w:tc>
      </w:tr>
      <w:tr>
        <w:trPr>
          <w:trHeight w:val="20"/>
        </w:trPr>
        <w:tc>
          <w:tcPr>
            <w:tcW w:w="106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106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93"/>
              </w:rPr>
              <w:t>10.14+</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First Amendment to Employee Covenants Agreement, dated as of October 5, 2021, by and between EBS Enterprises,</w:t>
              </w:r>
            </w:hyperlink>
          </w:p>
        </w:tc>
      </w:tr>
      <w:tr>
        <w:trPr>
          <w:trHeight w:val="196"/>
        </w:trPr>
        <w:tc>
          <w:tcPr>
            <w:tcW w:w="1060" w:type="dxa"/>
            <w:vAlign w:val="bottom"/>
          </w:tcPr>
          <w:p>
            <w:pPr>
              <w:spacing w:after="0"/>
              <w:rPr>
                <w:sz w:val="17"/>
                <w:szCs w:val="17"/>
                <w:color w:val="auto"/>
              </w:rPr>
            </w:pP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LLC and Dr. Aaron Rollins (incorporated by reference to Exhibit 10.16 of the Company’s Registration Statement on</w:t>
              </w:r>
            </w:hyperlink>
          </w:p>
        </w:tc>
      </w:tr>
      <w:tr>
        <w:trPr>
          <w:trHeight w:val="196"/>
        </w:trPr>
        <w:tc>
          <w:tcPr>
            <w:tcW w:w="1060" w:type="dxa"/>
            <w:vAlign w:val="bottom"/>
          </w:tcPr>
          <w:p>
            <w:pPr>
              <w:spacing w:after="0"/>
              <w:rPr>
                <w:sz w:val="17"/>
                <w:szCs w:val="17"/>
                <w:color w:val="auto"/>
              </w:rPr>
            </w:pPr>
          </w:p>
        </w:tc>
        <w:tc>
          <w:tcPr>
            <w:tcW w:w="8560" w:type="dxa"/>
            <w:vAlign w:val="bottom"/>
            <w:gridSpan w:val="10"/>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Form S-1(File No. 333-260067), filed with the Securities and Exchange Commission on October 28, 2021)</w:t>
              </w:r>
            </w:hyperlink>
          </w:p>
        </w:tc>
      </w:tr>
      <w:tr>
        <w:trPr>
          <w:trHeight w:val="20"/>
        </w:trPr>
        <w:tc>
          <w:tcPr>
            <w:tcW w:w="106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96"/>
        </w:trPr>
        <w:tc>
          <w:tcPr>
            <w:tcW w:w="106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88"/>
              </w:rPr>
              <w:t>10.15</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Registration Rights Agreement (incorporated by reference to Exhibit 10.2 of the Company’s Current Report on Form</w:t>
              </w:r>
            </w:hyperlink>
          </w:p>
        </w:tc>
      </w:tr>
      <w:tr>
        <w:trPr>
          <w:trHeight w:val="196"/>
        </w:trPr>
        <w:tc>
          <w:tcPr>
            <w:tcW w:w="1060" w:type="dxa"/>
            <w:vAlign w:val="bottom"/>
          </w:tcPr>
          <w:p>
            <w:pPr>
              <w:spacing w:after="0"/>
              <w:rPr>
                <w:sz w:val="17"/>
                <w:szCs w:val="17"/>
                <w:color w:val="auto"/>
              </w:rPr>
            </w:pPr>
          </w:p>
        </w:tc>
        <w:tc>
          <w:tcPr>
            <w:tcW w:w="8560" w:type="dxa"/>
            <w:vAlign w:val="bottom"/>
            <w:gridSpan w:val="10"/>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8-K (File No. 001-40973), filed with the Securities and Exchange Commission on November 2, 2021)</w:t>
              </w:r>
            </w:hyperlink>
          </w:p>
        </w:tc>
      </w:tr>
      <w:tr>
        <w:trPr>
          <w:trHeight w:val="20"/>
        </w:trPr>
        <w:tc>
          <w:tcPr>
            <w:tcW w:w="106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196"/>
        </w:trPr>
        <w:tc>
          <w:tcPr>
            <w:tcW w:w="106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88"/>
              </w:rPr>
              <w:t>10.16</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56">
              <w:r>
                <w:rPr>
                  <w:rFonts w:ascii="Arial" w:cs="Arial" w:eastAsia="Arial" w:hAnsi="Arial"/>
                  <w:sz w:val="18"/>
                  <w:szCs w:val="18"/>
                  <w:color w:val="0000EE"/>
                  <w:w w:val="94"/>
                </w:rPr>
                <w:t>Stockholders Agreement (incorporated by reference to Exhibit 10.3 of the Company’s Current Report on Form 8-K</w:t>
              </w:r>
            </w:hyperlink>
          </w:p>
        </w:tc>
      </w:tr>
      <w:tr>
        <w:trPr>
          <w:trHeight w:val="196"/>
        </w:trPr>
        <w:tc>
          <w:tcPr>
            <w:tcW w:w="1060" w:type="dxa"/>
            <w:vAlign w:val="bottom"/>
          </w:tcPr>
          <w:p>
            <w:pPr>
              <w:spacing w:after="0"/>
              <w:rPr>
                <w:sz w:val="17"/>
                <w:szCs w:val="17"/>
                <w:color w:val="auto"/>
              </w:rPr>
            </w:pPr>
          </w:p>
        </w:tc>
        <w:tc>
          <w:tcPr>
            <w:tcW w:w="7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(File No. 001-40973), filed with the Securities and Exchange Commission on November 2, 2021)</w:t>
              </w:r>
            </w:hyperlink>
          </w:p>
        </w:tc>
        <w:tc>
          <w:tcPr>
            <w:tcW w:w="1540" w:type="dxa"/>
            <w:vAlign w:val="bottom"/>
            <w:gridSpan w:val="4"/>
          </w:tcPr>
          <w:p>
            <w:pPr>
              <w:spacing w:after="0"/>
              <w:rPr>
                <w:sz w:val="17"/>
                <w:szCs w:val="17"/>
                <w:color w:val="auto"/>
              </w:rPr>
            </w:pPr>
          </w:p>
        </w:tc>
      </w:tr>
      <w:tr>
        <w:trPr>
          <w:trHeight w:val="196"/>
        </w:trPr>
        <w:tc>
          <w:tcPr>
            <w:tcW w:w="106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95"/>
              </w:rPr>
              <w:t>31.1*</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of Principal Executive Officer Pursuant to Rules 13a-14(a) and 15d-14(a) under the Securities Exchange</w:t>
              </w:r>
            </w:hyperlink>
          </w:p>
        </w:tc>
      </w:tr>
      <w:tr>
        <w:trPr>
          <w:trHeight w:val="196"/>
        </w:trPr>
        <w:tc>
          <w:tcPr>
            <w:tcW w:w="1060" w:type="dxa"/>
            <w:vAlign w:val="bottom"/>
          </w:tcPr>
          <w:p>
            <w:pPr>
              <w:spacing w:after="0"/>
              <w:rPr>
                <w:sz w:val="17"/>
                <w:szCs w:val="17"/>
                <w:color w:val="auto"/>
              </w:rPr>
            </w:pPr>
          </w:p>
        </w:tc>
        <w:tc>
          <w:tcPr>
            <w:tcW w:w="60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Act of 1934, as Adopted Pursuant to Section 302 of the Sarbanes-Oxley Act of 2002</w:t>
              </w:r>
            </w:hyperlink>
          </w:p>
        </w:tc>
        <w:tc>
          <w:tcPr>
            <w:tcW w:w="2480" w:type="dxa"/>
            <w:vAlign w:val="bottom"/>
            <w:gridSpan w:val="6"/>
          </w:tcPr>
          <w:p>
            <w:pPr>
              <w:spacing w:after="0"/>
              <w:rPr>
                <w:sz w:val="17"/>
                <w:szCs w:val="17"/>
                <w:color w:val="auto"/>
              </w:rPr>
            </w:pPr>
          </w:p>
        </w:tc>
      </w:tr>
      <w:tr>
        <w:trPr>
          <w:trHeight w:val="196"/>
        </w:trPr>
        <w:tc>
          <w:tcPr>
            <w:tcW w:w="106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95"/>
              </w:rPr>
              <w:t>31.2*</w:t>
            </w:r>
          </w:p>
        </w:tc>
        <w:tc>
          <w:tcPr>
            <w:tcW w:w="8560" w:type="dxa"/>
            <w:vAlign w:val="bottom"/>
            <w:gridSpan w:val="10"/>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Principal Financial Officer Pursuant to Rules 13a-14(a) and 15d-14(a) under the Securities Exchange</w:t>
              </w:r>
            </w:hyperlink>
          </w:p>
        </w:tc>
      </w:tr>
      <w:tr>
        <w:trPr>
          <w:trHeight w:val="196"/>
        </w:trPr>
        <w:tc>
          <w:tcPr>
            <w:tcW w:w="1060" w:type="dxa"/>
            <w:vAlign w:val="bottom"/>
          </w:tcPr>
          <w:p>
            <w:pPr>
              <w:spacing w:after="0"/>
              <w:rPr>
                <w:sz w:val="17"/>
                <w:szCs w:val="17"/>
                <w:color w:val="auto"/>
              </w:rPr>
            </w:pPr>
          </w:p>
        </w:tc>
        <w:tc>
          <w:tcPr>
            <w:tcW w:w="6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Act of 1934, as Adopted Pursuant to Section 302 of the Sarbanes-Oxley Act of 2002</w:t>
              </w:r>
            </w:hyperlink>
          </w:p>
        </w:tc>
        <w:tc>
          <w:tcPr>
            <w:tcW w:w="246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6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92"/>
              </w:rPr>
              <w:t>32.1*†</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Principal Executive Officer Pursuant to 18 U.S.C. Section 1350, as Adopted Pursuant to Section 906</w:t>
              </w:r>
            </w:hyperlink>
          </w:p>
        </w:tc>
      </w:tr>
      <w:tr>
        <w:trPr>
          <w:trHeight w:val="196"/>
        </w:trPr>
        <w:tc>
          <w:tcPr>
            <w:tcW w:w="1060" w:type="dxa"/>
            <w:vAlign w:val="bottom"/>
          </w:tcPr>
          <w:p>
            <w:pPr>
              <w:spacing w:after="0"/>
              <w:rPr>
                <w:sz w:val="17"/>
                <w:szCs w:val="17"/>
                <w:color w:val="auto"/>
              </w:rPr>
            </w:pPr>
          </w:p>
        </w:tc>
        <w:tc>
          <w:tcPr>
            <w:tcW w:w="8560" w:type="dxa"/>
            <w:vAlign w:val="bottom"/>
            <w:gridSpan w:val="1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of the Sarbanes-Oxley Act of 2002</w:t>
              </w:r>
            </w:hyperlink>
          </w:p>
        </w:tc>
      </w:tr>
      <w:tr>
        <w:trPr>
          <w:trHeight w:val="20"/>
        </w:trPr>
        <w:tc>
          <w:tcPr>
            <w:tcW w:w="106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60" w:type="dxa"/>
            <w:vAlign w:val="bottom"/>
            <w:gridSpan w:val="8"/>
          </w:tcPr>
          <w:p>
            <w:pPr>
              <w:spacing w:after="0" w:line="20" w:lineRule="exact"/>
              <w:rPr>
                <w:sz w:val="1"/>
                <w:szCs w:val="1"/>
                <w:color w:val="auto"/>
              </w:rPr>
            </w:pPr>
          </w:p>
        </w:tc>
      </w:tr>
      <w:tr>
        <w:trPr>
          <w:trHeight w:val="196"/>
        </w:trPr>
        <w:tc>
          <w:tcPr>
            <w:tcW w:w="106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92"/>
              </w:rPr>
              <w:t>32.2*†</w:t>
            </w:r>
          </w:p>
        </w:tc>
        <w:tc>
          <w:tcPr>
            <w:tcW w:w="85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Principal Financial Officer Pursuant to 18 U.S.C. Section 1350, as Adopted Pursuant to Section 906 of</w:t>
              </w:r>
            </w:hyperlink>
          </w:p>
        </w:tc>
      </w:tr>
      <w:tr>
        <w:trPr>
          <w:trHeight w:val="196"/>
        </w:trPr>
        <w:tc>
          <w:tcPr>
            <w:tcW w:w="1060" w:type="dxa"/>
            <w:vAlign w:val="bottom"/>
          </w:tcPr>
          <w:p>
            <w:pPr>
              <w:spacing w:after="0"/>
              <w:rPr>
                <w:sz w:val="17"/>
                <w:szCs w:val="17"/>
                <w:color w:val="auto"/>
              </w:rPr>
            </w:pPr>
          </w:p>
        </w:tc>
        <w:tc>
          <w:tcPr>
            <w:tcW w:w="23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the Sarbanes-Oxley Act of 2002</w:t>
              </w:r>
            </w:hyperlink>
          </w:p>
        </w:tc>
        <w:tc>
          <w:tcPr>
            <w:tcW w:w="6240" w:type="dxa"/>
            <w:vAlign w:val="bottom"/>
            <w:gridSpan w:val="9"/>
          </w:tcPr>
          <w:p>
            <w:pPr>
              <w:spacing w:after="0"/>
              <w:rPr>
                <w:sz w:val="17"/>
                <w:szCs w:val="17"/>
                <w:color w:val="auto"/>
              </w:rPr>
            </w:pPr>
          </w:p>
        </w:tc>
      </w:tr>
      <w:tr>
        <w:trPr>
          <w:trHeight w:val="222"/>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2"/>
              </w:rPr>
              <w:t>101.INS</w:t>
            </w:r>
          </w:p>
        </w:tc>
        <w:tc>
          <w:tcPr>
            <w:tcW w:w="8560" w:type="dxa"/>
            <w:vAlign w:val="bottom"/>
            <w:gridSpan w:val="10"/>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w:t>
            </w:r>
          </w:p>
        </w:tc>
      </w:tr>
      <w:tr>
        <w:trPr>
          <w:trHeight w:val="216"/>
        </w:trPr>
        <w:tc>
          <w:tcPr>
            <w:tcW w:w="1060" w:type="dxa"/>
            <w:vAlign w:val="bottom"/>
          </w:tcPr>
          <w:p>
            <w:pPr>
              <w:spacing w:after="0"/>
              <w:rPr>
                <w:sz w:val="18"/>
                <w:szCs w:val="18"/>
                <w:color w:val="auto"/>
              </w:rPr>
            </w:pPr>
          </w:p>
        </w:tc>
        <w:tc>
          <w:tcPr>
            <w:tcW w:w="8560" w:type="dxa"/>
            <w:vAlign w:val="bottom"/>
            <w:gridSpan w:val="10"/>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4"/>
              </w:rPr>
              <w:t>101.SCH*</w:t>
            </w:r>
          </w:p>
        </w:tc>
        <w:tc>
          <w:tcPr>
            <w:tcW w:w="85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8"/>
              </w:rPr>
              <w:t>101.CAL*</w:t>
            </w:r>
          </w:p>
        </w:tc>
        <w:tc>
          <w:tcPr>
            <w:tcW w:w="85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6"/>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7"/>
              </w:rPr>
              <w:t>101.DEF*</w:t>
            </w:r>
          </w:p>
        </w:tc>
        <w:tc>
          <w:tcPr>
            <w:tcW w:w="85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9"/>
              </w:rPr>
              <w:t>101.LAB*</w:t>
            </w:r>
          </w:p>
        </w:tc>
        <w:tc>
          <w:tcPr>
            <w:tcW w:w="85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6"/>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1"/>
              </w:rPr>
              <w:t>101.PRE*</w:t>
            </w:r>
          </w:p>
        </w:tc>
        <w:tc>
          <w:tcPr>
            <w:tcW w:w="85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7"/>
        </w:trPr>
        <w:tc>
          <w:tcPr>
            <w:tcW w:w="1060" w:type="dxa"/>
            <w:vAlign w:val="bottom"/>
          </w:tcPr>
          <w:p>
            <w:pPr>
              <w:jc w:val="center"/>
              <w:ind w:right="210"/>
              <w:spacing w:after="0"/>
              <w:rPr>
                <w:sz w:val="20"/>
                <w:szCs w:val="20"/>
                <w:color w:val="auto"/>
              </w:rPr>
            </w:pPr>
            <w:r>
              <w:rPr>
                <w:rFonts w:ascii="Arial" w:cs="Arial" w:eastAsia="Arial" w:hAnsi="Arial"/>
                <w:sz w:val="18"/>
                <w:szCs w:val="18"/>
                <w:color w:val="auto"/>
                <w:w w:val="97"/>
              </w:rPr>
              <w:t>104*</w:t>
            </w:r>
          </w:p>
        </w:tc>
        <w:tc>
          <w:tcPr>
            <w:tcW w:w="856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1568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2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 w:lineRule="exact"/>
        <w:rPr>
          <w:sz w:val="20"/>
          <w:szCs w:val="20"/>
          <w:color w:val="auto"/>
        </w:rPr>
      </w:pPr>
    </w:p>
    <w:p>
      <w:pPr>
        <w:jc w:val="both"/>
        <w:ind w:left="660" w:hanging="652"/>
        <w:spacing w:after="0" w:line="29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AIRSCULPT TECHNOLOGIES, INC.</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By:/s/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14605</wp:posOffset>
            </wp:positionV>
            <wp:extent cx="27260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Dennis Dean</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(Principal Accounting and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31.1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Dr. Aaron Rollins,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AirSculpt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86" w:lineRule="auto"/>
        <w:tabs>
          <w:tab w:leader="none" w:pos="664"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jc w:val="both"/>
        <w:ind w:left="340" w:hanging="8"/>
        <w:spacing w:after="0" w:line="263"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340" w:hanging="8"/>
        <w:spacing w:after="0" w:line="263"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340" w:hanging="8"/>
        <w:spacing w:after="0" w:line="263"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40" w:hanging="8"/>
        <w:spacing w:after="0" w:line="342" w:lineRule="auto"/>
        <w:tabs>
          <w:tab w:leader="none" w:pos="664"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340" w:hanging="8"/>
        <w:spacing w:after="0" w:line="277"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Aaron Rollins</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Dr. Aaron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-130175</wp:posOffset>
            </wp:positionV>
            <wp:extent cx="1311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Chief Executive Officer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December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528955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Dennis Dean,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AirSculpt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86" w:lineRule="auto"/>
        <w:tabs>
          <w:tab w:leader="none" w:pos="664"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jc w:val="both"/>
        <w:ind w:left="340" w:hanging="8"/>
        <w:spacing w:after="0" w:line="263" w:lineRule="auto"/>
        <w:tabs>
          <w:tab w:leader="none" w:pos="6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340" w:hanging="8"/>
        <w:spacing w:after="0" w:line="263" w:lineRule="auto"/>
        <w:tabs>
          <w:tab w:leader="none" w:pos="664"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340" w:hanging="8"/>
        <w:spacing w:after="0" w:line="263" w:lineRule="auto"/>
        <w:tabs>
          <w:tab w:leader="none" w:pos="6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40" w:hanging="8"/>
        <w:spacing w:after="0" w:line="342" w:lineRule="auto"/>
        <w:tabs>
          <w:tab w:leader="none" w:pos="664"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340" w:hanging="8"/>
        <w:spacing w:after="0" w:line="277" w:lineRule="auto"/>
        <w:tabs>
          <w:tab w:leader="none" w:pos="6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Dean</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-130175</wp:posOffset>
            </wp:positionV>
            <wp:extent cx="13627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Chief Financial Officer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December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528955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AirSculpt Technologies, Inc. (the “Company”) on Form 10-Q for the period ended September 30, 2021, as filed with the Securities and Exchange Commission on the date hereof (the “Report”), the undersigned certifies, pursuant to 18 U.S.C. Sec. 1350, as adopted pursuant to Section 906 of the Sarbanes-Oxley Act of 2002, that:</w:t>
      </w:r>
    </w:p>
    <w:p>
      <w:pPr>
        <w:spacing w:after="0" w:line="165"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225" w:lineRule="exact"/>
        <w:rPr>
          <w:rFonts w:ascii="Arial" w:cs="Arial" w:eastAsia="Arial" w:hAnsi="Arial"/>
          <w:sz w:val="18"/>
          <w:szCs w:val="18"/>
          <w:color w:val="auto"/>
        </w:rPr>
      </w:pPr>
    </w:p>
    <w:p>
      <w:pPr>
        <w:ind w:firstLine="8"/>
        <w:spacing w:after="0" w:line="277" w:lineRule="auto"/>
        <w:tabs>
          <w:tab w:leader="none" w:pos="4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 /s/ Dr. Aaron Rollins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14605</wp:posOffset>
            </wp:positionV>
            <wp:extent cx="13201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Dr. Aaron Rollins</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AirSculpt Technologies, Inc. (the “Company”) on Form 10-Q for the period ended September 30, 2021, as filed with the Securities and Exchange Commission on the date hereof (the “Report”), the undersigned certifies, pursuant to 18 U.S.C. Sec. 1350, as adopted pursuant to Section 906 of the Sarbanes-Oxley Act of 2002, that:</w:t>
      </w:r>
    </w:p>
    <w:p>
      <w:pPr>
        <w:spacing w:after="0" w:line="165"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225" w:lineRule="exact"/>
        <w:rPr>
          <w:rFonts w:ascii="Arial" w:cs="Arial" w:eastAsia="Arial" w:hAnsi="Arial"/>
          <w:sz w:val="18"/>
          <w:szCs w:val="18"/>
          <w:color w:val="auto"/>
        </w:rPr>
      </w:pPr>
    </w:p>
    <w:p>
      <w:pPr>
        <w:ind w:firstLine="8"/>
        <w:spacing w:after="0" w:line="277" w:lineRule="auto"/>
        <w:tabs>
          <w:tab w:leader="none" w:pos="4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  /s/ Dennis Dean</w:t>
      </w:r>
    </w:p>
    <w:p>
      <w:pPr>
        <w:spacing w:after="0" w:line="7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-130175</wp:posOffset>
            </wp:positionV>
            <wp:extent cx="1028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3" w:lineRule="exact"/>
        <w:rPr>
          <w:sz w:val="20"/>
          <w:szCs w:val="20"/>
          <w:color w:val="auto"/>
        </w:rPr>
      </w:pPr>
    </w:p>
    <w:p>
      <w:pPr>
        <w:ind w:left="1700"/>
        <w:spacing w:after="0"/>
        <w:tabs>
          <w:tab w:leader="none" w:pos="2580" w:val="left"/>
        </w:tabs>
        <w:rPr>
          <w:sz w:val="20"/>
          <w:szCs w:val="20"/>
          <w:color w:val="auto"/>
        </w:rPr>
      </w:pPr>
      <w:r>
        <w:rPr>
          <w:rFonts w:ascii="Arial" w:cs="Arial" w:eastAsia="Arial" w:hAnsi="Arial"/>
          <w:sz w:val="18"/>
          <w:szCs w:val="18"/>
          <w:i w:val="1"/>
          <w:iCs w:val="1"/>
          <w:color w:val="auto"/>
        </w:rPr>
        <w:t>Chief</w:t>
      </w:r>
      <w:r>
        <w:rPr>
          <w:sz w:val="20"/>
          <w:szCs w:val="20"/>
          <w:color w:val="auto"/>
        </w:rPr>
        <w:tab/>
      </w:r>
      <w:r>
        <w:rPr>
          <w:rFonts w:ascii="Arial" w:cs="Arial" w:eastAsia="Arial" w:hAnsi="Arial"/>
          <w:sz w:val="18"/>
          <w:szCs w:val="18"/>
          <w:i w:val="1"/>
          <w:iCs w:val="1"/>
          <w:color w:val="auto"/>
        </w:rPr>
        <w:t>Financial</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i w:val="1"/>
          <w:iCs w:val="1"/>
          <w:color w:val="auto"/>
        </w:rPr>
        <w:t>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39" Type="http://schemas.openxmlformats.org/officeDocument/2006/relationships/hyperlink" Target="https://www.sec.gov/Archives/edgar/data/1870940/000110465921133100/tm2121217d23_ex3-1.htm" TargetMode="External"/><Relationship Id="rId40" Type="http://schemas.openxmlformats.org/officeDocument/2006/relationships/hyperlink" Target="https://www.sec.gov/Archives/edgar/data/1870940/000110465921127861/tm2121217d11_ex3-4.htm" TargetMode="External"/><Relationship Id="rId41" Type="http://schemas.openxmlformats.org/officeDocument/2006/relationships/hyperlink" Target="https://www.sec.gov/Archives/edgar/data/1870940/000110465921127861/tm2121217d11_ex10-1.htm" TargetMode="External"/><Relationship Id="rId42" Type="http://schemas.openxmlformats.org/officeDocument/2006/relationships/hyperlink" Target="https://www.sec.gov/Archives/edgar/data/1870940/000110465921130215/tm2121217d14_ex10-2.htm" TargetMode="External"/><Relationship Id="rId43" Type="http://schemas.openxmlformats.org/officeDocument/2006/relationships/hyperlink" Target="https://www.sec.gov/Archives/edgar/data/1870940/000110465921123187/tm2121217d8_ex10-6.htm" TargetMode="External"/><Relationship Id="rId44" Type="http://schemas.openxmlformats.org/officeDocument/2006/relationships/hyperlink" Target="https://www.sec.gov/Archives/edgar/data/1870940/000110465921123187/tm2121217d8_ex10-7.htm" TargetMode="External"/><Relationship Id="rId45" Type="http://schemas.openxmlformats.org/officeDocument/2006/relationships/hyperlink" Target="https://www.sec.gov/Archives/edgar/data/1870940/000110465921127861/tm2121217d11_ex10-5.htm" TargetMode="External"/><Relationship Id="rId46" Type="http://schemas.openxmlformats.org/officeDocument/2006/relationships/hyperlink" Target="https://www.sec.gov/Archives/edgar/data/1870940/000110465921127861/tm2121217d11_ex10-6.htm" TargetMode="External"/><Relationship Id="rId47" Type="http://schemas.openxmlformats.org/officeDocument/2006/relationships/hyperlink" Target="https://www.sec.gov/Archives/edgar/data/1870940/000110465921127861/tm2121217d11_ex10-7.htm" TargetMode="External"/><Relationship Id="rId48" Type="http://schemas.openxmlformats.org/officeDocument/2006/relationships/hyperlink" Target="https://www.sec.gov/Archives/edgar/data/1870940/000110465921127861/tm2121217d11_ex10-8.htm" TargetMode="External"/><Relationship Id="rId49" Type="http://schemas.openxmlformats.org/officeDocument/2006/relationships/hyperlink" Target="https://www.sec.gov/Archives/edgar/data/1870940/000110465921127861/tm2121217d11_ex10-10.htm" TargetMode="External"/><Relationship Id="rId50" Type="http://schemas.openxmlformats.org/officeDocument/2006/relationships/hyperlink" Target="https://www.sec.gov/Archives/edgar/data/1870940/000110465921127861/tm2121217d11_ex10-12.htm" TargetMode="External"/><Relationship Id="rId51" Type="http://schemas.openxmlformats.org/officeDocument/2006/relationships/hyperlink" Target="https://www.sec.gov/Archives/edgar/data/1870940/000110465921130215/tm2121217d14_ex10-13.htm" TargetMode="External"/><Relationship Id="rId52" Type="http://schemas.openxmlformats.org/officeDocument/2006/relationships/hyperlink" Target="https://www.sec.gov/Archives/edgar/data/1870940/000110465921130215/tm2121217d14_ex10-14.htm" TargetMode="External"/><Relationship Id="rId53" Type="http://schemas.openxmlformats.org/officeDocument/2006/relationships/hyperlink" Target="https://www.sec.gov/Archives/edgar/data/1870940/000110465921130215/tm2121217d14_ex10-15.htm" TargetMode="External"/><Relationship Id="rId54" Type="http://schemas.openxmlformats.org/officeDocument/2006/relationships/hyperlink" Target="https://www.sec.gov/Archives/edgar/data/1870940/000110465921130215/tm2121217d14_ex10-16.htm" TargetMode="External"/><Relationship Id="rId55" Type="http://schemas.openxmlformats.org/officeDocument/2006/relationships/hyperlink" Target="https://www.sec.gov/Archives/edgar/data/1870940/000110465921133100/tm2121217d23_ex10-2.htm" TargetMode="External"/><Relationship Id="rId56" Type="http://schemas.openxmlformats.org/officeDocument/2006/relationships/hyperlink" Target="https://www.sec.gov/Archives/edgar/data/1870940/000110465921133100/tm2121217d23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2021-12-03T13:03:30Z</dcterms:created>
  <dcterms:modified xsi:type="dcterms:W3CDTF">2021-12-03T13:03:30Z</dcterms:modified>
</cp:coreProperties>
</file>