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896620</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921385</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14" w:lineRule="exact"/>
        <w:rPr>
          <w:sz w:val="24"/>
          <w:szCs w:val="24"/>
          <w:color w:val="auto"/>
        </w:rPr>
      </w:pPr>
    </w:p>
    <w:p>
      <w:pPr>
        <w:ind w:left="180" w:hanging="176"/>
        <w:spacing w:after="0"/>
        <w:tabs>
          <w:tab w:leader="none" w:pos="1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31, 2024</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96" w:lineRule="exact"/>
        <w:rPr>
          <w:sz w:val="24"/>
          <w:szCs w:val="24"/>
          <w:color w:val="auto"/>
        </w:rPr>
      </w:pPr>
    </w:p>
    <w:p>
      <w:pPr>
        <w:ind w:left="3680" w:right="3100" w:hanging="3676"/>
        <w:spacing w:after="0" w:line="382" w:lineRule="auto"/>
        <w:tabs>
          <w:tab w:leader="none" w:pos="177"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ind w:left="44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001-40973</w:t>
      </w:r>
    </w:p>
    <w:p>
      <w:pPr>
        <w:spacing w:after="0" w:line="94" w:lineRule="exact"/>
        <w:rPr>
          <w:sz w:val="24"/>
          <w:szCs w:val="24"/>
          <w:color w:val="auto"/>
        </w:rPr>
      </w:pPr>
    </w:p>
    <w:tbl>
      <w:tblPr>
        <w:tblLayout w:type="fixed"/>
        <w:tblInd w:w="1560" w:type="dxa"/>
        <w:tblCellMar>
          <w:top w:w="0" w:type="dxa"/>
          <w:left w:w="0" w:type="dxa"/>
          <w:bottom w:w="0" w:type="dxa"/>
          <w:right w:w="0" w:type="dxa"/>
        </w:tblCellMar>
      </w:tblPr>
      <w:tr>
        <w:trPr>
          <w:trHeight w:val="232"/>
        </w:trPr>
        <w:tc>
          <w:tcPr>
            <w:tcW w:w="6000" w:type="dxa"/>
            <w:vAlign w:val="bottom"/>
          </w:tcPr>
          <w:p>
            <w:pPr>
              <w:jc w:val="center"/>
              <w:ind w:left="2060"/>
              <w:spacing w:after="0"/>
              <w:rPr>
                <w:sz w:val="20"/>
                <w:szCs w:val="20"/>
                <w:color w:val="auto"/>
              </w:rPr>
            </w:pPr>
            <w:r>
              <w:rPr>
                <w:rFonts w:ascii="Times New Roman" w:cs="Times New Roman" w:eastAsia="Times New Roman" w:hAnsi="Times New Roman"/>
                <w:sz w:val="19"/>
                <w:szCs w:val="19"/>
                <w:b w:val="1"/>
                <w:bCs w:val="1"/>
                <w:color w:val="auto"/>
                <w:w w:val="99"/>
              </w:rPr>
              <w:t>AirSculpt Technologies, Inc.</w:t>
            </w:r>
          </w:p>
        </w:tc>
        <w:tc>
          <w:tcPr>
            <w:tcW w:w="1480" w:type="dxa"/>
            <w:vAlign w:val="bottom"/>
          </w:tcPr>
          <w:p>
            <w:pPr>
              <w:spacing w:after="0"/>
              <w:rPr>
                <w:sz w:val="20"/>
                <w:szCs w:val="20"/>
                <w:color w:val="auto"/>
              </w:rPr>
            </w:pPr>
          </w:p>
        </w:tc>
      </w:tr>
      <w:tr>
        <w:trPr>
          <w:trHeight w:val="203"/>
        </w:trPr>
        <w:tc>
          <w:tcPr>
            <w:tcW w:w="6000" w:type="dxa"/>
            <w:vAlign w:val="bottom"/>
          </w:tcPr>
          <w:p>
            <w:pPr>
              <w:jc w:val="center"/>
              <w:ind w:left="2040"/>
              <w:spacing w:after="0"/>
              <w:rPr>
                <w:sz w:val="20"/>
                <w:szCs w:val="20"/>
                <w:color w:val="auto"/>
              </w:rPr>
            </w:pPr>
            <w:r>
              <w:rPr>
                <w:rFonts w:ascii="Times New Roman" w:cs="Times New Roman" w:eastAsia="Times New Roman" w:hAnsi="Times New Roman"/>
                <w:sz w:val="16"/>
                <w:szCs w:val="16"/>
                <w:color w:val="auto"/>
                <w:w w:val="97"/>
              </w:rPr>
              <w:t>(Exact name of registrant as specified in its charter)</w:t>
            </w:r>
          </w:p>
        </w:tc>
        <w:tc>
          <w:tcPr>
            <w:tcW w:w="1480" w:type="dxa"/>
            <w:vAlign w:val="bottom"/>
          </w:tcPr>
          <w:p>
            <w:pPr>
              <w:spacing w:after="0"/>
              <w:rPr>
                <w:sz w:val="17"/>
                <w:szCs w:val="17"/>
                <w:color w:val="auto"/>
              </w:rPr>
            </w:pPr>
          </w:p>
        </w:tc>
      </w:tr>
      <w:tr>
        <w:trPr>
          <w:trHeight w:val="339"/>
        </w:trPr>
        <w:tc>
          <w:tcPr>
            <w:tcW w:w="6000" w:type="dxa"/>
            <w:vAlign w:val="bottom"/>
          </w:tcPr>
          <w:p>
            <w:pPr>
              <w:jc w:val="center"/>
              <w:ind w:right="34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480" w:type="dxa"/>
            <w:vAlign w:val="bottom"/>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5"/>
              </w:rPr>
              <w:t>87-1471855</w:t>
            </w:r>
          </w:p>
        </w:tc>
      </w:tr>
      <w:tr>
        <w:trPr>
          <w:trHeight w:val="227"/>
        </w:trPr>
        <w:tc>
          <w:tcPr>
            <w:tcW w:w="6000" w:type="dxa"/>
            <w:vAlign w:val="bottom"/>
          </w:tcPr>
          <w:p>
            <w:pPr>
              <w:jc w:val="center"/>
              <w:ind w:right="3460"/>
              <w:spacing w:after="0"/>
              <w:rPr>
                <w:sz w:val="20"/>
                <w:szCs w:val="20"/>
                <w:color w:val="auto"/>
              </w:rPr>
            </w:pPr>
            <w:r>
              <w:rPr>
                <w:rFonts w:ascii="Times New Roman" w:cs="Times New Roman" w:eastAsia="Times New Roman" w:hAnsi="Times New Roman"/>
                <w:sz w:val="16"/>
                <w:szCs w:val="16"/>
                <w:color w:val="auto"/>
                <w:w w:val="97"/>
              </w:rPr>
              <w:t>(State or other jurisdiction of</w:t>
            </w:r>
          </w:p>
        </w:tc>
        <w:tc>
          <w:tcPr>
            <w:tcW w:w="148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(I.R.S. Employer</w:t>
            </w:r>
          </w:p>
        </w:tc>
      </w:tr>
      <w:tr>
        <w:trPr>
          <w:trHeight w:val="203"/>
        </w:trPr>
        <w:tc>
          <w:tcPr>
            <w:tcW w:w="6000" w:type="dxa"/>
            <w:vAlign w:val="bottom"/>
          </w:tcPr>
          <w:p>
            <w:pPr>
              <w:jc w:val="center"/>
              <w:ind w:right="3480"/>
              <w:spacing w:after="0"/>
              <w:rPr>
                <w:sz w:val="20"/>
                <w:szCs w:val="20"/>
                <w:color w:val="auto"/>
              </w:rPr>
            </w:pPr>
            <w:r>
              <w:rPr>
                <w:rFonts w:ascii="Times New Roman" w:cs="Times New Roman" w:eastAsia="Times New Roman" w:hAnsi="Times New Roman"/>
                <w:sz w:val="16"/>
                <w:szCs w:val="16"/>
                <w:color w:val="auto"/>
                <w:w w:val="97"/>
              </w:rPr>
              <w:t>incorporation or organization)</w:t>
            </w:r>
          </w:p>
        </w:tc>
        <w:tc>
          <w:tcPr>
            <w:tcW w:w="148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469"/>
        </w:trPr>
        <w:tc>
          <w:tcPr>
            <w:tcW w:w="6000" w:type="dxa"/>
            <w:vAlign w:val="bottom"/>
          </w:tcPr>
          <w:p>
            <w:pPr>
              <w:jc w:val="center"/>
              <w:ind w:right="3460"/>
              <w:spacing w:after="0"/>
              <w:rPr>
                <w:sz w:val="20"/>
                <w:szCs w:val="20"/>
                <w:color w:val="auto"/>
              </w:rPr>
            </w:pPr>
            <w:r>
              <w:rPr>
                <w:rFonts w:ascii="Times New Roman" w:cs="Times New Roman" w:eastAsia="Times New Roman" w:hAnsi="Times New Roman"/>
                <w:sz w:val="16"/>
                <w:szCs w:val="16"/>
                <w:b w:val="1"/>
                <w:bCs w:val="1"/>
                <w:color w:val="auto"/>
                <w:w w:val="97"/>
              </w:rPr>
              <w:t>1111 Lincoln Road, Suite 802</w:t>
            </w:r>
          </w:p>
        </w:tc>
        <w:tc>
          <w:tcPr>
            <w:tcW w:w="1480" w:type="dxa"/>
            <w:vAlign w:val="bottom"/>
          </w:tcPr>
          <w:p>
            <w:pPr>
              <w:spacing w:after="0"/>
              <w:rPr>
                <w:sz w:val="24"/>
                <w:szCs w:val="24"/>
                <w:color w:val="auto"/>
              </w:rPr>
            </w:pPr>
          </w:p>
        </w:tc>
      </w:tr>
      <w:tr>
        <w:trPr>
          <w:trHeight w:val="234"/>
        </w:trPr>
        <w:tc>
          <w:tcPr>
            <w:tcW w:w="6000" w:type="dxa"/>
            <w:vAlign w:val="bottom"/>
          </w:tcPr>
          <w:p>
            <w:pPr>
              <w:jc w:val="center"/>
              <w:ind w:right="3460"/>
              <w:spacing w:after="0"/>
              <w:rPr>
                <w:sz w:val="20"/>
                <w:szCs w:val="20"/>
                <w:color w:val="auto"/>
              </w:rPr>
            </w:pPr>
            <w:r>
              <w:rPr>
                <w:rFonts w:ascii="Times New Roman" w:cs="Times New Roman" w:eastAsia="Times New Roman" w:hAnsi="Times New Roman"/>
                <w:sz w:val="16"/>
                <w:szCs w:val="16"/>
                <w:b w:val="1"/>
                <w:bCs w:val="1"/>
                <w:color w:val="auto"/>
                <w:w w:val="98"/>
              </w:rPr>
              <w:t>Miami Beach, FL</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b w:val="1"/>
                <w:bCs w:val="1"/>
                <w:color w:val="auto"/>
                <w:w w:val="99"/>
              </w:rPr>
              <w:t>33139</w:t>
            </w:r>
          </w:p>
        </w:tc>
      </w:tr>
      <w:tr>
        <w:trPr>
          <w:trHeight w:val="234"/>
        </w:trPr>
        <w:tc>
          <w:tcPr>
            <w:tcW w:w="6000" w:type="dxa"/>
            <w:vAlign w:val="bottom"/>
          </w:tcPr>
          <w:p>
            <w:pPr>
              <w:jc w:val="center"/>
              <w:ind w:right="3440"/>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148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6"/>
              </w:rPr>
              <w:t>(Zip Code)</w:t>
            </w:r>
          </w:p>
        </w:tc>
      </w:tr>
    </w:tbl>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(786) 709-9690</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93"/>
        </w:trPr>
        <w:tc>
          <w:tcPr>
            <w:tcW w:w="1580" w:type="dxa"/>
            <w:vAlign w:val="bottom"/>
          </w:tcPr>
          <w:p>
            <w:pPr>
              <w:spacing w:after="0"/>
              <w:rPr>
                <w:sz w:val="24"/>
                <w:szCs w:val="24"/>
                <w:color w:val="auto"/>
              </w:rPr>
            </w:pPr>
          </w:p>
        </w:tc>
        <w:tc>
          <w:tcPr>
            <w:tcW w:w="3380" w:type="dxa"/>
            <w:vAlign w:val="bottom"/>
            <w:gridSpan w:val="2"/>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194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gridSpan w:val="2"/>
          </w:tcPr>
          <w:p>
            <w:pPr>
              <w:jc w:val="center"/>
              <w:ind w:left="622"/>
              <w:spacing w:after="0"/>
              <w:rPr>
                <w:sz w:val="20"/>
                <w:szCs w:val="20"/>
                <w:color w:val="auto"/>
              </w:rPr>
            </w:pPr>
            <w:r>
              <w:rPr>
                <w:rFonts w:ascii="Times New Roman" w:cs="Times New Roman" w:eastAsia="Times New Roman" w:hAnsi="Times New Roman"/>
                <w:sz w:val="16"/>
                <w:szCs w:val="16"/>
                <w:b w:val="1"/>
                <w:bCs w:val="1"/>
                <w:color w:val="auto"/>
                <w:w w:val="97"/>
              </w:rPr>
              <w:t>Name of each exchange on which registered</w:t>
            </w:r>
          </w:p>
        </w:tc>
      </w:tr>
      <w:tr>
        <w:trPr>
          <w:trHeight w:val="20"/>
        </w:trPr>
        <w:tc>
          <w:tcPr>
            <w:tcW w:w="1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247"/>
        </w:trPr>
        <w:tc>
          <w:tcPr>
            <w:tcW w:w="496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194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w w:val="93"/>
              </w:rPr>
              <w:t>AIRS</w:t>
            </w:r>
          </w:p>
        </w:tc>
        <w:tc>
          <w:tcPr>
            <w:tcW w:w="700" w:type="dxa"/>
            <w:vAlign w:val="bottom"/>
          </w:tcPr>
          <w:p>
            <w:pPr>
              <w:spacing w:after="0"/>
              <w:rPr>
                <w:sz w:val="21"/>
                <w:szCs w:val="21"/>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Market</w:t>
            </w:r>
          </w:p>
        </w:tc>
      </w:tr>
    </w:tbl>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18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67" w:lineRule="exact"/>
        <w:rPr>
          <w:sz w:val="24"/>
          <w:szCs w:val="24"/>
          <w:color w:val="auto"/>
        </w:rPr>
      </w:pPr>
    </w:p>
    <w:p>
      <w:pPr>
        <w:ind w:right="200"/>
        <w:spacing w:after="0" w:line="296"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56"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2180" w:type="dxa"/>
        <w:tblCellMar>
          <w:top w:w="0" w:type="dxa"/>
          <w:left w:w="0" w:type="dxa"/>
          <w:bottom w:w="0" w:type="dxa"/>
          <w:right w:w="0" w:type="dxa"/>
        </w:tblCellMar>
      </w:tblPr>
      <w:tr>
        <w:trPr>
          <w:trHeight w:val="203"/>
        </w:trPr>
        <w:tc>
          <w:tcPr>
            <w:tcW w:w="160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7"/>
              </w:rPr>
              <w:t>Large accelerated filer</w:t>
            </w:r>
          </w:p>
        </w:tc>
        <w:tc>
          <w:tcPr>
            <w:tcW w:w="174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3340" w:type="dxa"/>
            <w:vAlign w:val="bottom"/>
          </w:tcPr>
          <w:p>
            <w:pPr>
              <w:jc w:val="center"/>
              <w:ind w:left="1062"/>
              <w:spacing w:after="0"/>
              <w:rPr>
                <w:sz w:val="20"/>
                <w:szCs w:val="20"/>
                <w:color w:val="auto"/>
              </w:rPr>
            </w:pPr>
            <w:r>
              <w:rPr>
                <w:rFonts w:ascii="Times New Roman" w:cs="Times New Roman" w:eastAsia="Times New Roman" w:hAnsi="Times New Roman"/>
                <w:sz w:val="16"/>
                <w:szCs w:val="16"/>
                <w:color w:val="auto"/>
                <w:w w:val="97"/>
              </w:rPr>
              <w:t>Accelerated filer</w:t>
            </w:r>
          </w:p>
        </w:tc>
        <w:tc>
          <w:tcPr>
            <w:tcW w:w="400" w:type="dxa"/>
            <w:vAlign w:val="bottom"/>
          </w:tcPr>
          <w:p>
            <w:pPr>
              <w:ind w:left="220"/>
              <w:spacing w:after="0"/>
              <w:rPr>
                <w:sz w:val="20"/>
                <w:szCs w:val="20"/>
                <w:color w:val="auto"/>
              </w:rPr>
            </w:pPr>
            <w:r>
              <w:rPr>
                <w:rFonts w:ascii="Wingdings" w:cs="Wingdings" w:eastAsia="Wingdings" w:hAnsi="Wingdings"/>
                <w:sz w:val="16"/>
                <w:szCs w:val="16"/>
                <w:b w:val="1"/>
                <w:bCs w:val="1"/>
                <w:color w:val="auto"/>
              </w:rPr>
              <w:t>o</w:t>
            </w:r>
          </w:p>
        </w:tc>
      </w:tr>
      <w:tr>
        <w:trPr>
          <w:trHeight w:val="234"/>
        </w:trPr>
        <w:tc>
          <w:tcPr>
            <w:tcW w:w="1600" w:type="dxa"/>
            <w:vAlign w:val="bottom"/>
          </w:tcPr>
          <w:p>
            <w:pPr>
              <w:jc w:val="center"/>
              <w:ind w:right="122"/>
              <w:spacing w:after="0"/>
              <w:rPr>
                <w:sz w:val="20"/>
                <w:szCs w:val="20"/>
                <w:color w:val="auto"/>
              </w:rPr>
            </w:pPr>
            <w:r>
              <w:rPr>
                <w:rFonts w:ascii="Times New Roman" w:cs="Times New Roman" w:eastAsia="Times New Roman" w:hAnsi="Times New Roman"/>
                <w:sz w:val="16"/>
                <w:szCs w:val="16"/>
                <w:color w:val="auto"/>
                <w:w w:val="97"/>
              </w:rPr>
              <w:t>Non-accelerated filer</w:t>
            </w:r>
          </w:p>
        </w:tc>
        <w:tc>
          <w:tcPr>
            <w:tcW w:w="1740" w:type="dxa"/>
            <w:vAlign w:val="bottom"/>
          </w:tcPr>
          <w:p>
            <w:pPr>
              <w:ind w:left="180"/>
              <w:spacing w:after="0"/>
              <w:rPr>
                <w:sz w:val="20"/>
                <w:szCs w:val="20"/>
                <w:color w:val="auto"/>
              </w:rPr>
            </w:pPr>
            <w:r>
              <w:rPr>
                <w:rFonts w:ascii="Wingdings" w:cs="Wingdings" w:eastAsia="Wingdings" w:hAnsi="Wingdings"/>
                <w:sz w:val="16"/>
                <w:szCs w:val="16"/>
                <w:b w:val="1"/>
                <w:bCs w:val="1"/>
                <w:color w:val="auto"/>
              </w:rPr>
              <w:t>x</w:t>
            </w:r>
          </w:p>
        </w:tc>
        <w:tc>
          <w:tcPr>
            <w:tcW w:w="3340" w:type="dxa"/>
            <w:vAlign w:val="bottom"/>
          </w:tcPr>
          <w:p>
            <w:pPr>
              <w:jc w:val="center"/>
              <w:ind w:left="1082"/>
              <w:spacing w:after="0"/>
              <w:rPr>
                <w:sz w:val="20"/>
                <w:szCs w:val="20"/>
                <w:color w:val="auto"/>
              </w:rPr>
            </w:pPr>
            <w:r>
              <w:rPr>
                <w:rFonts w:ascii="Times New Roman" w:cs="Times New Roman" w:eastAsia="Times New Roman" w:hAnsi="Times New Roman"/>
                <w:sz w:val="16"/>
                <w:szCs w:val="16"/>
                <w:color w:val="auto"/>
                <w:w w:val="97"/>
              </w:rPr>
              <w:t>Smaller reporting company</w:t>
            </w:r>
          </w:p>
        </w:tc>
        <w:tc>
          <w:tcPr>
            <w:tcW w:w="400" w:type="dxa"/>
            <w:vAlign w:val="bottom"/>
          </w:tcPr>
          <w:p>
            <w:pPr>
              <w:ind w:left="220"/>
              <w:spacing w:after="0"/>
              <w:rPr>
                <w:sz w:val="20"/>
                <w:szCs w:val="20"/>
                <w:color w:val="auto"/>
              </w:rPr>
            </w:pPr>
            <w:r>
              <w:rPr>
                <w:rFonts w:ascii="Wingdings" w:cs="Wingdings" w:eastAsia="Wingdings" w:hAnsi="Wingdings"/>
                <w:sz w:val="16"/>
                <w:szCs w:val="16"/>
                <w:b w:val="1"/>
                <w:bCs w:val="1"/>
                <w:color w:val="auto"/>
                <w:w w:val="94"/>
              </w:rPr>
              <w:t>x</w:t>
            </w:r>
          </w:p>
        </w:tc>
      </w:tr>
      <w:tr>
        <w:trPr>
          <w:trHeight w:val="234"/>
        </w:trPr>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40" w:type="dxa"/>
            <w:vAlign w:val="bottom"/>
          </w:tcPr>
          <w:p>
            <w:pPr>
              <w:jc w:val="center"/>
              <w:ind w:left="1082"/>
              <w:spacing w:after="0"/>
              <w:rPr>
                <w:sz w:val="20"/>
                <w:szCs w:val="20"/>
                <w:color w:val="auto"/>
              </w:rPr>
            </w:pPr>
            <w:r>
              <w:rPr>
                <w:rFonts w:ascii="Times New Roman" w:cs="Times New Roman" w:eastAsia="Times New Roman" w:hAnsi="Times New Roman"/>
                <w:sz w:val="16"/>
                <w:szCs w:val="16"/>
                <w:color w:val="auto"/>
                <w:w w:val="97"/>
              </w:rPr>
              <w:t>Emerging growth company</w:t>
            </w:r>
          </w:p>
        </w:tc>
        <w:tc>
          <w:tcPr>
            <w:tcW w:w="400" w:type="dxa"/>
            <w:vAlign w:val="bottom"/>
          </w:tcPr>
          <w:p>
            <w:pPr>
              <w:ind w:left="22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61"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719455</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10" w:lineRule="exact"/>
        <w:rPr>
          <w:sz w:val="20"/>
          <w:szCs w:val="20"/>
          <w:color w:val="auto"/>
        </w:rPr>
      </w:pPr>
    </w:p>
    <w:p>
      <w:pPr>
        <w:ind w:right="2720"/>
        <w:spacing w:after="0" w:line="241"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ind w:right="2880"/>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68"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6"/>
          <w:szCs w:val="16"/>
          <w:color w:val="auto"/>
        </w:rPr>
        <w:t>The aggregate market value of the common shares held by non-affiliates of the registrant as of the last business day of the registrant's most recently completed second fiscal quarter was $52.7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58,574,516 shares of common stock outstanding as of March 13, 2025.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726440</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85725</wp:posOffset>
            </wp:positionV>
            <wp:extent cx="7137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111125</wp:posOffset>
            </wp:positionV>
            <wp:extent cx="7137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gridSpan w:val="9"/>
          </w:tcPr>
          <w:p>
            <w:pPr>
              <w:ind w:left="7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0000" w:type="dxa"/>
            <w:vAlign w:val="bottom"/>
            <w:gridSpan w:val="28"/>
            <w:vMerge w:val="restart"/>
          </w:tcPr>
          <w:p>
            <w:pPr>
              <w:ind w:left="20"/>
              <w:spacing w:after="0"/>
              <w:rPr>
                <w:sz w:val="20"/>
                <w:szCs w:val="20"/>
                <w:color w:val="auto"/>
              </w:rPr>
            </w:pPr>
            <w:r>
              <w:rPr>
                <w:rFonts w:ascii="Times New Roman" w:cs="Times New Roman" w:eastAsia="Times New Roman" w:hAnsi="Times New Roman"/>
                <w:sz w:val="17"/>
                <w:szCs w:val="17"/>
                <w:color w:val="auto"/>
              </w:rPr>
              <w:t>Part I</w:t>
            </w:r>
          </w:p>
        </w:tc>
        <w:tc>
          <w:tcPr>
            <w:tcW w:w="1240" w:type="dxa"/>
            <w:vAlign w:val="bottom"/>
            <w:tcBorders>
              <w:bottom w:val="single" w:sz="8" w:color="3D5588"/>
            </w:tcBorders>
          </w:tcPr>
          <w:p>
            <w:pPr>
              <w:ind w:left="460"/>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162"/>
        </w:trPr>
        <w:tc>
          <w:tcPr>
            <w:tcW w:w="10000" w:type="dxa"/>
            <w:vAlign w:val="bottom"/>
            <w:gridSpan w:val="28"/>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8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Item 1. Business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8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Item 1A. Risk Factors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7"/>
                <w:szCs w:val="17"/>
                <w:color w:val="auto"/>
              </w:rPr>
              <w:t>Item 1B. Unresolved Staff Comments</w:t>
            </w:r>
          </w:p>
        </w:tc>
        <w:tc>
          <w:tcPr>
            <w:tcW w:w="6880" w:type="dxa"/>
            <w:vAlign w:val="bottom"/>
            <w:gridSpan w:val="12"/>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w w:val="99"/>
              </w:rPr>
              <w:t>Item 1C. Cybersecurity</w:t>
            </w:r>
          </w:p>
        </w:tc>
        <w:tc>
          <w:tcPr>
            <w:tcW w:w="7880" w:type="dxa"/>
            <w:vAlign w:val="bottom"/>
            <w:gridSpan w:val="19"/>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8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Item 2. Properties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w w:val="99"/>
              </w:rPr>
              <w:t>Item 3. Legal Proceedings</w:t>
            </w:r>
          </w:p>
        </w:tc>
        <w:tc>
          <w:tcPr>
            <w:tcW w:w="7680" w:type="dxa"/>
            <w:vAlign w:val="bottom"/>
            <w:gridSpan w:val="18"/>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auto"/>
              </w:rPr>
              <w:t>Item 4. Mine Safety Disclosures</w:t>
            </w:r>
          </w:p>
        </w:tc>
        <w:tc>
          <w:tcPr>
            <w:tcW w:w="7260" w:type="dxa"/>
            <w:vAlign w:val="bottom"/>
            <w:gridSpan w:val="15"/>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1"/>
        </w:trPr>
        <w:tc>
          <w:tcPr>
            <w:tcW w:w="10000" w:type="dxa"/>
            <w:vAlign w:val="bottom"/>
            <w:gridSpan w:val="28"/>
          </w:tcPr>
          <w:p>
            <w:pPr>
              <w:ind w:left="20"/>
              <w:spacing w:after="0"/>
              <w:rPr>
                <w:sz w:val="20"/>
                <w:szCs w:val="20"/>
                <w:color w:val="auto"/>
              </w:rPr>
            </w:pPr>
            <w:r>
              <w:rPr>
                <w:rFonts w:ascii="Times New Roman" w:cs="Times New Roman" w:eastAsia="Times New Roman" w:hAnsi="Times New Roman"/>
                <w:sz w:val="17"/>
                <w:szCs w:val="17"/>
                <w:color w:val="auto"/>
              </w:rPr>
              <w:t>Part II</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300" w:type="dxa"/>
            <w:vAlign w:val="bottom"/>
            <w:tcBorders>
              <w:bottom w:val="single" w:sz="8" w:color="auto"/>
            </w:tcBorders>
            <w:gridSpan w:val="23"/>
          </w:tcPr>
          <w:p>
            <w:pPr>
              <w:spacing w:after="0"/>
              <w:rPr>
                <w:sz w:val="20"/>
                <w:szCs w:val="20"/>
                <w:color w:val="auto"/>
              </w:rPr>
            </w:pPr>
            <w:r>
              <w:rPr>
                <w:rFonts w:ascii="Times New Roman" w:cs="Times New Roman" w:eastAsia="Times New Roman" w:hAnsi="Times New Roman"/>
                <w:sz w:val="17"/>
                <w:szCs w:val="17"/>
                <w:color w:val="auto"/>
              </w:rPr>
              <w:t>Item 5. Market for Registrant’s Common Equity, Related Stockholder Matters and Issuer Purchases of Equity Securities</w:t>
            </w:r>
          </w:p>
        </w:tc>
        <w:tc>
          <w:tcPr>
            <w:tcW w:w="1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Item 6. Reserved</w:t>
            </w:r>
          </w:p>
        </w:tc>
        <w:tc>
          <w:tcPr>
            <w:tcW w:w="8280" w:type="dxa"/>
            <w:vAlign w:val="bottom"/>
            <w:gridSpan w:val="21"/>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4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7"/>
                <w:szCs w:val="17"/>
                <w:color w:val="auto"/>
              </w:rPr>
              <w:t>Item 7. Management’s Discussion and Analysis of Financial Condition and Results of Operations</w:t>
            </w:r>
          </w:p>
        </w:tc>
        <w:tc>
          <w:tcPr>
            <w:tcW w:w="2740" w:type="dxa"/>
            <w:vAlign w:val="bottom"/>
            <w:gridSpan w:val="4"/>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8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Item 7A. Quantitative and Qualitative Disclosures about Market Risk</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tcBorders>
              <w:top w:val="single" w:sz="8" w:color="auto"/>
              <w:bottom w:val="single" w:sz="8" w:color="auto"/>
            </w:tcBorders>
            <w:gridSpan w:val="15"/>
          </w:tcPr>
          <w:p>
            <w:pPr>
              <w:spacing w:after="0"/>
              <w:rPr>
                <w:sz w:val="20"/>
                <w:szCs w:val="20"/>
                <w:color w:val="auto"/>
              </w:rPr>
            </w:pPr>
            <w:r>
              <w:rPr>
                <w:rFonts w:ascii="Times New Roman" w:cs="Times New Roman" w:eastAsia="Times New Roman" w:hAnsi="Times New Roman"/>
                <w:sz w:val="17"/>
                <w:szCs w:val="17"/>
                <w:color w:val="auto"/>
              </w:rPr>
              <w:t>Item 8. Financial Statements and Supplementary Data</w:t>
            </w:r>
          </w:p>
        </w:tc>
        <w:tc>
          <w:tcPr>
            <w:tcW w:w="1060" w:type="dxa"/>
            <w:vAlign w:val="bottom"/>
            <w:tcBorders>
              <w:top w:val="single" w:sz="8" w:color="auto"/>
            </w:tcBorders>
            <w:gridSpan w:val="2"/>
          </w:tcPr>
          <w:p>
            <w:pPr>
              <w:spacing w:after="0"/>
              <w:rPr>
                <w:sz w:val="17"/>
                <w:szCs w:val="17"/>
                <w:color w:val="auto"/>
              </w:rPr>
            </w:pPr>
          </w:p>
        </w:tc>
        <w:tc>
          <w:tcPr>
            <w:tcW w:w="4700" w:type="dxa"/>
            <w:vAlign w:val="bottom"/>
            <w:gridSpan w:val="7"/>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60" w:type="dxa"/>
            <w:vAlign w:val="bottom"/>
            <w:tcBorders>
              <w:bottom w:val="single" w:sz="8" w:color="auto"/>
            </w:tcBorders>
            <w:gridSpan w:val="21"/>
          </w:tcPr>
          <w:p>
            <w:pPr>
              <w:spacing w:after="0"/>
              <w:rPr>
                <w:sz w:val="20"/>
                <w:szCs w:val="20"/>
                <w:color w:val="auto"/>
              </w:rPr>
            </w:pPr>
            <w:r>
              <w:rPr>
                <w:rFonts w:ascii="Times New Roman" w:cs="Times New Roman" w:eastAsia="Times New Roman" w:hAnsi="Times New Roman"/>
                <w:sz w:val="17"/>
                <w:szCs w:val="17"/>
                <w:color w:val="auto"/>
              </w:rPr>
              <w:t>Item 9. Changes in and Disagreements with Accountants on Accounting and Financial Disclosure</w:t>
            </w:r>
          </w:p>
        </w:tc>
        <w:tc>
          <w:tcPr>
            <w:tcW w:w="2720" w:type="dxa"/>
            <w:vAlign w:val="bottom"/>
            <w:gridSpan w:val="3"/>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7"/>
                <w:szCs w:val="17"/>
                <w:color w:val="auto"/>
              </w:rPr>
              <w:t>Item 9A. Controls and Procedures</w:t>
            </w:r>
          </w:p>
        </w:tc>
        <w:tc>
          <w:tcPr>
            <w:tcW w:w="7140" w:type="dxa"/>
            <w:vAlign w:val="bottom"/>
            <w:gridSpan w:val="13"/>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8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Item 9B. Other Information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40" w:type="dxa"/>
            <w:vAlign w:val="bottom"/>
            <w:gridSpan w:val="6"/>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8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Item 9C. Disclosure Regarding Foreign Jurisdictions that Prevent Inspections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0"/>
        </w:trPr>
        <w:tc>
          <w:tcPr>
            <w:tcW w:w="520" w:type="dxa"/>
            <w:vAlign w:val="bottom"/>
            <w:tcBorders>
              <w:right w:val="single" w:sz="8" w:color="auto"/>
            </w:tcBorders>
            <w:gridSpan w:val="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gridSpan w:val="7"/>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w w:val="94"/>
              </w:rPr>
              <w:t>Part III</w:t>
            </w:r>
          </w:p>
        </w:tc>
        <w:tc>
          <w:tcPr>
            <w:tcW w:w="9480" w:type="dxa"/>
            <w:vAlign w:val="bottom"/>
            <w:gridSpan w:val="24"/>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8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Item 10. Directors, Executive Officers and Corporate Governance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4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17"/>
                <w:szCs w:val="17"/>
                <w:color w:val="auto"/>
              </w:rPr>
              <w:t>Item 11. Executive Compensation</w:t>
            </w:r>
          </w:p>
        </w:tc>
        <w:tc>
          <w:tcPr>
            <w:tcW w:w="4940" w:type="dxa"/>
            <w:vAlign w:val="bottom"/>
            <w:gridSpan w:val="8"/>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gridSpan w:val="7"/>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8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Item 12. Security Ownership of Certain Beneficial Owners and Management and Related Stockholder Matters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20" w:type="dxa"/>
            <w:vAlign w:val="bottom"/>
            <w:tcBorders>
              <w:top w:val="single" w:sz="8" w:color="auto"/>
            </w:tcBorders>
            <w:gridSpan w:val="22"/>
          </w:tcPr>
          <w:p>
            <w:pPr>
              <w:spacing w:after="0"/>
              <w:rPr>
                <w:sz w:val="20"/>
                <w:szCs w:val="20"/>
                <w:color w:val="auto"/>
              </w:rPr>
            </w:pPr>
            <w:r>
              <w:rPr>
                <w:rFonts w:ascii="Times New Roman" w:cs="Times New Roman" w:eastAsia="Times New Roman" w:hAnsi="Times New Roman"/>
                <w:sz w:val="17"/>
                <w:szCs w:val="17"/>
                <w:color w:val="auto"/>
              </w:rPr>
              <w:t>Item 13. Certain Relationships and Related Transactions, and Director Independence</w:t>
            </w:r>
          </w:p>
        </w:tc>
        <w:tc>
          <w:tcPr>
            <w:tcW w:w="1860" w:type="dxa"/>
            <w:vAlign w:val="bottom"/>
            <w:gridSpan w:val="2"/>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rPr>
              <w:t>Item 14. Principal Accountant Fees and Services</w:t>
            </w:r>
          </w:p>
        </w:tc>
        <w:tc>
          <w:tcPr>
            <w:tcW w:w="3640" w:type="dxa"/>
            <w:vAlign w:val="bottom"/>
            <w:gridSpan w:val="5"/>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0"/>
        </w:trPr>
        <w:tc>
          <w:tcPr>
            <w:tcW w:w="520" w:type="dxa"/>
            <w:vAlign w:val="bottom"/>
            <w:tcBorders>
              <w:right w:val="single" w:sz="8" w:color="auto"/>
            </w:tcBorders>
            <w:gridSpan w:val="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gridSpan w:val="7"/>
            <w:shd w:val="clear" w:color="auto" w:fill="000000"/>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998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Part IV</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5840" w:type="dxa"/>
            <w:vAlign w:val="bottom"/>
            <w:gridSpan w:val="1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color w:val="auto"/>
              </w:rPr>
              <w:t>Item 15. Exhibits and Financial Statement Schedules</w:t>
            </w:r>
          </w:p>
        </w:tc>
        <w:tc>
          <w:tcPr>
            <w:tcW w:w="5840" w:type="dxa"/>
            <w:vAlign w:val="bottom"/>
            <w:gridSpan w:val="10"/>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8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Item 16. Form 10-K Summary</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0"/>
        </w:trPr>
        <w:tc>
          <w:tcPr>
            <w:tcW w:w="520" w:type="dxa"/>
            <w:vAlign w:val="bottom"/>
            <w:tcBorders>
              <w:right w:val="single" w:sz="8" w:color="auto"/>
            </w:tcBorders>
            <w:gridSpan w:val="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gridSpan w:val="7"/>
            <w:shd w:val="clear" w:color="auto" w:fill="000000"/>
          </w:tcPr>
          <w:p>
            <w:pPr>
              <w:spacing w:after="0" w:line="20" w:lineRule="exact"/>
              <w:rPr>
                <w:sz w:val="1"/>
                <w:szCs w:val="1"/>
                <w:color w:val="auto"/>
              </w:rPr>
            </w:pPr>
          </w:p>
        </w:tc>
        <w:tc>
          <w:tcPr>
            <w:tcW w:w="7400" w:type="dxa"/>
            <w:vAlign w:val="bottom"/>
            <w:gridSpan w:val="1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0000" w:type="dxa"/>
            <w:vAlign w:val="bottom"/>
            <w:gridSpan w:val="28"/>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989"/>
        </w:trPr>
        <w:tc>
          <w:tcPr>
            <w:tcW w:w="20" w:type="dxa"/>
            <w:vAlign w:val="bottom"/>
            <w:tcBorders>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made statements in the sections titled “Risk Factors,” “Management’s Discussion and Analysis of Financial Condition and Results of Operations,” “Quantitative and Qualitative Disclosures About Market Risk” and in other sections of this Annual Report on Form 10-K that are forward-looking statements.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We qualify all of our forward-looking statements by these cautionary statements.</w:t>
      </w:r>
    </w:p>
    <w:p>
      <w:pPr>
        <w:spacing w:after="0" w:line="3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Our future results could be affected by a variety of other factors, including, but not limited to, failure to stabilize same-store performance; not being able to optimize our marketing investment, go-to market strategy and sales process; not having the ability to expand our financing options for consumers; being unsuccessful in further product innovations; failure to operate centers in a cost-effective manner; increased competition in the weight loss and obesity solutions market, including</w:t>
      </w:r>
    </w:p>
    <w:p>
      <w:pPr>
        <w:spacing w:after="0" w:line="18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as a result of the recent regulatory approval,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natural disasters, war, pandemic, terrorist acts or political unrest.</w:t>
      </w:r>
    </w:p>
    <w:p>
      <w:pPr>
        <w:spacing w:after="0" w:line="18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We discuss many of these risks and uncertainties in the section titled “Item 1A. Risk Factors” of this Annual Report on Form 10-K and in other filings we make from time to time with the U.S. Securities and Exchange Commission. There also may be other risks and uncertainties that are currently unknown to us or that we are unable to predict at this time.</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represent our estimates and assumptions only as of the date they were made, which are inherently subject to change, and we are under no duty and we assume no obligation to update any of the forward-looking statements, or to update the reasons actual results could differ materially from those anticipated in the forward-looking statements, after the date of this Annual Report on Form 10-K to conform our prior statements to actual results or revised expectations, except as required by law. Given these uncertainties, investors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i w:val="1"/>
          <w:iCs w:val="1"/>
          <w:color w:val="auto"/>
        </w:rPr>
        <w:t>Unless otherwise indicated or the context otherwise requires, references in this Annual Report on Form 10-K to the “Company,” “AirSculpt,” “we,” “us” and “our” refer to AirSculpt Technologies, Inc. and its consolidated subsidiaries and the Professional Associations (as defined hereinafter).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AirSculpt is a next-generation body contouring treatment designed to optimize both comfort and precision, available exclusively at AirSculpt offices. The minimally invasive procedure removes fat and tightens skin, while sculpting targeted areas of the body, allowing for quick healing with minimal bruising, tighter skin, and precise results.</w:t>
      </w:r>
    </w:p>
    <w:p>
      <w:pPr>
        <w:spacing w:after="0" w:line="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We believe our treatment results and elite patient experience have positioned AirSculpt as a preferred body contouring brand. We performed 14,036 body contouring procedures in 2024. Our proprietary and patented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method is minimally invasive because it requires no needle, no scalpel, no stitches and no general anesthesia to achieve transformational change that appears both natural and smooth. Our patients are guided by surgeons, nurses and patient care consultants through every step of the experience.</w:t>
      </w:r>
    </w:p>
    <w:p>
      <w:pPr>
        <w:spacing w:after="0" w:line="1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We have a broad offering of fat removal procedures across treatment areas. We also offer innovative fat transfer procedures that use the patient’s own fat cells to enhance the breasts, buttocks, hips or other areas and do not require silicone or foreign materials to be implanted. Our innovative body contouring procedures include the Power BBL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 Brazilian butt lift procedure, the Up a Cup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 breast enhancement procedure, and the Hip Flip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 hourglass contouring procedure. Our motivation to provide the best body contouring outcomes for our patients fuels our innovation.</w:t>
      </w:r>
    </w:p>
    <w:p>
      <w:pPr>
        <w:spacing w:after="0" w:line="11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7"/>
          <w:szCs w:val="17"/>
          <w:color w:val="auto"/>
        </w:rPr>
        <w:t>Further, the Company introduced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 and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Smooth in fiscal year 2022.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 permanently removes fat and tightens the skin with unparalleled precision and finesse. Patients first target any area containing excess fat with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then have that same area treated with a technology that instantly tightens skin and improves laxity. This advanced, minimally invasive treatment combines helium gas and radiofrequency energy to create a plasma specially equipped to correct sagging skin and restore a youthful, natural appearance.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Smooth delivers effective and long-lasting cellulite reduction with one single treatment.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Smooth uses an advanced cellulite removal tool, which is FDA-cleared to target cellulite on the buttocks and thighs. Results appear almost instantly, and because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Smooth is heat-free, it can be used on any skin type.</w:t>
      </w:r>
    </w:p>
    <w:p>
      <w:pPr>
        <w:spacing w:after="0" w:line="4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Our treatment results—highlighted by a vast gallery of “before and after” photos across gender, body shape and treatment areas—are a powerful tool to build our brand through digital marketing on our website and social media accounts. We also leverage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TV, which takes viewers into procedure rooms to watch our surgeons use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body contouring procedure to achieve dramatic results and hear patient testimonials. We utilize celebrity and influencer endorsements, as well as word-of-mouth referrals, to drive new patient acquisition.</w:t>
      </w:r>
    </w:p>
    <w:p>
      <w:pPr>
        <w:spacing w:after="0" w:line="1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deliver our body contouring procedures through a growing, nationwide footprint of 32 centers across 20 U.S. states, Canada, and the United Kingdom as of March 14, 2025. Our centers, located in metropolitan and suburban areas, offer a premium patient experience and luxurious, spa-like atmosphere. Due to restrictions on the corporate practice of medicine in many states, the professional associations (each, a “Professional Association,” and collectively, the “Professional Associations”) owned by the surgeons that operate our centers are responsible for all clinical aspects of the medical operations that take place in each of our centers, including contracting with the surgeons who perform procedures on patients at our centers.</w:t>
      </w:r>
    </w:p>
    <w:p>
      <w:pPr>
        <w:spacing w:after="0" w:line="1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are a holding company and all of our operations are conducted through the Professional Associations and our wholly-owned subsidiaries, which own and operate the non-clinical assets and provide Management Services to the Professional Associations through Management Service Agreements (“MSAs”).</w:t>
      </w:r>
    </w:p>
    <w:p>
      <w:pPr>
        <w:spacing w:after="0" w:line="8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value proposition provided by our services results in exceptional unit-level economics, which in turn helps to support predictable and recurring revenue and attractive cash flow. Additionally, we require 100% private pay upfront and, therefore, face no reimbursement risk.</w:t>
      </w:r>
    </w:p>
    <w:p>
      <w:pPr>
        <w:spacing w:after="0" w:line="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Under the stewardship of our founder and Executive Chairman of our board of directors, Dr. Aaron Rollins, our Lead Independent Director, Adam Feinstein, and the other management team members, we have built a culture focused on achieving the best results for our patients. For the year ended December 31, 2024, we generated $180.4 million of revenue compared to $195.9 million for the year ended December 31, 2023, which represents a decline of approximately 7.9%.</w:t>
      </w:r>
    </w:p>
    <w:p>
      <w:pPr>
        <w:spacing w:after="0" w:line="60"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color w:val="auto"/>
        </w:rPr>
        <w:t>Given the recent decline in revenue, our focus will be stabilizing revenue growth through optimizing our marketing investment, improving our go-to-market and sales strategies, expanding consumer financing offerings and focusing on new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product innovation. In January 2025, the Company hired a new Chief Executive Officer, Yogi Jashnani, with over 20 years of experience in the aesthetics, retail and finance industries and significant experience in driving revenue growth through strategic initiatives. We believe that Mr. Jashnani's industry knowledge, as well as his leadership experience, will provide value in driving initiatives forward to return to revenue growth. We are focusing our marketing spend on techniques that have proven successful for us in the past using a returns-based approach and are also testing new areas such as online video, and other social marketing channels under the direction of our new Chief Digital Officer. The Company has also hired a new Chief Sales Officer dedicated to strengthening our consultative sales model with enhanced training, improving our sales processes, and providing a greater focus on lead conversion. We believe that there is an opportunity to introduce new services, particularly in the area of skin tightening, that would allow us to expand our customer reach and generate incremental revenues. Finally, we have implemented a cost reduction program that is estimated to eliminate approximately $3 million in annual overhead costs and contracted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Market Opportunity</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operate within the large and growing market for body fat reduction procedures. Our market includes both surgical procedures, such as liposuction and abdominoplasty procedures, as well as non-surgical procedures, such as cryolipolysis, ultrasound, laser lipolysis and other non-surgical body fat reduction procedures. Based on a study completed by an independent third-party consultant contracted by the Company in July 2023, the addressable market that the Company operates in, including liposuction, body sculpting, fat transfer fillers and skin tightening procedures, was estimated to be $11 billion in 2022 and expected to grow at a 9% compound annual growth rate through 2027.</w:t>
      </w:r>
    </w:p>
    <w:p>
      <w:pPr>
        <w:spacing w:after="0" w:line="191" w:lineRule="exact"/>
        <w:rPr>
          <w:sz w:val="20"/>
          <w:szCs w:val="20"/>
          <w:color w:val="auto"/>
        </w:rPr>
      </w:pPr>
    </w:p>
    <w:p>
      <w:pPr>
        <w:jc w:val="both"/>
        <w:ind w:right="340"/>
        <w:spacing w:after="0" w:line="257" w:lineRule="auto"/>
        <w:rPr>
          <w:sz w:val="20"/>
          <w:szCs w:val="20"/>
          <w:color w:val="auto"/>
        </w:rPr>
      </w:pPr>
      <w:r>
        <w:rPr>
          <w:rFonts w:ascii="Times New Roman" w:cs="Times New Roman" w:eastAsia="Times New Roman" w:hAnsi="Times New Roman"/>
          <w:sz w:val="17"/>
          <w:szCs w:val="17"/>
          <w:color w:val="auto"/>
        </w:rPr>
        <w:t>The increased market acceptance, availability and customer awareness of weight-loss drugs has changed the market for body fat reduction procedures. The increasing use of weight loss drugs may lead to increased demand for body contouring and skin tightening procedures. It is difficult to predict the long-term outlook of the market for weight-loss drugs, including their long-term efficacy and potential drawbacks. As a result, we cannot be certain of the impact these wight-loss drugs will have on the market for body fat reduction procedures.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Growth Drivers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market for surgical aesthetic procedures is growing, fueled by trends including:</w:t>
      </w:r>
    </w:p>
    <w:p>
      <w:pPr>
        <w:spacing w:after="0" w:line="139" w:lineRule="exact"/>
        <w:rPr>
          <w:sz w:val="20"/>
          <w:szCs w:val="20"/>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Self-Image Awareness: </w:t>
      </w:r>
      <w:r>
        <w:rPr>
          <w:rFonts w:ascii="Times New Roman" w:cs="Times New Roman" w:eastAsia="Times New Roman" w:hAnsi="Times New Roman"/>
          <w:sz w:val="17"/>
          <w:szCs w:val="17"/>
          <w:color w:val="auto"/>
        </w:rPr>
        <w:t>increased consumer awareness and focus on beauty consciousness driven by social media and prioritization of healthy lifestyles;</w:t>
      </w:r>
    </w:p>
    <w:p>
      <w:pPr>
        <w:spacing w:after="0" w:line="143" w:lineRule="exact"/>
        <w:rPr>
          <w:rFonts w:ascii="Times New Roman" w:cs="Times New Roman" w:eastAsia="Times New Roman" w:hAnsi="Times New Roman"/>
          <w:sz w:val="17"/>
          <w:szCs w:val="17"/>
          <w:color w:val="auto"/>
        </w:rPr>
      </w:pPr>
    </w:p>
    <w:p>
      <w:pPr>
        <w:ind w:left="620" w:right="180" w:hanging="303"/>
        <w:spacing w:after="0" w:line="299" w:lineRule="auto"/>
        <w:tabs>
          <w:tab w:leader="none" w:pos="6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Social Acceptance: </w:t>
      </w:r>
      <w:r>
        <w:rPr>
          <w:rFonts w:ascii="Times New Roman" w:cs="Times New Roman" w:eastAsia="Times New Roman" w:hAnsi="Times New Roman"/>
          <w:sz w:val="17"/>
          <w:szCs w:val="17"/>
          <w:color w:val="auto"/>
        </w:rPr>
        <w:t>consumers have embraced cosmetic treatment and reduced the social stigma, especially through the proliferation of shared patient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photos on social media;</w:t>
      </w:r>
    </w:p>
    <w:p>
      <w:pPr>
        <w:spacing w:after="0" w:line="59" w:lineRule="exact"/>
        <w:rPr>
          <w:rFonts w:ascii="Times New Roman" w:cs="Times New Roman" w:eastAsia="Times New Roman" w:hAnsi="Times New Roman"/>
          <w:sz w:val="17"/>
          <w:szCs w:val="17"/>
          <w:color w:val="auto"/>
        </w:rPr>
      </w:pPr>
    </w:p>
    <w:p>
      <w:pPr>
        <w:ind w:left="620" w:right="540" w:hanging="303"/>
        <w:spacing w:after="0" w:line="283" w:lineRule="auto"/>
        <w:tabs>
          <w:tab w:leader="none" w:pos="6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Improved Safety and Recovery Profile: </w:t>
      </w:r>
      <w:r>
        <w:rPr>
          <w:rFonts w:ascii="Times New Roman" w:cs="Times New Roman" w:eastAsia="Times New Roman" w:hAnsi="Times New Roman"/>
          <w:sz w:val="17"/>
          <w:szCs w:val="17"/>
          <w:color w:val="auto"/>
        </w:rPr>
        <w:t>advances in technology have led to reduced recovery times and introduction of more minimally-invasive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procedures;</w:t>
      </w:r>
    </w:p>
    <w:p>
      <w:pPr>
        <w:spacing w:after="0" w:line="72" w:lineRule="exact"/>
        <w:rPr>
          <w:rFonts w:ascii="Times New Roman" w:cs="Times New Roman" w:eastAsia="Times New Roman" w:hAnsi="Times New Roman"/>
          <w:sz w:val="17"/>
          <w:szCs w:val="17"/>
          <w:color w:val="auto"/>
        </w:rPr>
      </w:pPr>
    </w:p>
    <w:p>
      <w:pPr>
        <w:ind w:left="620" w:right="700" w:hanging="303"/>
        <w:spacing w:after="0" w:line="283" w:lineRule="auto"/>
        <w:tabs>
          <w:tab w:leader="none" w:pos="6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Rise in Disposable Income: </w:t>
      </w:r>
      <w:r>
        <w:rPr>
          <w:rFonts w:ascii="Times New Roman" w:cs="Times New Roman" w:eastAsia="Times New Roman" w:hAnsi="Times New Roman"/>
          <w:sz w:val="17"/>
          <w:szCs w:val="17"/>
          <w:color w:val="auto"/>
        </w:rPr>
        <w:t>the global rise in disposable income provides individuals with greater discretionary funds for personal appearance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enhancements including cosmetic surgery; and</w:t>
      </w:r>
    </w:p>
    <w:p>
      <w:pPr>
        <w:spacing w:after="0" w:line="7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Increased Weight Gain in the Overall Population: </w:t>
      </w:r>
      <w:r>
        <w:rPr>
          <w:rFonts w:ascii="Times New Roman" w:cs="Times New Roman" w:eastAsia="Times New Roman" w:hAnsi="Times New Roman"/>
          <w:sz w:val="17"/>
          <w:szCs w:val="17"/>
          <w:color w:val="auto"/>
        </w:rPr>
        <w:t>worldwide prevalence of overweight and obesity in individuals continues to rise.</w:t>
      </w:r>
    </w:p>
    <w:p>
      <w:pPr>
        <w:spacing w:after="0" w:line="143" w:lineRule="exact"/>
        <w:rPr>
          <w:rFonts w:ascii="Times New Roman" w:cs="Times New Roman" w:eastAsia="Times New Roman" w:hAnsi="Times New Roman"/>
          <w:sz w:val="17"/>
          <w:szCs w:val="17"/>
          <w:color w:val="auto"/>
        </w:rPr>
      </w:pPr>
    </w:p>
    <w:p>
      <w:pPr>
        <w:ind w:left="620" w:right="20" w:hanging="303"/>
        <w:spacing w:after="0" w:line="299" w:lineRule="auto"/>
        <w:tabs>
          <w:tab w:leader="none" w:pos="6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Increased use of GLP-1 Weight Loss Drugs: </w:t>
      </w:r>
      <w:r>
        <w:rPr>
          <w:rFonts w:ascii="Times New Roman" w:cs="Times New Roman" w:eastAsia="Times New Roman" w:hAnsi="Times New Roman"/>
          <w:sz w:val="17"/>
          <w:szCs w:val="17"/>
          <w:color w:val="auto"/>
        </w:rPr>
        <w:t>increasing use of weight loss drugs may lead to increased demand for body contouring and skin tightening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procedures.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to Existing Procedures</w:t>
      </w:r>
    </w:p>
    <w:p>
      <w:pPr>
        <w:spacing w:after="0" w:line="1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Fat reduction and body contouring procedures have become increasingly popular, but many offerings have significant limitations. Existing procedures for fat reduction or body contouring, other than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currently include surgical procedures such as liposuction and abdominoplasty (tummy tuck) and non-surgical procedures that use cooling, injected medication or heat to reduce fat cells. We believe these procedures often have limited, inconsistent and less predictable results than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Many procedures can also involve significant pain and may require excess recovery time post-surgery.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AirSculpt</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Difference</w:t>
      </w:r>
    </w:p>
    <w:p>
      <w:pPr>
        <w:spacing w:after="0" w:line="9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is a minimally invasive procedure delivered in one session while the patient is awake. Each procedure is done by a trained surgeon for customized and precise results. As for discomfort, patients typically report limited soreness the next day following the procedure. We believe our procedures offer dramatic results to our patients.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attribute our success to the following strengths that differentiate us from our competitors: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Trusted Brand Redefining Body Contouring</w:t>
      </w:r>
    </w:p>
    <w:p>
      <w:pPr>
        <w:spacing w:after="0" w:line="144"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method was created to offer patients a gentler alternative to traditional fat removal procedures with transformative results delivered in a luxurious, spa-like environment. We specialize in body contouring through the minimally invasive removal of unwanted fat. The proprietary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method empowers our surgeons to use their high level of skill and artistry to deliver dramatic results personalized to our patients.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Beneficial Treatment Results and Premium Patient Experience, Underpinned by Proprietary AirSculpt</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Method</w:t>
      </w:r>
    </w:p>
    <w:p>
      <w:pPr>
        <w:spacing w:after="0" w:line="7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We believe that our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offer beneficial results and a premium patient experience. Our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are differentiated by our patented technology, broad and innovative procedures, elite patient experience, and highly skilled surgeons.</w:t>
      </w:r>
    </w:p>
    <w:p>
      <w:pPr>
        <w:spacing w:after="0" w:line="122" w:lineRule="exact"/>
        <w:rPr>
          <w:sz w:val="20"/>
          <w:szCs w:val="20"/>
          <w:color w:val="auto"/>
        </w:rPr>
      </w:pPr>
    </w:p>
    <w:p>
      <w:pPr>
        <w:jc w:val="both"/>
        <w:ind w:left="620" w:hanging="303"/>
        <w:spacing w:after="0" w:line="214" w:lineRule="auto"/>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AirSculpt</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Method: </w:t>
      </w:r>
      <w:r>
        <w:rPr>
          <w:rFonts w:ascii="Times New Roman" w:cs="Times New Roman" w:eastAsia="Times New Roman" w:hAnsi="Times New Roman"/>
          <w:sz w:val="17"/>
          <w:szCs w:val="17"/>
          <w:color w:val="auto"/>
        </w:rPr>
        <w:t>Our patented and precision-engineered method,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permanently removes fat and tightens skin while sculpting targeted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areas of the body through minimally invasive body contouring procedures. Unlike traditional liposuction which uses cannulae in a scraping motion,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drives a cannula 1,000 times per minute in a corkscrew motion to remove fat cells while tightening skin simultaneously. It requires no needle, no scalpel, no stitches and no general anesthesia to create dramatically natural, smooth results.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is minimally invasive, providing transformative results, all delivered in one session while the patient is awake.</w:t>
      </w:r>
    </w:p>
    <w:p>
      <w:pPr>
        <w:spacing w:after="0" w:line="99" w:lineRule="exact"/>
        <w:rPr>
          <w:rFonts w:ascii="Times New Roman" w:cs="Times New Roman" w:eastAsia="Times New Roman" w:hAnsi="Times New Roman"/>
          <w:sz w:val="17"/>
          <w:szCs w:val="17"/>
          <w:color w:val="auto"/>
        </w:rPr>
      </w:pPr>
    </w:p>
    <w:p>
      <w:pPr>
        <w:ind w:left="620" w:right="220"/>
        <w:spacing w:after="0" w:line="24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2024, our patent portfolio is comprised of two issued U.S. utility patents, one pending U.S. utility patent application, and one International (PCT) patent application, each of which we own directly. The tools we use to perform our fat removal and fat transfer procedures are purchased from third parties, and we do not own the proprietary rights to such tools. Instead of protecting specific, individual liposuction components (such as a particular handpiece design), our issued patents and our pending applications relate to certain proprietary implementations of the process described in the section “Our Technique, Training and Equipment,” and the combination of multiple components to form proprietary systems that are specially configured for carrying out those proprietary processes. We believe the systems and methodologies claimed in our issued patents provide impressive results with less patient trauma relative to other systems and methods, such as liposuction and abdominoplasty (tummy tuck), that require more invasive surgical procedures.</w:t>
      </w:r>
    </w:p>
    <w:p>
      <w:pPr>
        <w:spacing w:after="0" w:line="105" w:lineRule="exact"/>
        <w:rPr>
          <w:rFonts w:ascii="Times New Roman" w:cs="Times New Roman" w:eastAsia="Times New Roman" w:hAnsi="Times New Roman"/>
          <w:sz w:val="17"/>
          <w:szCs w:val="17"/>
          <w:color w:val="auto"/>
        </w:rPr>
      </w:pPr>
    </w:p>
    <w:p>
      <w:pPr>
        <w:ind w:left="620" w:hanging="303"/>
        <w:spacing w:after="0" w:line="299" w:lineRule="auto"/>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Broad Offering of Innovative, Body Sculpting Procedures: </w:t>
      </w:r>
      <w:r>
        <w:rPr>
          <w:rFonts w:ascii="Times New Roman" w:cs="Times New Roman" w:eastAsia="Times New Roman" w:hAnsi="Times New Roman"/>
          <w:sz w:val="17"/>
          <w:szCs w:val="17"/>
          <w:color w:val="auto"/>
        </w:rPr>
        <w:t>We offer our patients a comprehensive suite of customized body contouring procedures,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fat removal and fat transfer, to meet their wants and needs.</w:t>
      </w:r>
    </w:p>
    <w:p>
      <w:pPr>
        <w:spacing w:after="0" w:line="63" w:lineRule="exact"/>
        <w:rPr>
          <w:rFonts w:ascii="Times New Roman" w:cs="Times New Roman" w:eastAsia="Times New Roman" w:hAnsi="Times New Roman"/>
          <w:sz w:val="17"/>
          <w:szCs w:val="17"/>
          <w:color w:val="auto"/>
        </w:rPr>
      </w:pPr>
    </w:p>
    <w:p>
      <w:pPr>
        <w:jc w:val="both"/>
        <w:ind w:left="62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fat removal procedures remove a patient’s stubborn fat from a variety of treatment areas, such as the stomach, back and buttocks. We created our popular </w:t>
      </w:r>
      <w:r>
        <w:rPr>
          <w:rFonts w:ascii="Times New Roman" w:cs="Times New Roman" w:eastAsia="Times New Roman" w:hAnsi="Times New Roman"/>
          <w:sz w:val="17"/>
          <w:szCs w:val="17"/>
          <w:i w:val="1"/>
          <w:iCs w:val="1"/>
          <w:color w:val="auto"/>
        </w:rPr>
        <w:t>48-Hour Six Pack™</w:t>
      </w:r>
      <w:r>
        <w:rPr>
          <w:rFonts w:ascii="Times New Roman" w:cs="Times New Roman" w:eastAsia="Times New Roman" w:hAnsi="Times New Roman"/>
          <w:sz w:val="17"/>
          <w:szCs w:val="17"/>
          <w:color w:val="auto"/>
        </w:rPr>
        <w:t xml:space="preserve"> procedure to enhance and reveal abdominal muscles in just one session by removing the stubborn pockets of fat hiding one’s six-pack.</w:t>
      </w:r>
    </w:p>
    <w:p>
      <w:pPr>
        <w:spacing w:after="0" w:line="96" w:lineRule="exact"/>
        <w:rPr>
          <w:rFonts w:ascii="Times New Roman" w:cs="Times New Roman" w:eastAsia="Times New Roman" w:hAnsi="Times New Roman"/>
          <w:sz w:val="17"/>
          <w:szCs w:val="17"/>
          <w:color w:val="auto"/>
        </w:rPr>
      </w:pPr>
    </w:p>
    <w:p>
      <w:pPr>
        <w:ind w:left="620"/>
        <w:spacing w:after="0" w:line="27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also offer fat transfer procedures, during which our surgeons transfer a patient’s collected fat cells to enhance the buttocks, breast, hips or aging hands to naturally enhance or sharpen a patient’s contours. Some of our most popular fat transfer procedures are:</w:t>
      </w:r>
    </w:p>
    <w:p>
      <w:pPr>
        <w:spacing w:after="0" w:line="79" w:lineRule="exact"/>
        <w:rPr>
          <w:rFonts w:ascii="Times New Roman" w:cs="Times New Roman" w:eastAsia="Times New Roman" w:hAnsi="Times New Roman"/>
          <w:sz w:val="17"/>
          <w:szCs w:val="17"/>
          <w:color w:val="auto"/>
        </w:rPr>
      </w:pPr>
    </w:p>
    <w:p>
      <w:pPr>
        <w:ind w:left="1260" w:hanging="318"/>
        <w:spacing w:after="0" w:line="233" w:lineRule="auto"/>
        <w:tabs>
          <w:tab w:leader="none" w:pos="125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Power BBL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Brazilian Butt Lift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which removes a patient’s unwanted fat from areas such as tummy or thighs and transfers it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buttocks, giving a flatter stomach and slimmer waist, while shaping the buttocks and tightening the skin;</w:t>
      </w:r>
    </w:p>
    <w:p>
      <w:pPr>
        <w:spacing w:after="0" w:line="108" w:lineRule="exact"/>
        <w:rPr>
          <w:rFonts w:ascii="Times New Roman" w:cs="Times New Roman" w:eastAsia="Times New Roman" w:hAnsi="Times New Roman"/>
          <w:sz w:val="17"/>
          <w:szCs w:val="17"/>
          <w:color w:val="auto"/>
        </w:rPr>
      </w:pPr>
    </w:p>
    <w:p>
      <w:pPr>
        <w:ind w:left="1260" w:hanging="318"/>
        <w:spacing w:after="0" w:line="234" w:lineRule="auto"/>
        <w:tabs>
          <w:tab w:leader="none" w:pos="125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Up a Cup</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xml:space="preserve"> Breast Augmentation</w:t>
      </w:r>
      <w:r>
        <w:rPr>
          <w:rFonts w:ascii="Times New Roman" w:cs="Times New Roman" w:eastAsia="Times New Roman" w:hAnsi="Times New Roman"/>
          <w:sz w:val="17"/>
          <w:szCs w:val="17"/>
          <w:color w:val="auto"/>
        </w:rPr>
        <w:t>, which removes a patient’s natural fat, typically from the tummy or thighs, and transfers it to the breasts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size by about one cup.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enhanced breasts are all natural. No silicone or other foreign material is implanted; and</w:t>
      </w:r>
    </w:p>
    <w:p>
      <w:pPr>
        <w:spacing w:after="0" w:line="42" w:lineRule="exact"/>
        <w:rPr>
          <w:rFonts w:ascii="Times New Roman" w:cs="Times New Roman" w:eastAsia="Times New Roman" w:hAnsi="Times New Roman"/>
          <w:sz w:val="17"/>
          <w:szCs w:val="17"/>
          <w:color w:val="auto"/>
        </w:rPr>
      </w:pPr>
    </w:p>
    <w:p>
      <w:pPr>
        <w:ind w:left="1260" w:hanging="318"/>
        <w:spacing w:after="0" w:line="239" w:lineRule="auto"/>
        <w:tabs>
          <w:tab w:leader="none" w:pos="125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Hip Flip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which removes unwanted fat from one area of the body and transfers it to the hips to fill in the “hip dip” to create the coveted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hourglass figure. It is often performed in combination with the Power BBL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w:t>
      </w:r>
    </w:p>
    <w:p>
      <w:pPr>
        <w:spacing w:after="0" w:line="3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7"/>
          <w:szCs w:val="17"/>
          <w:color w:val="auto"/>
        </w:rPr>
        <w:t>We are continuously innovating to better serve our patients. In 2020, we started performing and trademarked the Hip Flip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Since then, we have continued to innovate and in 2020 we introduced the CankCure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which removes fat and contours the calf and ankle area. In 2022, we introduced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 and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Smooth, as discussed above. We are only in the beginning stages of innovation and have much more to introduce to the body contouring field.</w:t>
      </w:r>
    </w:p>
    <w:p>
      <w:pPr>
        <w:spacing w:after="0" w:line="111" w:lineRule="exact"/>
        <w:rPr>
          <w:sz w:val="20"/>
          <w:szCs w:val="20"/>
          <w:color w:val="auto"/>
        </w:rPr>
      </w:pPr>
    </w:p>
    <w:p>
      <w:pPr>
        <w:jc w:val="both"/>
        <w:ind w:left="620" w:hanging="303"/>
        <w:spacing w:after="0" w:line="269" w:lineRule="auto"/>
        <w:tabs>
          <w:tab w:leader="none" w:pos="6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Premium Patient Experience: </w:t>
      </w:r>
      <w:r>
        <w:rPr>
          <w:rFonts w:ascii="Times New Roman" w:cs="Times New Roman" w:eastAsia="Times New Roman" w:hAnsi="Times New Roman"/>
          <w:sz w:val="17"/>
          <w:szCs w:val="17"/>
          <w:color w:val="auto"/>
        </w:rPr>
        <w:t>We offer our patients a premium consumer experience. From the initial consultation to the day of procedure, our patients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are guided by knowledgeable patient care consultants. Our centers are located near high end retail environments, such as Rodeo Drive in Beverly Hills and Fifth Avenue in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20"/>
        <w:spacing w:after="0" w:line="278" w:lineRule="auto"/>
        <w:rPr>
          <w:sz w:val="20"/>
          <w:szCs w:val="20"/>
          <w:color w:val="auto"/>
        </w:rPr>
      </w:pPr>
      <w:r>
        <w:rPr>
          <w:rFonts w:ascii="Times New Roman" w:cs="Times New Roman" w:eastAsia="Times New Roman" w:hAnsi="Times New Roman"/>
          <w:sz w:val="17"/>
          <w:szCs w:val="17"/>
          <w:color w:val="auto"/>
        </w:rPr>
        <w:t>New York. The centers are designed and furnished with furniture from a high-end retailer with the patient experience in mind, offering a comfortable and calming environment ahead of and after the procedure. We offer our patients the choice of virtual consults prior to their procedures.</w:t>
      </w:r>
    </w:p>
    <w:p>
      <w:pPr>
        <w:spacing w:after="0" w:line="77" w:lineRule="exact"/>
        <w:rPr>
          <w:sz w:val="20"/>
          <w:szCs w:val="20"/>
          <w:color w:val="auto"/>
        </w:rPr>
      </w:pPr>
    </w:p>
    <w:p>
      <w:pPr>
        <w:jc w:val="both"/>
        <w:ind w:left="620" w:hanging="303"/>
        <w:spacing w:after="0" w:line="271" w:lineRule="auto"/>
        <w:tabs>
          <w:tab w:leader="none" w:pos="6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Elite Surgeons: </w:t>
      </w:r>
      <w:r>
        <w:rPr>
          <w:rFonts w:ascii="Times New Roman" w:cs="Times New Roman" w:eastAsia="Times New Roman" w:hAnsi="Times New Roman"/>
          <w:sz w:val="17"/>
          <w:szCs w:val="17"/>
          <w:color w:val="auto"/>
        </w:rPr>
        <w:t>Our surgeons are chosen not only for their medical skills, generally as plastic or cosmetic surgeons, but also for their artistic vision.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They are selected to join our nationwide practice because they are at the top of their profession, specialize in body sculpting, and have artistic skill. Before working on AirSculpt patients, each surgeon completes extensive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training to ensure the best results for every patient and treatment.</w:t>
      </w:r>
    </w:p>
    <w:p>
      <w:pPr>
        <w:spacing w:after="0" w:line="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offer our surgeons a compelling economic opportunity, with annual compensation for part-time work at AirSculpt often higher than the average full-time salary in a private practice. By joining AirSculpt, surgeons are also able to grow their private practices by attracting Elite patients to their private practice for non-body contouring procedures, such as face lifts and injectables. Our surgeons are also featured on our social media platforms.</w:t>
      </w:r>
    </w:p>
    <w:p>
      <w:pPr>
        <w:spacing w:after="0" w:line="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allows the surgeon to provide high quality outcomes to patients while being less physically demanding on the surgeon than traditional liposuction. As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is only available for use at AirSculpt centers, we protect our brand and are able to retain high quality surgeons.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National and International Footprint Fueled by Attractive Unit Economics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have a growing national footprint consisting of 32 centers across 20 U.S. states, Canada, and the United Kingdom as of March 14, 2025. Our centers are located primarily in metropolitan cities near retail shops that our patients frequent and popular areas. On average, our centers contain two procedure rooms with the capacity to perform up to 36 surgeries a week, in addition to additional consultation offices for prospective patients. Our accreditation as an office-based practice under the Joint Commission demonstrates our commitment to safety and quality. In 2024, we generated revenue per case of $12,849 on average. We require 100% private pay upfront and face no reimbursement risk.</w:t>
      </w:r>
    </w:p>
    <w:p>
      <w:pPr>
        <w:spacing w:after="0" w:line="1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centers generate highly attractive unit-level economics and require only a modest investment to open. Our centers typically achieve profitability within approximately three months, providing AirSculpt with a highly attractive and near-immediate return on invested capital. We believe our focus on returning to same-store revenue growth though optimizing marketing investments, enhancing sales strategies, expanding consumer financing options and adding new product lines will enhance the unit level economics over the levels we saw in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Scaled Platform and Consistent Demand Drives Capital Efficient Growth and Free Cash Flow</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Our operating model is highly scalable and enables capital efficient growth. For the year ended December 31, 2024, we generated approximately $180 million of revenue compared to approximately $196 million for the year ended December 31, 2023, which represents an approximately 7.9% decline. We have a capital efficient business that requires minimal maintenance capital expenditures and working capital to support our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Experienced Founder-Led Management Team to Support Growth</w:t>
      </w:r>
    </w:p>
    <w:p>
      <w:pPr>
        <w:spacing w:after="0" w:line="1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are led by an experienced team united by our vision to redefine body contouring and a belief in our long-term growth potential. Our founder and Executive Chairman of our board of directors, Dr. Aaron Rollins, is a celebrity cosmetic surgeon that is recognized as a leader in body sculpting and has been featured across digital, print and TV. Dr. Rollins has been a licensed cosmetic surgeon since 2004. In addition, our Lead Independent Director, Adam Feinstein, who founded Vesey Street Capital Partners, L.L.C., our private equity sponsor (“Sponsor”), has 25 years of experience working with many of the leading healthcare services companies, including service as a member of public and private healthcare company board of directors. Our Chief Financial Officer, Dennis Dean, who has over 20 years of experience in the healthcare industry, including at Envision Healthcare and Surgery Partners, joined the team in 2021 prior to our IPO.</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Further, AirSculpt's founder and former Chief Executive Officer, Dr. Aaron Rollins, serves as Executive Chairman of the board of directors. Dr. Rollins is primarily focused on leading the Company’s overall vision and providing strategic guidance. In addition, Yogi Jashnani became Chief Executive Officer in January 2025. Mr. Jashnani served as the Chief Revenue Officer of Sky Zone, Inc. from November 2023 to January 2025 (and as a consultant in the same role from April 2023 to November 2023), and as Chief Commercial Officer of Ideal Image Development Corp., from December 2019 to March 2023. We have built a strong and experienced team across our marketing and operations functions that is highly scalable and capable of supporting future growth.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deliver long-term growth in revenue and profitability by executing on the following strategies:</w:t>
      </w:r>
    </w:p>
    <w:p>
      <w:pPr>
        <w:spacing w:after="0" w:line="100" w:lineRule="exact"/>
        <w:rPr>
          <w:sz w:val="20"/>
          <w:szCs w:val="20"/>
          <w:color w:val="auto"/>
        </w:rPr>
      </w:pPr>
    </w:p>
    <w:p>
      <w:pPr>
        <w:ind w:left="480" w:hanging="163"/>
        <w:spacing w:after="0" w:line="283" w:lineRule="auto"/>
        <w:tabs>
          <w:tab w:leader="none" w:pos="47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Continue to Grow Our Brand Awareness and Attract New Patients: </w:t>
      </w:r>
      <w:r>
        <w:rPr>
          <w:rFonts w:ascii="Times New Roman" w:cs="Times New Roman" w:eastAsia="Times New Roman" w:hAnsi="Times New Roman"/>
          <w:sz w:val="17"/>
          <w:szCs w:val="17"/>
          <w:color w:val="auto"/>
        </w:rPr>
        <w:t>We believe that consumer trends towards greater acceptance of body contouring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cosmetic treatments will continue to expand the market for our services.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spacing w:after="0" w:line="262" w:lineRule="auto"/>
        <w:rPr>
          <w:sz w:val="20"/>
          <w:szCs w:val="20"/>
          <w:color w:val="auto"/>
        </w:rPr>
      </w:pPr>
      <w:r>
        <w:rPr>
          <w:rFonts w:ascii="Times New Roman" w:cs="Times New Roman" w:eastAsia="Times New Roman" w:hAnsi="Times New Roman"/>
          <w:sz w:val="17"/>
          <w:szCs w:val="17"/>
          <w:color w:val="auto"/>
        </w:rPr>
        <w:t>We believe we are a leading provider of body contouring procedures and that there is a significant opportunity to drive awareness and adoption of our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method and procedure offerings.</w:t>
      </w:r>
    </w:p>
    <w:p>
      <w:pPr>
        <w:spacing w:after="0" w:line="1" w:lineRule="exact"/>
        <w:rPr>
          <w:sz w:val="20"/>
          <w:szCs w:val="20"/>
          <w:color w:val="auto"/>
        </w:rPr>
      </w:pPr>
    </w:p>
    <w:p>
      <w:pPr>
        <w:ind w:left="480" w:hanging="163"/>
        <w:spacing w:after="0" w:line="299" w:lineRule="auto"/>
        <w:tabs>
          <w:tab w:leader="none" w:pos="47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Continue to Drive Sales Growth of Our Centers: </w:t>
      </w:r>
      <w:r>
        <w:rPr>
          <w:rFonts w:ascii="Times New Roman" w:cs="Times New Roman" w:eastAsia="Times New Roman" w:hAnsi="Times New Roman"/>
          <w:sz w:val="17"/>
          <w:szCs w:val="17"/>
          <w:color w:val="auto"/>
        </w:rPr>
        <w:t>We employ the following strategies to increase our procedures performed and drive higher revenue per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procedure in existing centers:</w:t>
      </w:r>
    </w:p>
    <w:p>
      <w:pPr>
        <w:spacing w:after="0" w:line="61" w:lineRule="exact"/>
        <w:rPr>
          <w:rFonts w:ascii="Times New Roman" w:cs="Times New Roman" w:eastAsia="Times New Roman" w:hAnsi="Times New Roman"/>
          <w:sz w:val="17"/>
          <w:szCs w:val="17"/>
          <w:color w:val="auto"/>
        </w:rPr>
      </w:pPr>
    </w:p>
    <w:p>
      <w:pPr>
        <w:jc w:val="both"/>
        <w:ind w:left="1100" w:hanging="158"/>
        <w:spacing w:after="0" w:line="254" w:lineRule="auto"/>
        <w:tabs>
          <w:tab w:leader="none" w:pos="1122"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Increase speed and efficiency of patient onboarding to increase utilization and reduce patient waiting times: </w:t>
      </w:r>
      <w:r>
        <w:rPr>
          <w:rFonts w:ascii="Times New Roman" w:cs="Times New Roman" w:eastAsia="Times New Roman" w:hAnsi="Times New Roman"/>
          <w:sz w:val="17"/>
          <w:szCs w:val="17"/>
          <w:color w:val="auto"/>
        </w:rPr>
        <w:t>We have and will continue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execute initiatives that increase the speed through which patients convert from initial consultation to procedure. These initiatives include responding more efficiently to patient inquiries and utilizing virtual consultations that enable our patients to speak with surgeons and qualified patient care representatives in the convenience of their own home or office, making it easier and quicker to schedule a procedure and reduce overall waiting time.</w:t>
      </w:r>
    </w:p>
    <w:p>
      <w:pPr>
        <w:spacing w:after="0" w:line="98" w:lineRule="exact"/>
        <w:rPr>
          <w:rFonts w:ascii="Times New Roman" w:cs="Times New Roman" w:eastAsia="Times New Roman" w:hAnsi="Times New Roman"/>
          <w:sz w:val="17"/>
          <w:szCs w:val="17"/>
          <w:color w:val="auto"/>
        </w:rPr>
      </w:pPr>
    </w:p>
    <w:p>
      <w:pPr>
        <w:jc w:val="both"/>
        <w:ind w:left="1100" w:hanging="158"/>
        <w:spacing w:after="0" w:line="243" w:lineRule="auto"/>
        <w:tabs>
          <w:tab w:leader="none" w:pos="110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Continue to introduce new, innovative procedures: </w:t>
      </w:r>
      <w:r>
        <w:rPr>
          <w:rFonts w:ascii="Times New Roman" w:cs="Times New Roman" w:eastAsia="Times New Roman" w:hAnsi="Times New Roman"/>
          <w:sz w:val="17"/>
          <w:szCs w:val="17"/>
          <w:color w:val="auto"/>
        </w:rPr>
        <w:t>Since our founding in 2012, we have demonstrated our ability to innovate with the novel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introduction of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method to the cosmetic surgery field. Over the past decade, we have generated more revenue per patient, which we believe is a direct result of our successful introduction of new procedures to meet our patients’ needs. Fat transfer has been a highly successful innovation and is now a critical component of our offering, enabling the artistry of many of our most popular and highest revenue procedures. We also continue to develop new procedures, such as the Hip Flip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CankCure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to meet our patients’ demand and drive traffic to our centers.</w:t>
      </w:r>
    </w:p>
    <w:p>
      <w:pPr>
        <w:spacing w:after="0" w:line="27" w:lineRule="exact"/>
        <w:rPr>
          <w:rFonts w:ascii="Times New Roman" w:cs="Times New Roman" w:eastAsia="Times New Roman" w:hAnsi="Times New Roman"/>
          <w:sz w:val="17"/>
          <w:szCs w:val="17"/>
          <w:color w:val="auto"/>
        </w:rPr>
      </w:pPr>
    </w:p>
    <w:p>
      <w:pPr>
        <w:ind w:left="1100" w:right="240" w:hanging="158"/>
        <w:spacing w:after="0" w:line="296" w:lineRule="auto"/>
        <w:tabs>
          <w:tab w:leader="none" w:pos="1096"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Increase prices on procedures: </w:t>
      </w:r>
      <w:r>
        <w:rPr>
          <w:rFonts w:ascii="Times New Roman" w:cs="Times New Roman" w:eastAsia="Times New Roman" w:hAnsi="Times New Roman"/>
          <w:sz w:val="17"/>
          <w:szCs w:val="17"/>
          <w:color w:val="auto"/>
        </w:rPr>
        <w:t>We have an ability to increase prices on our procedures driven by the strong value proposition that our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offer to our patients.</w:t>
      </w:r>
    </w:p>
    <w:p>
      <w:pPr>
        <w:spacing w:after="0" w:line="64" w:lineRule="exact"/>
        <w:rPr>
          <w:rFonts w:ascii="Times New Roman" w:cs="Times New Roman" w:eastAsia="Times New Roman" w:hAnsi="Times New Roman"/>
          <w:sz w:val="17"/>
          <w:szCs w:val="17"/>
          <w:color w:val="auto"/>
        </w:rPr>
      </w:pPr>
    </w:p>
    <w:p>
      <w:pPr>
        <w:ind w:left="1100" w:right="60" w:hanging="158"/>
        <w:spacing w:after="0" w:line="260" w:lineRule="auto"/>
        <w:tabs>
          <w:tab w:leader="none" w:pos="1096"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Optimizing Marketing Investment</w:t>
      </w:r>
      <w:r>
        <w:rPr>
          <w:rFonts w:ascii="Times New Roman" w:cs="Times New Roman" w:eastAsia="Times New Roman" w:hAnsi="Times New Roman"/>
          <w:sz w:val="17"/>
          <w:szCs w:val="17"/>
          <w:color w:val="auto"/>
        </w:rPr>
        <w:t>: As part of our long-term growth strategy, we are focused on optimizing our marketing investment to enhance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efficiency, improve return on investment, and drive sustainable revenue growth. By leveraging data-driven insights, we aim to allocate marketing resources more effectively across channels, ensuring that each dollar spent contributes to measurable business outcomes.</w:t>
      </w:r>
    </w:p>
    <w:p>
      <w:pPr>
        <w:spacing w:after="0" w:line="94" w:lineRule="exact"/>
        <w:rPr>
          <w:rFonts w:ascii="Times New Roman" w:cs="Times New Roman" w:eastAsia="Times New Roman" w:hAnsi="Times New Roman"/>
          <w:sz w:val="17"/>
          <w:szCs w:val="17"/>
          <w:color w:val="auto"/>
        </w:rPr>
      </w:pPr>
    </w:p>
    <w:p>
      <w:pPr>
        <w:ind w:left="1100" w:hanging="158"/>
        <w:spacing w:after="0" w:line="268" w:lineRule="auto"/>
        <w:tabs>
          <w:tab w:leader="none" w:pos="1096"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Expanding Financing Offerings</w:t>
      </w:r>
      <w:r>
        <w:rPr>
          <w:rFonts w:ascii="Times New Roman" w:cs="Times New Roman" w:eastAsia="Times New Roman" w:hAnsi="Times New Roman"/>
          <w:sz w:val="17"/>
          <w:szCs w:val="17"/>
          <w:color w:val="auto"/>
        </w:rPr>
        <w:t>: We are focused on expanding consumer financing options to enhance affordability, increase customer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accessibility, and drive sales growth. By offering flexible payment solutions, we aim to attract a broader customer base, improve conversion rates, and strengthen customer loyalty.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employ the following strategies to drive brand awareness:</w:t>
      </w:r>
    </w:p>
    <w:p>
      <w:pPr>
        <w:spacing w:after="0" w:line="100" w:lineRule="exact"/>
        <w:rPr>
          <w:sz w:val="20"/>
          <w:szCs w:val="20"/>
          <w:color w:val="auto"/>
        </w:rPr>
      </w:pPr>
    </w:p>
    <w:p>
      <w:pPr>
        <w:jc w:val="both"/>
        <w:ind w:left="480" w:hanging="163"/>
        <w:spacing w:after="0" w:line="222" w:lineRule="auto"/>
        <w:tabs>
          <w:tab w:leader="none" w:pos="47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Developing digital content, including a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before and after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photo gallery and AirSculpt</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TV: </w:t>
      </w:r>
      <w:r>
        <w:rPr>
          <w:rFonts w:ascii="Times New Roman" w:cs="Times New Roman" w:eastAsia="Times New Roman" w:hAnsi="Times New Roman"/>
          <w:sz w:val="17"/>
          <w:szCs w:val="17"/>
          <w:color w:val="auto"/>
        </w:rPr>
        <w:t>We have collected a catalog of over 250,000 “before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after” photos, showcasing our treatment outcomes. Our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TV program, featured on our AirSculpt Instagram page and website, provides a never-before seen transparency in our space. We will continue to develop high quality digital content that highlights the transformative power of our minimally invasive procedures.</w:t>
      </w:r>
    </w:p>
    <w:p>
      <w:pPr>
        <w:spacing w:after="0" w:line="82" w:lineRule="exact"/>
        <w:rPr>
          <w:rFonts w:ascii="Times New Roman" w:cs="Times New Roman" w:eastAsia="Times New Roman" w:hAnsi="Times New Roman"/>
          <w:sz w:val="17"/>
          <w:szCs w:val="17"/>
          <w:color w:val="auto"/>
        </w:rPr>
      </w:pPr>
    </w:p>
    <w:p>
      <w:pPr>
        <w:jc w:val="both"/>
        <w:ind w:left="480" w:hanging="163"/>
        <w:spacing w:after="0" w:line="261" w:lineRule="auto"/>
        <w:tabs>
          <w:tab w:leader="none" w:pos="47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Social, digital and traditional marketing: </w:t>
      </w:r>
      <w:r>
        <w:rPr>
          <w:rFonts w:ascii="Times New Roman" w:cs="Times New Roman" w:eastAsia="Times New Roman" w:hAnsi="Times New Roman"/>
          <w:sz w:val="17"/>
          <w:szCs w:val="17"/>
          <w:color w:val="auto"/>
        </w:rPr>
        <w:t>Our in-house marketing team generates continuous media coverage of our offering across social, digital,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traditional media channels, such as magazines and TV. By using web-based lead generation, we generate over 400,000 monthly website visits, primarily through optimized spend on Google’s marketing engine.</w:t>
      </w:r>
    </w:p>
    <w:p>
      <w:pPr>
        <w:spacing w:after="0" w:line="65" w:lineRule="exact"/>
        <w:rPr>
          <w:rFonts w:ascii="Times New Roman" w:cs="Times New Roman" w:eastAsia="Times New Roman" w:hAnsi="Times New Roman"/>
          <w:sz w:val="17"/>
          <w:szCs w:val="17"/>
          <w:color w:val="auto"/>
        </w:rPr>
      </w:pPr>
    </w:p>
    <w:p>
      <w:pPr>
        <w:ind w:left="480" w:hanging="163"/>
        <w:spacing w:after="0" w:line="283" w:lineRule="auto"/>
        <w:tabs>
          <w:tab w:leader="none" w:pos="47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Celebrity endorsements: </w:t>
      </w:r>
      <w:r>
        <w:rPr>
          <w:rFonts w:ascii="Times New Roman" w:cs="Times New Roman" w:eastAsia="Times New Roman" w:hAnsi="Times New Roman"/>
          <w:sz w:val="17"/>
          <w:szCs w:val="17"/>
          <w:color w:val="auto"/>
        </w:rPr>
        <w:t>We collaborate with celebrity influencers and TV personalities to drive continuous media coverage that raises brand awareness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social acceptance of our procedures.</w:t>
      </w:r>
    </w:p>
    <w:p>
      <w:pPr>
        <w:spacing w:after="0" w:line="33" w:lineRule="exact"/>
        <w:rPr>
          <w:rFonts w:ascii="Times New Roman" w:cs="Times New Roman" w:eastAsia="Times New Roman" w:hAnsi="Times New Roman"/>
          <w:sz w:val="17"/>
          <w:szCs w:val="17"/>
          <w:color w:val="auto"/>
        </w:rPr>
      </w:pPr>
    </w:p>
    <w:p>
      <w:pPr>
        <w:ind w:left="480" w:hanging="163"/>
        <w:spacing w:after="0" w:line="299" w:lineRule="auto"/>
        <w:tabs>
          <w:tab w:leader="none" w:pos="47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Patient testimonials: </w:t>
      </w:r>
      <w:r>
        <w:rPr>
          <w:rFonts w:ascii="Times New Roman" w:cs="Times New Roman" w:eastAsia="Times New Roman" w:hAnsi="Times New Roman"/>
          <w:sz w:val="17"/>
          <w:szCs w:val="17"/>
          <w:color w:val="auto"/>
        </w:rPr>
        <w:t>Our patients are some of the best advocates for our brand, with many recommending our procedures to family and friends. 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encourage our patients to share their “before and after” photos on social media.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156"/>
        <w:spacing w:after="0" w:line="278" w:lineRule="auto"/>
        <w:rPr>
          <w:sz w:val="20"/>
          <w:szCs w:val="20"/>
          <w:color w:val="auto"/>
        </w:rPr>
      </w:pPr>
      <w:r>
        <w:rPr>
          <w:rFonts w:ascii="Times New Roman" w:cs="Times New Roman" w:eastAsia="Times New Roman" w:hAnsi="Times New Roman"/>
          <w:sz w:val="17"/>
          <w:szCs w:val="17"/>
          <w:color w:val="auto"/>
        </w:rPr>
        <w:t>While we are not likely to open new centers in the near term due to initiatives to improve liquidity, we do believe opening new centers in North America remains a part of our long-term growth strategy. We employ the following strategies to expand our footprint:</w:t>
      </w:r>
    </w:p>
    <w:p>
      <w:pPr>
        <w:spacing w:after="0" w:line="103" w:lineRule="exact"/>
        <w:rPr>
          <w:sz w:val="20"/>
          <w:szCs w:val="20"/>
          <w:color w:val="auto"/>
        </w:rPr>
      </w:pPr>
    </w:p>
    <w:p>
      <w:pPr>
        <w:jc w:val="both"/>
        <w:ind w:left="480" w:hanging="163"/>
        <w:spacing w:after="0" w:line="246" w:lineRule="auto"/>
        <w:tabs>
          <w:tab w:leader="none" w:pos="475"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b w:val="1"/>
          <w:bCs w:val="1"/>
          <w:i w:val="1"/>
          <w:iCs w:val="1"/>
          <w:color w:val="auto"/>
        </w:rPr>
        <w:t xml:space="preserve">Expand Footprint by Opening New Centers in the United States: </w:t>
      </w:r>
      <w:r>
        <w:rPr>
          <w:rFonts w:ascii="Times New Roman" w:cs="Times New Roman" w:eastAsia="Times New Roman" w:hAnsi="Times New Roman"/>
          <w:sz w:val="17"/>
          <w:szCs w:val="17"/>
          <w:color w:val="auto"/>
        </w:rPr>
        <w:t>We believe our track record of successfully opening new AirSculpt centers consistently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generating strong unit-level economics validates our strategy across the United States. In order to ensure our new centers are profitable, we follow the same business plan for each new center. A new center is generally profitable within the first few months of opening, supported by our 100% upfront private pay policy. We have strong conviction in our ability to continuously improve our unit economics as we open additional centers in the United States. With our patient care consultants and surgeons performing virtual consultations ahead of store openings, we are able to pre-book procedures and can begin performing surgeries on a center’s opening day, accelerating the ramp up of those centers.</w:t>
      </w:r>
    </w:p>
    <w:p>
      <w:pPr>
        <w:spacing w:after="0" w:line="105" w:lineRule="exact"/>
        <w:rPr>
          <w:rFonts w:ascii="Arial" w:cs="Arial" w:eastAsia="Arial" w:hAnsi="Arial"/>
          <w:sz w:val="21"/>
          <w:szCs w:val="21"/>
          <w:color w:val="auto"/>
        </w:rPr>
      </w:pPr>
    </w:p>
    <w:p>
      <w:pPr>
        <w:jc w:val="both"/>
        <w:ind w:left="480" w:hanging="163"/>
        <w:spacing w:after="0" w:line="261" w:lineRule="auto"/>
        <w:tabs>
          <w:tab w:leader="none" w:pos="47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Disciplined Approach to Choosing Potential Markets: </w:t>
      </w:r>
      <w:r>
        <w:rPr>
          <w:rFonts w:ascii="Times New Roman" w:cs="Times New Roman" w:eastAsia="Times New Roman" w:hAnsi="Times New Roman"/>
          <w:sz w:val="17"/>
          <w:szCs w:val="17"/>
          <w:color w:val="auto"/>
        </w:rPr>
        <w:t>Management uses a disciplined approach to choose potential markets, opening centers at minimal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cost located near premium retail shops that our patients frequent. We believe there is a significant North American growth opportunity of over 200 potential locations in the U.S. and Canada and will continue to opportunistically evaluate new center openings.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Technique, Training and Equipment</w:t>
      </w:r>
    </w:p>
    <w:p>
      <w:pPr>
        <w:spacing w:after="0" w:line="14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is a proprietary, patented method of tumescent liposuction that removes unwanted fat from several targeted areas of the body in a minimally invasive procedure, producing dramatic results. By contrast to traditional liposuction,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requires no needle, no scalpel, no stitches and no general anesthesia, with patients remaining awake during the procedure. We train our surgeons in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for which we possess a patent covering the process. Our surgeons are contractually prohibited from performing AirSculpt’s proprietary procedures, including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if they leave AirSculpt.</w:t>
      </w:r>
    </w:p>
    <w:p>
      <w:pPr>
        <w:sectPr>
          <w:pgSz w:w="11900" w:h="16838" w:orient="portrait"/>
          <w:cols w:equalWidth="0" w:num="1">
            <w:col w:w="11240"/>
          </w:cols>
          <w:pgMar w:left="320" w:top="499"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 Pain Management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740"/>
        <w:spacing w:after="0" w:line="246" w:lineRule="auto"/>
        <w:rPr>
          <w:sz w:val="20"/>
          <w:szCs w:val="20"/>
          <w:color w:val="auto"/>
        </w:rPr>
      </w:pPr>
      <w:r>
        <w:rPr>
          <w:rFonts w:ascii="Times New Roman" w:cs="Times New Roman" w:eastAsia="Times New Roman" w:hAnsi="Times New Roman"/>
          <w:sz w:val="17"/>
          <w:szCs w:val="17"/>
          <w:color w:val="auto"/>
        </w:rPr>
        <w:t>Prior to the procedure, patient is given a sedative cocktail and local anesthesia via air pressure from a needleless jet injector.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-250190</wp:posOffset>
            </wp:positionV>
            <wp:extent cx="975995" cy="835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5995" cy="83502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5120" w:space="720"/>
            <w:col w:w="5400"/>
          </w:cols>
          <w:pgMar w:left="320" w:top="499" w:right="339" w:bottom="1440" w:gutter="0" w:footer="0" w:header="0"/>
          <w:type w:val="continuous"/>
        </w:sectPr>
      </w:pPr>
    </w:p>
    <w:p>
      <w:pPr>
        <w:ind w:left="5840"/>
        <w:spacing w:after="0"/>
        <w:rPr>
          <w:sz w:val="20"/>
          <w:szCs w:val="20"/>
          <w:color w:val="auto"/>
        </w:rPr>
      </w:pPr>
      <w:r>
        <w:rPr>
          <w:rFonts w:ascii="Times New Roman" w:cs="Times New Roman" w:eastAsia="Times New Roman" w:hAnsi="Times New Roman"/>
          <w:sz w:val="17"/>
          <w:szCs w:val="17"/>
          <w:b w:val="1"/>
          <w:bCs w:val="1"/>
          <w:i w:val="1"/>
          <w:iCs w:val="1"/>
          <w:color w:val="auto"/>
        </w:rPr>
        <w:t>*Patient remains fully awake during the procedure</w:t>
      </w:r>
    </w:p>
    <w:p>
      <w:pPr>
        <w:sectPr>
          <w:pgSz w:w="11900" w:h="16838" w:orient="portrait"/>
          <w:cols w:equalWidth="0" w:num="1">
            <w:col w:w="11240"/>
          </w:cols>
          <w:pgMar w:left="320" w:top="4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40" w:right="160" w:hanging="5821"/>
        <w:spacing w:after="0" w:line="278" w:lineRule="auto"/>
        <w:tabs>
          <w:tab w:leader="none" w:pos="5820" w:val="left"/>
        </w:tabs>
        <w:rPr>
          <w:sz w:val="20"/>
          <w:szCs w:val="20"/>
          <w:color w:val="auto"/>
        </w:rPr>
      </w:pPr>
      <w:r>
        <w:rPr>
          <w:rFonts w:ascii="Times New Roman" w:cs="Times New Roman" w:eastAsia="Times New Roman" w:hAnsi="Times New Roman"/>
          <w:sz w:val="17"/>
          <w:szCs w:val="17"/>
          <w:color w:val="auto"/>
        </w:rPr>
        <w:t>2. Access Point Creation</w:t>
      </w:r>
      <w:r>
        <w:rPr>
          <w:sz w:val="20"/>
          <w:szCs w:val="20"/>
          <w:color w:val="auto"/>
        </w:rPr>
        <w:tab/>
      </w:r>
      <w:r>
        <w:rPr>
          <w:rFonts w:ascii="Times New Roman" w:cs="Times New Roman" w:eastAsia="Times New Roman" w:hAnsi="Times New Roman"/>
          <w:sz w:val="17"/>
          <w:szCs w:val="17"/>
          <w:color w:val="auto"/>
        </w:rPr>
        <w:t>One to three entryways are created by the jet injector, which are widened to 2mm (freckle-sized) by means of a biopsy punch.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-283210</wp:posOffset>
            </wp:positionV>
            <wp:extent cx="1042035" cy="893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2035" cy="89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40" w:right="160" w:hanging="5821"/>
        <w:spacing w:after="0" w:line="278" w:lineRule="auto"/>
        <w:tabs>
          <w:tab w:leader="none" w:pos="5820" w:val="left"/>
        </w:tabs>
        <w:rPr>
          <w:sz w:val="20"/>
          <w:szCs w:val="20"/>
          <w:color w:val="auto"/>
        </w:rPr>
      </w:pPr>
      <w:r>
        <w:rPr>
          <w:rFonts w:ascii="Times New Roman" w:cs="Times New Roman" w:eastAsia="Times New Roman" w:hAnsi="Times New Roman"/>
          <w:sz w:val="17"/>
          <w:szCs w:val="17"/>
          <w:color w:val="auto"/>
        </w:rPr>
        <w:t>3. Local Numbing</w:t>
      </w:r>
      <w:r>
        <w:rPr>
          <w:sz w:val="20"/>
          <w:szCs w:val="20"/>
          <w:color w:val="auto"/>
        </w:rPr>
        <w:tab/>
      </w:r>
      <w:r>
        <w:rPr>
          <w:rFonts w:ascii="Times New Roman" w:cs="Times New Roman" w:eastAsia="Times New Roman" w:hAnsi="Times New Roman"/>
          <w:sz w:val="17"/>
          <w:szCs w:val="17"/>
          <w:color w:val="auto"/>
        </w:rPr>
        <w:t>A thin cannula is inserted in each entryway, at which point a local numbing solution is dispersed subdermally to the target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2160905</wp:posOffset>
            </wp:positionH>
            <wp:positionV relativeFrom="paragraph">
              <wp:posOffset>-283210</wp:posOffset>
            </wp:positionV>
            <wp:extent cx="1050290" cy="893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8934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 Fat Removal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760"/>
        <w:spacing w:after="0" w:line="231" w:lineRule="auto"/>
        <w:rPr>
          <w:sz w:val="20"/>
          <w:szCs w:val="20"/>
          <w:color w:val="auto"/>
        </w:rPr>
      </w:pPr>
      <w:r>
        <w:rPr>
          <w:rFonts w:ascii="Times New Roman" w:cs="Times New Roman" w:eastAsia="Times New Roman" w:hAnsi="Times New Roman"/>
          <w:sz w:val="17"/>
          <w:szCs w:val="17"/>
          <w:color w:val="auto"/>
        </w:rPr>
        <w:t>Proprietary fat removal process uses industry accepted, FDA approved tools to grab, separate, and remove fat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-1546860</wp:posOffset>
            </wp:positionH>
            <wp:positionV relativeFrom="paragraph">
              <wp:posOffset>-64770</wp:posOffset>
            </wp:positionV>
            <wp:extent cx="1058545" cy="885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8545" cy="885190"/>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5120" w:space="720"/>
            <w:col w:w="5400"/>
          </w:cols>
          <w:pgMar w:left="320" w:top="499" w:right="339" w:bottom="1440" w:gutter="0" w:footer="0" w:header="0"/>
          <w:type w:val="continuous"/>
        </w:sectPr>
      </w:pPr>
    </w:p>
    <w:p>
      <w:pPr>
        <w:ind w:left="5840"/>
        <w:spacing w:after="0"/>
        <w:rPr>
          <w:sz w:val="20"/>
          <w:szCs w:val="20"/>
          <w:color w:val="auto"/>
        </w:rPr>
      </w:pPr>
      <w:r>
        <w:rPr>
          <w:rFonts w:ascii="Times New Roman" w:cs="Times New Roman" w:eastAsia="Times New Roman" w:hAnsi="Times New Roman"/>
          <w:sz w:val="17"/>
          <w:szCs w:val="17"/>
          <w:color w:val="auto"/>
        </w:rPr>
        <w:t>An FDA-approved handpiece drives cannula</w:t>
      </w:r>
    </w:p>
    <w:p>
      <w:pPr>
        <w:spacing w:after="0" w:line="7" w:lineRule="exact"/>
        <w:rPr>
          <w:sz w:val="20"/>
          <w:szCs w:val="20"/>
          <w:color w:val="auto"/>
        </w:rPr>
      </w:pPr>
    </w:p>
    <w:p>
      <w:pPr>
        <w:ind w:left="5840" w:right="1720"/>
        <w:spacing w:after="0" w:line="223" w:lineRule="auto"/>
        <w:rPr>
          <w:sz w:val="20"/>
          <w:szCs w:val="20"/>
          <w:color w:val="auto"/>
        </w:rPr>
      </w:pPr>
      <w:r>
        <w:rPr>
          <w:rFonts w:ascii="Times New Roman" w:cs="Times New Roman" w:eastAsia="Times New Roman" w:hAnsi="Times New Roman"/>
          <w:sz w:val="17"/>
          <w:szCs w:val="17"/>
          <w:color w:val="auto"/>
        </w:rPr>
        <w:t>1,000 times per minute in a corkscrew motion to remove fat cells, without harming surrounding tissue and structures.</w:t>
      </w:r>
    </w:p>
    <w:p>
      <w:pPr>
        <w:spacing w:after="0" w:line="8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The amount of fat removed via the AirSculpt®</w:t>
      </w:r>
    </w:p>
    <w:p>
      <w:pPr>
        <w:spacing w:after="0" w:line="7" w:lineRule="exact"/>
        <w:rPr>
          <w:sz w:val="20"/>
          <w:szCs w:val="20"/>
          <w:color w:val="auto"/>
        </w:rPr>
      </w:pPr>
    </w:p>
    <w:p>
      <w:pPr>
        <w:ind w:left="5840" w:right="1740"/>
        <w:spacing w:after="0" w:line="213" w:lineRule="auto"/>
        <w:rPr>
          <w:sz w:val="20"/>
          <w:szCs w:val="20"/>
          <w:color w:val="auto"/>
        </w:rPr>
      </w:pPr>
      <w:r>
        <w:rPr>
          <w:rFonts w:ascii="Times New Roman" w:cs="Times New Roman" w:eastAsia="Times New Roman" w:hAnsi="Times New Roman"/>
          <w:sz w:val="17"/>
          <w:szCs w:val="17"/>
          <w:color w:val="auto"/>
        </w:rPr>
        <w:t>method depends on patient body size, desired outcomes and state regulations. After the procedure is complete, a piece of dry gauze is used to cover the</w:t>
      </w:r>
    </w:p>
    <w:p>
      <w:pPr>
        <w:ind w:left="5840"/>
        <w:spacing w:after="0"/>
        <w:rPr>
          <w:sz w:val="20"/>
          <w:szCs w:val="20"/>
          <w:color w:val="auto"/>
        </w:rPr>
      </w:pPr>
      <w:r>
        <w:rPr>
          <w:rFonts w:ascii="Times New Roman" w:cs="Times New Roman" w:eastAsia="Times New Roman" w:hAnsi="Times New Roman"/>
          <w:sz w:val="17"/>
          <w:szCs w:val="17"/>
          <w:color w:val="auto"/>
        </w:rPr>
        <w:t>entryway to protect against infection.</w:t>
      </w:r>
    </w:p>
    <w:p>
      <w:pPr>
        <w:sectPr>
          <w:pgSz w:w="11900" w:h="16838" w:orient="portrait"/>
          <w:cols w:equalWidth="0" w:num="1">
            <w:col w:w="11240"/>
          </w:cols>
          <w:pgMar w:left="320" w:top="4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Across our centers, we use a network of independent surgeons to perform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We believe that the desire to be an AirSculpt surgeon has provided us with ready access to talented providers, making recruitment a selective process. Additionally, through referral and outreach, we plan to continue recruiting surgeons to perform procedures on our growing number of patients. We conduct background checks on prospective surgeons, confirming licensure and checking surgeon records contained in the National Practitioner Data Bank. Furthermore, we consider the body of work of prospective surgeons, including before and after photos and areas of specialization. Following this initial selection process, our prospective surgeons undergo in-house training through the Elite Fellowship Program where they receive proprietary information regarding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method and approved body markings, observe videos of experienced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surgeons, observe those surgeons complete eight to ten procedures in-person, and later complete three procedures under the in -person supervision of those surgeons. If a prospective surgeon successfully completes the Elite Fellowship Program, they are permitted to conduct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method without restrictions. Otherwise, they are observed in additional training procedures or are not chosen to join the AirSculpt team. Additionally, there is a comprehensive ongoing review process of all surgeons conducted by our experienced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surgeons, which includes on-site visits at centers to help maintain quality standards, and feedback from other staff members, including members of our nursing team.</w:t>
      </w:r>
    </w:p>
    <w:p>
      <w:pPr>
        <w:spacing w:after="0" w:line="11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In connection with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method, we currently use an FDA-approved handpiece manufactured by Euromi S.A., a Belgian company that specializes in the manufacturing and distribution of medical, dermatological and plastic surgery products, and other FDA- approved parts, such as the cannula and vacuum pump, from other manufacturers. The handpiece we use costs significantly more than other handpiece models, and we believe it is more powerful while being gentler for the patient, helping to produce better results. Some of the other parts used are customized for us by our suppliers for our procedure. Although using FDA-approved equipment in medical procedures is the practice of medicine and does not itself require further FDA review or approval, FDA regulations require that we report certain information about adverse medical events if our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have caused or contributed to those adverse events.</w:t>
      </w:r>
    </w:p>
    <w:p>
      <w:pPr>
        <w:spacing w:after="0" w:line="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While we recruit our surgeons with a focus on excellence and skill, the handpiece we use in connection with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method is designed to automatically shut off if any issues are detected in the process (e.g., excessive heat levels). As of the date of this Annual Report on Form 10-K, we are not aware of any adverse events in connection with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that would require reporting under any regulations.</w:t>
      </w:r>
    </w:p>
    <w:p>
      <w:pPr>
        <w:spacing w:after="0" w:line="3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We are continuously working to innovate to make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easier to perform, deliver enhanced results, and be more pleasant for our patients, all with a goal of providing the best body contouring results possible. Moreover, we continue to develop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for new procedures and also seek to incorporate new technologies into our current procedures.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Center Format and Selection</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centers are approximately 3,000 to 5,000 square feet each and are typically open six days per week, with select centers open seven days per week, from 9 am to 5 pm. Certain centers may operate outside of typical hours to accommodate client schedules. Most existing locations have two procedure rooms. Our centers are typically staffed by three surgeons, who are independent contractors, nurses, office managers, sales consultants, sales assistants and front desk concierges/administrative assistants.</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target markets include affluent metropolitan and suburban areas and we conduct in-person site visits to proposed center locations. While we are not likely to open new centers in the near term due to initiatives to improve liquidity, we do believe opening new North American centers remains a part of our long-term growth strategy. We use a disciplined approach when opening de novo centers and conduct extensive diligence of potential markets through social research, economic analysis of each market and conduct in-person site visits to proposed center locations.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Marketing and Sales Efforts and Third-Party Financing</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marketing efforts are driven by an in-house team of professionals that focus on digital and other platforms. In addition to monitoring and managing our social media presence, our team is focused on search engine optimization on our digital platform. For the year ended December 31, 2024, our total advertising costs were $33.4 million, split approximately 90% digital advertising and 10% other advertising platforms.</w:t>
      </w:r>
    </w:p>
    <w:p>
      <w:pPr>
        <w:spacing w:after="0" w:line="20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Selling expenses consist of advertising costs for social, digital and traditional marketing and sales and marketing personnel. Our total selling expenses for 2024 were approximately $43.9 million, or approximately 24.4% of revenue. Our customer acquisition costs were approximately $3,130 per customer in 2024.</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part of our long-term growth strategy, we are focused on optimizing our marketing investment to enhance efficiency, improve return on investment, and drive sustainable revenue growth. By leveraging data-driven insights, we aim to allocate marketing resources more effectively across channels, ensuring that each dollar spent contributes to measurable business outcomes.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sales assistants respond to inquiries from prospective patients and schedule virtual or in-person consultations. We offer our patients the choice of a pre-procedure virtual consult. Rather than making an in-office appointment, our patients are able to speak with our surgeons and qualified patient care consultants in the convenience of their own home or office typically within 24-72 hours. We encourage a strong relationship between our patients and surgeons, from initial consultation, through procedure, to after treatment. Nearly all of our patient-facing consultants are former patients and can speak to their personal AirSculpt experiences. Based on these efforts, together with discussions with our surgeons, our patients elect to move forward and schedule a procedure date. Many patients, satisfied with results and experience, return to AirSculpt to receive further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treatments on additional body parts.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consultants provide patients pricing information the day of their consult and, if requested by the patient, assist patients with securing third-party financing from entities such as CareCredit, PatientFi and Alphaeon, among others, enabling consumers to more quickly schedule their procedures. We do not face any risk in default of payment under that financing arrangement, which is solely between the patient and third-party financing vendor. In 2024, approximately 52% of our cases involved the patient securing third-party financing. We are focused on expanding consumer financing options to enhance affordability, increase customer accessibility, and drive sales growth. By offering flexible payment solutions, we aim to attract a broader customer base, improve conversion rates, and strengthen customer loyalty.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Intellectual Property</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of December 31, 2024, our patent portfolio is comprised of two issued U.S. utility patents, one pending U.S. utility patent application, and one International (PCT) patent application, each of which we own directly. The tools we use to perform our fat removal and fat transfer procedures are purchased from third parties and we do not own the proprietary rights to such tools. Instead of protecting specific, individual liposuction components (such as a particular handpiece design), our issued patents and our pending applications relate to certain proprietary implementations of the process described in the section “Our Technique, Training and Equipment,” and the combination of multiple components to form proprietary systems that are specially configured for carrying out those proprietary processes. We believe the systems and methodologies claimed in our issued patents provide impressive results with less patient trauma relative to other systems and methods, such as liposuction and abdominoplasty (tummy tuck), that require more invasive surgical procedures. In general, patents have a term of 20 years from the application filing date or earliest claimed non-provisional priority date. We expect our issued patents to expire in 2033 or later.</w:t>
      </w:r>
    </w:p>
    <w:p>
      <w:pPr>
        <w:spacing w:after="0" w:line="10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AirSculpt+®, AirSculpting</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AirSculpt Plus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Elite Body Sculpture®, RevisionSculpt®, AirSculpt Lift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No Needle, No Scalpel, No Stitches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If You Can Pinch It, We Can Take 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Power BBL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Tiny Tuck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48 Hour Six Pack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Cure for the Hip Dip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Hip Flip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CankCure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Stubborn Fat, It’s All We Do®, The 48 Hour Difference™, and our logo are U.S. registered trademarks or trademarks for which registration is pending in the United States. We have also registered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certain other trademarks outside of the United States.</w:t>
      </w:r>
    </w:p>
    <w:p>
      <w:pPr>
        <w:spacing w:after="0" w:line="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seek to protect our intellectual property by filing patent applications in the United States and internationally related to our procedures that are important to our business. We rely on a combination of confidentiality, non-disclosure and assignment of invention agreements with our employees, surgeons, consultants, contractors and other partners and collaborators. We further rely on copyright, trademark and trade secret laws to protect our brands, proprietary technologies, know-how, data, and copyrighted content (including our library of before and after photographs).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believe that our brand recognition and minimally invasive procedures with results meeting or exceeding our customer expectations distinguish us in the growing market for body contouring.</w:t>
      </w:r>
    </w:p>
    <w:p>
      <w:pPr>
        <w:spacing w:after="0" w:line="8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While we believe we are transforming and growing the body contouring market, our primary competition includes individual and small practice group providers of traditional liposuction, which we believe require a longer patient recovery time than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some national providers of other minimally-invasive techniques, which we believe are less effective than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Additionally, university and hospital systems, medical spas and centers and beauty and rejuvenation centers include body contouring services in their offerings. While we primarily operate in the body</w:t>
      </w:r>
    </w:p>
    <w:p>
      <w:pPr>
        <w:spacing w:after="0" w:line="4" w:lineRule="exact"/>
        <w:rPr>
          <w:sz w:val="20"/>
          <w:szCs w:val="20"/>
          <w:color w:val="auto"/>
        </w:rPr>
      </w:pPr>
    </w:p>
    <w:p>
      <w:pPr>
        <w:ind w:right="2660"/>
        <w:spacing w:after="0" w:line="250" w:lineRule="auto"/>
        <w:rPr>
          <w:sz w:val="20"/>
          <w:szCs w:val="20"/>
          <w:color w:val="auto"/>
        </w:rPr>
      </w:pPr>
      <w:r>
        <w:rPr>
          <w:rFonts w:ascii="Times New Roman" w:cs="Times New Roman" w:eastAsia="Times New Roman" w:hAnsi="Times New Roman"/>
          <w:sz w:val="17"/>
          <w:szCs w:val="17"/>
          <w:color w:val="auto"/>
        </w:rPr>
        <w:t>contouring market, we also compete with companies that offer non-surgical methods of fat reduction, including weight-loss drugs, and other non-invasive weight loss and obesity solutions. Because of the high growth potential of the market for weight loss and obesity solutions, existing and potential competitors have historically dedicated, and will continue to dedicate, significant resources to aggressively develop and commercialize their products.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areas in which we compete include:</w:t>
      </w:r>
    </w:p>
    <w:p>
      <w:pPr>
        <w:spacing w:after="0" w:line="100" w:lineRule="exact"/>
        <w:rPr>
          <w:sz w:val="20"/>
          <w:szCs w:val="20"/>
          <w:color w:val="auto"/>
        </w:rPr>
      </w:pPr>
    </w:p>
    <w:p>
      <w:pPr>
        <w:ind w:left="5580" w:right="2200" w:hanging="5263"/>
        <w:spacing w:after="0" w:line="621" w:lineRule="auto"/>
        <w:tabs>
          <w:tab w:leader="none" w:pos="46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Patients: </w:t>
      </w:r>
      <w:r>
        <w:rPr>
          <w:rFonts w:ascii="Times New Roman" w:cs="Times New Roman" w:eastAsia="Times New Roman" w:hAnsi="Times New Roman"/>
          <w:sz w:val="17"/>
          <w:szCs w:val="17"/>
          <w:color w:val="auto"/>
        </w:rPr>
        <w:t>We compete for patients to utilize our procedures through our marketing efforts and exceptional brand reputation.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367030</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480" w:hanging="163"/>
        <w:spacing w:after="0" w:line="261" w:lineRule="auto"/>
        <w:tabs>
          <w:tab w:leader="none" w:pos="4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Procedure Offering: </w:t>
      </w:r>
      <w:r>
        <w:rPr>
          <w:rFonts w:ascii="Times New Roman" w:cs="Times New Roman" w:eastAsia="Times New Roman" w:hAnsi="Times New Roman"/>
          <w:sz w:val="17"/>
          <w:szCs w:val="17"/>
          <w:color w:val="auto"/>
        </w:rPr>
        <w:t>We compete with providers of liposuction, abdominoplasty (tummy tuck) and gastric bypass surgery, weight-loss drugs and non-surgical procedures that use cooling, injected medication or heat to reduce fat cells. Many procedures can also involve significant pain and may require excess post-surgical recovery time.</w:t>
      </w:r>
    </w:p>
    <w:p>
      <w:pPr>
        <w:spacing w:after="0" w:line="65" w:lineRule="exact"/>
        <w:rPr>
          <w:rFonts w:ascii="Times New Roman" w:cs="Times New Roman" w:eastAsia="Times New Roman" w:hAnsi="Times New Roman"/>
          <w:sz w:val="17"/>
          <w:szCs w:val="17"/>
          <w:color w:val="auto"/>
        </w:rPr>
      </w:pPr>
    </w:p>
    <w:p>
      <w:pPr>
        <w:ind w:left="480" w:hanging="163"/>
        <w:spacing w:after="0" w:line="283" w:lineRule="auto"/>
        <w:tabs>
          <w:tab w:leader="none" w:pos="4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Surgeons and other professionals: </w:t>
      </w:r>
      <w:r>
        <w:rPr>
          <w:rFonts w:ascii="Times New Roman" w:cs="Times New Roman" w:eastAsia="Times New Roman" w:hAnsi="Times New Roman"/>
          <w:sz w:val="17"/>
          <w:szCs w:val="17"/>
          <w:color w:val="auto"/>
        </w:rPr>
        <w:t>We compete for high quality surgeons and other professionals across the body contouring and cosmetic surgery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industry to ensure we are able to continue to provide our patients with a smooth process, premium service, and high quality results.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principal competitive factors that companies in our industry need to consider include, but are not limited to: enhanced products and services, procedure safety, competitive pricing policies, vision for the market and procedure innovation, strength of sales and marketing strategies, technological advances, brand awareness and reputation, and access to financing. We believe we compete favorably across all of these factors and we have developed a business model that is difficult to replicate.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Surgeon Practice Structure</w:t>
      </w:r>
    </w:p>
    <w:p>
      <w:pPr>
        <w:spacing w:after="0" w:line="14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Due to the prevalence of the corporate practice of medicine doctrine, including in many of the states where we conduct our business, our affiliated surgeons are organized in traditional physician practice group structures.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accordance with applicable state laws, our surgeons have exclusive control and responsibility for all clinical decision-making and the provision of medical care to patients. The Professional Associations are set up as legal entities, separate from AirSculpt, organized in accordance with applicable state laws regarding the types of entities that may operate a physician practice group. Each of the Professional Associations under which our affiliated surgeons operate is owned by a licensed, qualified physician. Our structure enables more effective and efficient sharing of results among our affiliated surgeons, including with respect to educating and training them as to best demonstrated clinical processes, provides them with access to our sophisticated information systems, and helps to shield us from professional liability.</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Each of the Professional Associations contracts with surgeons to provide body contouring services to its patients. Each such surgeon must hold an active license to practice medicine in the state where the applicable Professional Association operates. In most cases, surgeons enter into independent contractor agreements with the applicable Professional Association, under which the surgeon is paid a percentage of the professional fees collected by the Professional Association for each surgery the surgeon personally performs, net of any adjustments for financing fees, patient refunds, or any other allowances applicable to the services provided. A typical agreement with our surgeons will have a term of two to three years. The Professional Associations are generally responsible for billing patients for services rendered by our surgeons. Subject to applicable state laws governing enforceability of restrictive covenants relating to physicians, our surgeons contracted by the Professional Associations have agreed not to compete during the contracted period and have agreed not to use or disclose AirSculpt’s proprietary information, including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even after the terms of their respective contracts.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 Services Agreements</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have entered into MSAs with each of the Professional Associations, under which the Company, through its wholly-owned subsidiaries, provides the Professional Associations with exclusive, administrative, management and other business support services, including, but not limited to, billing and collection, accounting, legal, human resources, information technology, compliance and recruiting assistance (the “Management Services”). The Professional Associations retain exclusive control and responsibility for all clinical aspects of the practice of medicine and the delivery of medical services and for contracting with all surgeons and other licensed professionals performing procedures through the Professional Associations. The MSAs are long-term in nature, typically with an initial term of 10 years that automatically renews for successive 5 year terms unless either party provides notice not to renew before the end of the then-current term, subject only to a right of termination in the case of uncured material breach. Under the terms of the MSAs, and subject to state laws and other regulations governing professional fee-splitting, our wholly-owned subsidiaries are typically paid either a flat monthly fee or where permitted, a monthly fee structured as (i) a flat dollar amount for all marketing and advertising advice, assistance, and services provided and (ii) a fee equal to a percentage of the Professional Association’s gross revenues for the applicable month. These agreements also generally provide opportunities for supplemental bonuses. In addition, the Professional Associations have also agreed to reimburse us for certain expenses. See “Governmental Regulation—State Corporate Practice of Medicine and Fee-Splitting Laws.”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Continuity Agreements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have entered into Continuity Agreements at all of our Professional Associations, with the exception of New York, with Dr. Rollins and the other Surgeon Owners, whereby they are the sole directors, officers, and owners of the Professional Associations. The Continuity Agreements (i) prohibit the Surgeon Owners from freely transferring or selling their interests in the Professional Associations, (ii) provide for the ability to add a second Surgeon Owner to help ensure continuity of the Professional Association, and (iii) provide that the ownership interests of the Surgeon Owners will automatically be transferred to another licensed professional designated by us in accordance with the terms of the Continuity Agreement upon the occurrence of certain events, which include, but are not limited to, the Surgeon Owner’s death, the termination of the Surgeon Owner’s employment, the Surgeon Owner’s license to practice medicine being revoked or terminated, the Surgeon Owner filing a petition for bankruptcy, the Surgeon Owner becoming indicted for or convicted of any felony or any misdemeanor offense involving moral turpitude, the Surgeon Owner breaching any provision of the Continuity Agreement, the Surgeon Owner’s gross negligence, willful misconduct or fraud with respect to the Professional Association, and the Surgeon Owner’s disability or incapacity.</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Each Continuity Agreement will remain in effect until it is terminated (i) by written agreement signed by or on behalf of each party, (ii) upon the 21-year anniversary of the death of the Surgeon Owner, or (iii) only by the manager (being our wholly-owned subsidiaries), upon at least 30 days prior written notice of such termination to the Professional Association.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Governmental Regulation</w:t>
      </w:r>
    </w:p>
    <w:p>
      <w:pPr>
        <w:spacing w:after="0" w:line="145" w:lineRule="exact"/>
        <w:rPr>
          <w:sz w:val="20"/>
          <w:szCs w:val="20"/>
          <w:color w:val="auto"/>
        </w:rPr>
      </w:pPr>
    </w:p>
    <w:p>
      <w:pPr>
        <w:ind w:right="2780"/>
        <w:spacing w:after="0" w:line="260" w:lineRule="auto"/>
        <w:rPr>
          <w:sz w:val="20"/>
          <w:szCs w:val="20"/>
          <w:color w:val="auto"/>
        </w:rPr>
      </w:pPr>
      <w:r>
        <w:rPr>
          <w:rFonts w:ascii="Times New Roman" w:cs="Times New Roman" w:eastAsia="Times New Roman" w:hAnsi="Times New Roman"/>
          <w:sz w:val="17"/>
          <w:szCs w:val="17"/>
          <w:color w:val="auto"/>
        </w:rPr>
        <w:t>Our business and the healthcare industry generally are highly regulated. A number of states, including states in which we operate, such as California, Massachusetts, and New York have passed recent legislation that are materially increasing the</w:t>
      </w:r>
    </w:p>
    <w:p>
      <w:pPr>
        <w:jc w:val="both"/>
        <w:spacing w:after="0" w:line="247" w:lineRule="auto"/>
        <w:rPr>
          <w:sz w:val="20"/>
          <w:szCs w:val="20"/>
          <w:color w:val="auto"/>
        </w:rPr>
      </w:pPr>
      <w:r>
        <w:rPr>
          <w:rFonts w:ascii="Times New Roman" w:cs="Times New Roman" w:eastAsia="Times New Roman" w:hAnsi="Times New Roman"/>
          <w:sz w:val="17"/>
          <w:szCs w:val="17"/>
          <w:color w:val="auto"/>
        </w:rPr>
        <w:t>scrutiny of investors investing in for-profit health care providers, which could ultimately impact our existing structure. While we believe that we have structured our agreements and operations in material compliance with applicable healthcare laws and regulations, there can be no assurance that we will be able to successfully address changes in the current regulatory environment or changes in interpretation of existing laws and regulations.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Licensing, Medical Practice, Certification</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practice of medicine, including the performance of surgery, is subject to various federal, state and local certification and licensing laws, regulations, approvals and standards, relating to, among other things, the adequacy of medical care, the practice of medicine (including the provision of remote care and consultations), equipment, personnel, operating policies and procedures, prerequisites for the prescription of medication, ordering tests and other professional services.</w:t>
      </w:r>
    </w:p>
    <w:p>
      <w:pPr>
        <w:spacing w:after="0" w:line="3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Physicians, surgeons and licensed professionals who provide professional medical services to patients must hold a valid license to practice medicine or otherwise be certified or qualified to provide the licensed professional service in the state in which the patient is located. Failure to comply with these laws and regulations could result in licensure actions against the professionals, rendered services being found to be non-reimbursable, or prior payments being subject to recoupments and can give rise to civil, criminal or administrative penalties. Our centers are operated as physician office-based practices, which generally rely on the licenses of the surgeons performing medical services through the affiliated Professional Associations at our locations, as well as other permits and licenses including CLIA certifications, medical waste permits, and local operating permits. Some states also require the applicable Professional Association to hold its own clinic license or permit. Through the affiliated Professional Associations, we voluntarily seek accreditation from The Joint Commission for all of our centers in the United States. The Joint Commission is a not-for-profit with over 70 years of experience in health care accreditation. Accreditation and certification for each of our centers requires an on-site evaluation of the quality and safety of patient care. A leading nationally-recognized accreditation, for an office-based practice, demonstrates our commitment to safety and quality. Our ability to operate profitably will depend in part upon our centers, the affiliated Professional Associations and their surgeons obtaining and maintaining all necessary licenses and other approvals and operating in compliance with applicable healthcare regulations. Failure to do so could have a material adverse effect on our business.</w:t>
      </w:r>
    </w:p>
    <w:p>
      <w:pPr>
        <w:spacing w:after="0" w:line="1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centers are subject to other federal, state and local laws dealing with issues such as occupational safety, employment, medical leave, insurance regulations, civil rights, discrimination, building codes and other environmental issues. Federal, state and local governments are expanding the regulatory requirements on businesses like ours. The imposition of these regulatory requirements may have the effect of increasing operating costs and reducing the profitability of our operations.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 Corporate Practice of Medicine and Fee-Splitting Laws</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laws in many of the states in which we operate or may in the future operate, prohibit entities owned by non-physicians from practicing medicine, exercising control over surgeons, employing surgeons or otherwise interfering with the independent professional judgment of surgeons. This prohibition on the corporate practice of medicine, is intended to prevent unlicensed persons from interfering with the practice of medicine by licensed surgeons or interfering in any way with the independent professional judgment of physicians as it pertains to patient treatment and related clinical matters. Activities other than those directly related to the delivery of healthcare may be considered an element of the practice of medicine in many states. In certain states where we currently, or in the future, may operate, the corporate practice of medicine doctrine and other licensed professions restrictions may be implicated by decisions and activities such as contracting, setting rates and the hiring and management of clinical or licensed personnel. Many states also have regulations that prevent professional fee-splitting, which is the unlawful sharing of professional fees with unlicensed persons or entities owned by unlicensed persons, often in connection with referrals or other business generated by such persons. Corporate practice of medicine and fee splitting laws and rules vary from state to state and are not always consistent. In addition, these requirements are subject to broad interpretation and enforcement by state regulators. Thus, regulatory authorities or other persons, including the Professional Associations’ contracted surgeons, may assert that, notwithstanding the careful structuring of our management arrangements, that we are engaged in the corporate practice of medicine or that the fees earned by us under our contractual arrangements with the Professional Associations constitute unlawful fee splitting. In such event, failure to comply could lead to adverse judicial or administrative action against us and/or our surgeons, civil, criminal or administrative penalties, receipt of cease and desist orders from state regulators, loss of provider licenses, the need to make changes to the terms of engagement with the Professional Associations (or their terms of engagement with their contracted surgeons), in each case that interfere with our business, our profitability and may have other materially adverse consequences.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Healthcare Fraud and Abuse Laws</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Even though our services are not currently covered by any government healthcare program or other third-party payor, the laws in some of the states in which we operate, or may in the future operate, prohibit surgeons and other healthcare providers from referring patients to centers in which the surgeon or other healthcare provider has a financial interest unless an exception applies or providing any form of remuneration or a “kickback” for referrals of patients for medical items or services. Some state fraud and abuse laws apply to items or services reimbursed by any payor, including patients and commercial insurers, not just those reimbursed by a federally funded healthcare program.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these laws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Antitrust Laws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healthcare industry is currently a priority of the Federal Trade Commission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of December 31, 2024, we employed approximately 389 full-time employees and approximately 33 part-time employees. We also had contracts with approximately 97 surgeons. While each center varies depending on its size, case volume and case types, we employ an average of approximately 10 full-time equivalent employees at our centers.</w:t>
      </w:r>
    </w:p>
    <w:p>
      <w:pPr>
        <w:spacing w:after="0" w:line="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While we provide “full-time equivalent” information, a number of our employees work on flexible schedules rather than full-time, which increases our staffing efficiency. As a result, these employees also do not participate in our benefits structure, which we believe reduces the relative cost of our benefits plans to us. None of our employees is represented by a collective bargaining agreement.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7"/>
          <w:szCs w:val="17"/>
          <w:color w:val="auto"/>
        </w:rPr>
        <w:t>The Company was founded by Dr. Rollins in 2012 and reorganized in 2018 as part of the acquisition by our Sponsor of a majority stake in the company prior to the IPO. AirSculpt Technologies, Inc. was incorporated in Delaware on June 30, 2021 and completed an IPO on October 28, 2021.</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Our website address is </w:t>
      </w:r>
      <w:r>
        <w:rPr>
          <w:rFonts w:ascii="Times New Roman" w:cs="Times New Roman" w:eastAsia="Times New Roman" w:hAnsi="Times New Roman"/>
          <w:sz w:val="17"/>
          <w:szCs w:val="17"/>
          <w:i w:val="1"/>
          <w:iCs w:val="1"/>
          <w:color w:val="auto"/>
        </w:rPr>
        <w:t>www.airsculpt.com</w:t>
      </w:r>
      <w:r>
        <w:rPr>
          <w:rFonts w:ascii="Times New Roman" w:cs="Times New Roman" w:eastAsia="Times New Roman" w:hAnsi="Times New Roman"/>
          <w:sz w:val="17"/>
          <w:szCs w:val="17"/>
          <w:color w:val="auto"/>
        </w:rPr>
        <w:t xml:space="preserve"> and our investor relations website is located at </w:t>
      </w:r>
      <w:r>
        <w:rPr>
          <w:rFonts w:ascii="Times New Roman" w:cs="Times New Roman" w:eastAsia="Times New Roman" w:hAnsi="Times New Roman"/>
          <w:sz w:val="17"/>
          <w:szCs w:val="17"/>
          <w:i w:val="1"/>
          <w:iCs w:val="1"/>
          <w:color w:val="auto"/>
        </w:rPr>
        <w:t>https://investors.airsculpt.com</w:t>
      </w:r>
      <w:r>
        <w:rPr>
          <w:rFonts w:ascii="Times New Roman" w:cs="Times New Roman" w:eastAsia="Times New Roman" w:hAnsi="Times New Roman"/>
          <w:sz w:val="17"/>
          <w:szCs w:val="17"/>
          <w:color w:val="auto"/>
        </w:rPr>
        <w:t>. The information posted on our website is not incorporated into this Annual Report. Our Annual Report on Form 10-K, Quarterly Reports on Form 10-Q, Current Reports on Form 8-K and amendments to reports filed or furnished pursuant to Sections 13(a) and 15(d) of the Securities Exchange Act of 1934, as amended, (the “Exchange Act”) are available free of charge on our investor relations website as soon as reasonably practicable after we electronically file such material with, or furnish it to, the U.S.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We are subject to risks and uncertainties that could cause our actual financial condition, results of operations, business and prospects to differ materially from those contemplated by the forward-looking statements contained in this report or our other filings with the SEC. Some of these risks and uncertainties are discussed below. If any of the following risks, or other risks and uncertainties, actually occurred, our business, financial condition and operating results could suffer.</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some of these risks: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3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Related to Our Business</w:t>
      </w:r>
    </w:p>
    <w:p>
      <w:pPr>
        <w:spacing w:after="0" w:line="132" w:lineRule="exact"/>
        <w:rPr>
          <w:sz w:val="20"/>
          <w:szCs w:val="20"/>
          <w:color w:val="auto"/>
        </w:rPr>
      </w:pPr>
    </w:p>
    <w:p>
      <w:pPr>
        <w:ind w:left="620" w:hanging="303"/>
        <w:spacing w:after="0" w:line="244"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could be adversely affected if we are unable to successfully implement certain cost savings initiatives and revenue growth strategies.</w:t>
      </w:r>
    </w:p>
    <w:p>
      <w:pPr>
        <w:spacing w:after="0" w:line="198"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trends including inflation and rising interest rates may adversely affect our financial condition and results of operations.</w:t>
      </w: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and our past results may not be indicative of our future performance.</w:t>
      </w: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on our ability to maintain the value and reputation of the AirSculpt® brand.</w:t>
      </w: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grown rapidly in recent years and have limited operating experience at our current scale of operations.</w:t>
      </w: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results will be harmed if there is not sufficient patient demand for AirSculpt® procedures.</w:t>
      </w: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largely upon patient satisfaction with the effectiveness of the AirSculpt® procedure.</w:t>
      </w: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open and operate new centers in a timely and cost-effective manner.</w:t>
      </w: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successfully continue to expand in markets outside of North America.</w:t>
      </w:r>
    </w:p>
    <w:p>
      <w:pPr>
        <w:ind w:left="620" w:right="2700" w:hanging="303"/>
        <w:spacing w:after="0" w:line="239"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competitors are able to develop and market solutions that are safer, more effective, easier to use or more readily adopted by patients and healthcare providers, our commercial opportunities may be reduced or eliminated.</w:t>
      </w:r>
    </w:p>
    <w:p>
      <w:pPr>
        <w:spacing w:after="0" w:line="1" w:lineRule="exact"/>
        <w:rPr>
          <w:rFonts w:ascii="Times New Roman" w:cs="Times New Roman" w:eastAsia="Times New Roman" w:hAnsi="Times New Roman"/>
          <w:sz w:val="17"/>
          <w:szCs w:val="17"/>
          <w:color w:val="auto"/>
        </w:rPr>
      </w:pPr>
    </w:p>
    <w:p>
      <w:pPr>
        <w:ind w:left="620" w:hanging="303"/>
        <w:spacing w:after="0" w:line="239"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financial condition and results of operations could be adversely affected by disruptions in the global economy resulting from the ongoing military conflict between Russia and Ukraine.</w:t>
      </w:r>
    </w:p>
    <w:p>
      <w:pPr>
        <w:spacing w:after="0" w:line="1" w:lineRule="exact"/>
        <w:rPr>
          <w:rFonts w:ascii="Times New Roman" w:cs="Times New Roman" w:eastAsia="Times New Roman" w:hAnsi="Times New Roman"/>
          <w:sz w:val="17"/>
          <w:szCs w:val="17"/>
          <w:color w:val="auto"/>
        </w:rPr>
      </w:pPr>
    </w:p>
    <w:p>
      <w:pPr>
        <w:ind w:left="620" w:hanging="303"/>
        <w:spacing w:after="0" w:line="223"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social media may materially and adversely affect our reputation or subject us to fines or other penalties.</w:t>
      </w:r>
    </w:p>
    <w:p>
      <w:pPr>
        <w:ind w:left="620" w:hanging="303"/>
        <w:spacing w:after="0" w:line="239"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relies heavily on email and other messaging services, and any restrictions on the sending of emails or messages or an inability to timely deliver such communications could materially adversely affect our net revenue and business.</w:t>
      </w:r>
    </w:p>
    <w:p>
      <w:pPr>
        <w:spacing w:after="0" w:line="1" w:lineRule="exact"/>
        <w:rPr>
          <w:rFonts w:ascii="Times New Roman" w:cs="Times New Roman" w:eastAsia="Times New Roman" w:hAnsi="Times New Roman"/>
          <w:sz w:val="17"/>
          <w:szCs w:val="17"/>
          <w:color w:val="auto"/>
        </w:rPr>
      </w:pPr>
    </w:p>
    <w:p>
      <w:pPr>
        <w:ind w:left="620" w:hanging="303"/>
        <w:spacing w:after="0" w:line="239"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related to the internet, perceptions toward the use of social media and changes in internet infrastructure itself may diminish our ability to drive new customer acquisition.</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related to healthcare may hamper our availability to provide virtual consultations.</w:t>
      </w: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competition for surgeons and other workers that provide our medspa and cosmetic services.</w:t>
      </w:r>
    </w:p>
    <w:p>
      <w:pPr>
        <w:ind w:left="620" w:hanging="303"/>
        <w:spacing w:after="0" w:line="239"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outsource the manufacturing of key elements of the tools we use for AirSculpt® procedures to a single third-party manufacturer, Euromi, who is dependent upon third-party suppliers.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some jurisdictions, we are precluded or limited in our ability to enter into non-compete agreements with our surgeons.</w:t>
      </w: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centers and our affiliated Professional Associations may become subject to medical liability claims.</w:t>
      </w: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could decline due to changes in credit markets and decisions made by credit providers.</w:t>
      </w: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adversely affected if we lose any member of our senior management.</w:t>
      </w:r>
    </w:p>
    <w:p>
      <w:pPr>
        <w:ind w:left="620" w:hanging="303"/>
        <w:spacing w:after="0" w:line="223" w:lineRule="auto"/>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interests of our Sponsor may conflict with the interests of the Company and its other stockholders.</w:t>
      </w:r>
    </w:p>
    <w:p>
      <w:pPr>
        <w:ind w:left="620" w:hanging="303"/>
        <w:spacing w:after="0" w:line="239"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leverage could adversely affect our ability to raise additional capital to fund our operations, limit our ability to react to changes in the economy or our industry and expose us to interest rate risk.</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Restrictive covenants in our debt instruments may adversely affect us.</w:t>
      </w:r>
    </w:p>
    <w:p>
      <w:pPr>
        <w:ind w:left="620" w:hanging="303"/>
        <w:spacing w:after="0" w:line="239"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to meet our debt service obligations could have a material adverse effect on our business, prospects, results of operations and financial condition.</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holding company with no operations of our own.</w:t>
      </w: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variable rate debt exposes us to risks associated with rising interest rates, which could adversely affect our cash flows.</w:t>
      </w:r>
    </w:p>
    <w:p>
      <w:pPr>
        <w:ind w:left="620" w:hanging="303"/>
        <w:spacing w:after="0" w:line="239"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is a change in accounting standards by the Financial Accounting Standards Board or the interpretation thereof affecting consolidation of entities, it could have a material adverse effect on our consolidation of total revenue derived from the Professional Associations.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team has limited experience managing a public company.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hanging="303"/>
        <w:spacing w:after="0" w:line="252"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centers may be adversely impacted by weather and other factors beyond our control, and disruptions in our disaster recovery systems or management continuity planning could limit our ability to operate our business effectively.</w:t>
      </w:r>
    </w:p>
    <w:p>
      <w:pPr>
        <w:ind w:left="620" w:hanging="303"/>
        <w:spacing w:after="0"/>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and storage of paper medical records increases risk of loss, destruction and could increase human error with respect to documentation and patient care.</w:t>
      </w:r>
    </w:p>
    <w:p>
      <w:pPr>
        <w:spacing w:after="0" w:line="182" w:lineRule="exact"/>
        <w:rPr>
          <w:rFonts w:ascii="Times New Roman" w:cs="Times New Roman" w:eastAsia="Times New Roman" w:hAnsi="Times New Roman"/>
          <w:sz w:val="17"/>
          <w:szCs w:val="17"/>
          <w:color w:val="auto"/>
        </w:rPr>
      </w:pPr>
    </w:p>
    <w:p>
      <w:pPr>
        <w:jc w:val="both"/>
        <w:ind w:left="620" w:hanging="303"/>
        <w:spacing w:after="0"/>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internal computer systems, or those of any of our manufacturers, other contractors, consultants, or collaborators, may fail or suffer security or data privacy breaches or other unauthorized or improper access to, use of, or destruction of our proprietary or confidential data, employee data, or personal data.</w:t>
      </w:r>
    </w:p>
    <w:p>
      <w:pPr>
        <w:spacing w:after="0" w:line="195" w:lineRule="exact"/>
        <w:rPr>
          <w:rFonts w:ascii="Times New Roman" w:cs="Times New Roman" w:eastAsia="Times New Roman" w:hAnsi="Times New Roman"/>
          <w:sz w:val="17"/>
          <w:szCs w:val="17"/>
          <w:color w:val="auto"/>
        </w:rPr>
      </w:pPr>
    </w:p>
    <w:p>
      <w:pPr>
        <w:ind w:left="620" w:hanging="303"/>
        <w:spacing w:after="0" w:line="253"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breaches, loss of data, and other disruptions could compromise sensitive information related to our business or our patients, or prevent us from accessing critical information or systems and expose us to liability, and could adversely affect our business and our reputation.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Related to Intellectual Property</w:t>
      </w:r>
    </w:p>
    <w:p>
      <w:pPr>
        <w:spacing w:after="0" w:line="132" w:lineRule="exact"/>
        <w:rPr>
          <w:sz w:val="20"/>
          <w:szCs w:val="20"/>
          <w:color w:val="auto"/>
        </w:rPr>
      </w:pPr>
    </w:p>
    <w:p>
      <w:pPr>
        <w:ind w:left="620" w:hanging="303"/>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could develop and commercialize procedures and products similar or identical to ours.</w:t>
      </w:r>
    </w:p>
    <w:p>
      <w:pPr>
        <w:spacing w:after="0" w:line="19" w:lineRule="exact"/>
        <w:rPr>
          <w:rFonts w:ascii="Times New Roman" w:cs="Times New Roman" w:eastAsia="Times New Roman" w:hAnsi="Times New Roman"/>
          <w:sz w:val="17"/>
          <w:szCs w:val="17"/>
          <w:color w:val="auto"/>
        </w:rPr>
      </w:pPr>
    </w:p>
    <w:p>
      <w:pPr>
        <w:ind w:left="620" w:hanging="303"/>
        <w:spacing w:after="0" w:line="239" w:lineRule="auto"/>
        <w:tabs>
          <w:tab w:leader="none" w:pos="6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become a party to intellectual property litigation or administrative proceedings that could be costly and could interfere with our ability to market and perform our services.</w:t>
      </w:r>
    </w:p>
    <w:p>
      <w:pPr>
        <w:spacing w:after="0" w:line="1" w:lineRule="exact"/>
        <w:rPr>
          <w:rFonts w:ascii="Times New Roman" w:cs="Times New Roman" w:eastAsia="Times New Roman" w:hAnsi="Times New Roman"/>
          <w:sz w:val="17"/>
          <w:szCs w:val="17"/>
          <w:color w:val="auto"/>
        </w:rPr>
      </w:pPr>
    </w:p>
    <w:p>
      <w:pPr>
        <w:ind w:left="620" w:hanging="303"/>
        <w:spacing w:after="0" w:line="223" w:lineRule="auto"/>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protect the confidentiality of our other proprietary information, our business and competitive position may be harmed.</w:t>
      </w:r>
    </w:p>
    <w:p>
      <w:pPr>
        <w:ind w:left="620" w:hanging="303"/>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protect our intellectual property rights throughout the world to the same extent as in the United States.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Related to Government Regulations</w:t>
      </w:r>
    </w:p>
    <w:p>
      <w:pPr>
        <w:spacing w:after="0" w:line="145" w:lineRule="exact"/>
        <w:rPr>
          <w:sz w:val="20"/>
          <w:szCs w:val="20"/>
          <w:color w:val="auto"/>
        </w:rPr>
      </w:pPr>
    </w:p>
    <w:p>
      <w:pPr>
        <w:ind w:left="620" w:hanging="303"/>
        <w:spacing w:after="0" w:line="244"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numerous laws and regulations relating to the operation of our centers, we could incur significant penalties or other costs or be required to make significant changes to our operations.</w:t>
      </w:r>
    </w:p>
    <w:p>
      <w:pPr>
        <w:ind w:left="620" w:hanging="303"/>
        <w:spacing w:after="0" w:line="239"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AirSculpt® procedures may cause or contribute to adverse medical events that we are required to report to the FDA and if we fail to do so, we could be subject to sanctions that would materially harm our business.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laws governing the corporate practice of medicine or fee-splitting change, we may be required to restructure some of our relationships.</w:t>
      </w:r>
    </w:p>
    <w:p>
      <w:pPr>
        <w:ind w:left="620" w:hanging="303"/>
        <w:spacing w:after="0" w:line="239"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various federal and state laws pertaining to healthcare fraud and abuse, including anti-kickback, self-referral, false claims and fraud laws, and any violations by us of such laws could result in fines or other penalties.</w:t>
      </w:r>
    </w:p>
    <w:p>
      <w:pPr>
        <w:spacing w:after="0" w:line="1" w:lineRule="exact"/>
        <w:rPr>
          <w:rFonts w:ascii="Times New Roman" w:cs="Times New Roman" w:eastAsia="Times New Roman" w:hAnsi="Times New Roman"/>
          <w:sz w:val="17"/>
          <w:szCs w:val="17"/>
          <w:color w:val="auto"/>
        </w:rPr>
      </w:pPr>
    </w:p>
    <w:p>
      <w:pPr>
        <w:ind w:left="620" w:hanging="303"/>
        <w:spacing w:after="0" w:line="239"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numerous environmental, health and safety laws and regulations, and must maintain licenses or permits, and non-compliance with these laws, regulations, licenses, or permits may expose us to significant costs or liabilities.</w:t>
      </w:r>
    </w:p>
    <w:p>
      <w:pPr>
        <w:spacing w:after="0" w:line="1" w:lineRule="exact"/>
        <w:rPr>
          <w:rFonts w:ascii="Times New Roman" w:cs="Times New Roman" w:eastAsia="Times New Roman" w:hAnsi="Times New Roman"/>
          <w:sz w:val="17"/>
          <w:szCs w:val="17"/>
          <w:color w:val="auto"/>
        </w:rPr>
      </w:pPr>
    </w:p>
    <w:p>
      <w:pPr>
        <w:ind w:left="620" w:hanging="303"/>
        <w:spacing w:after="0" w:line="239"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risks are inherent in providing prescription and over the counter (“OTC”) treatments, and our insurance may not be adequate to cover any claims against us.</w:t>
      </w:r>
    </w:p>
    <w:p>
      <w:pPr>
        <w:spacing w:after="0" w:line="1" w:lineRule="exact"/>
        <w:rPr>
          <w:rFonts w:ascii="Times New Roman" w:cs="Times New Roman" w:eastAsia="Times New Roman" w:hAnsi="Times New Roman"/>
          <w:sz w:val="17"/>
          <w:szCs w:val="17"/>
          <w:color w:val="auto"/>
        </w:rPr>
      </w:pPr>
    </w:p>
    <w:p>
      <w:pPr>
        <w:jc w:val="both"/>
        <w:ind w:left="620" w:hanging="303"/>
        <w:spacing w:after="0" w:line="246"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rapidly changing and increasingly stringent laws, regulations, industry standards, and other obligations relating to privacy, data protection, and data security. The restrictions and costs imposed by these requirements, or our actual or perceived failure to comply with them, could materially harm our business.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Risks Related to Ownership of Our Common Stock</w:t>
      </w:r>
    </w:p>
    <w:p>
      <w:pPr>
        <w:spacing w:after="0" w:line="145" w:lineRule="exact"/>
        <w:rPr>
          <w:sz w:val="20"/>
          <w:szCs w:val="20"/>
          <w:color w:val="auto"/>
        </w:rPr>
      </w:pPr>
    </w:p>
    <w:p>
      <w:pPr>
        <w:ind w:left="620" w:hanging="303"/>
        <w:spacing w:after="0" w:line="25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“emerging growth company,” and we cannot be certain if the reduced disclosure requirements applicable to emerging growth companies will make our common stock less attractive to investors.</w:t>
      </w:r>
    </w:p>
    <w:p>
      <w:pPr>
        <w:ind w:left="620" w:hanging="303"/>
        <w:spacing w:after="0" w:line="223"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could be extremely volatile, and, as a result, you may not be able to resell your shares at or above the price you paid for them.</w:t>
      </w:r>
    </w:p>
    <w:p>
      <w:pPr>
        <w:ind w:left="620" w:hanging="303"/>
        <w:spacing w:after="0" w:line="239"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sales of a substantial amount of our common stock by our current stockholders, and these sales could cause the price of our common stock to fall.</w:t>
      </w:r>
    </w:p>
    <w:p>
      <w:pPr>
        <w:spacing w:after="0" w:line="1" w:lineRule="exact"/>
        <w:rPr>
          <w:rFonts w:ascii="Times New Roman" w:cs="Times New Roman" w:eastAsia="Times New Roman" w:hAnsi="Times New Roman"/>
          <w:sz w:val="17"/>
          <w:szCs w:val="17"/>
          <w:color w:val="auto"/>
        </w:rPr>
      </w:pPr>
    </w:p>
    <w:p>
      <w:pPr>
        <w:ind w:left="620" w:hanging="303"/>
        <w:spacing w:after="0" w:line="239"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our directors and executive officers hold a substantial portion of our common stock, which may lead to conflicts of interest with other stockholders over corporate transactions and other corporate matters.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in our charter documents and Delaware law may deter takeover efforts that could be beneficial to stockholder value.</w:t>
      </w: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 plans to pay cash dividends on our common stock for the foreseeable future.</w:t>
      </w: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internal controls may not be effective.</w:t>
      </w:r>
    </w:p>
    <w:p>
      <w:pPr>
        <w:ind w:left="620" w:hanging="303"/>
        <w:spacing w:after="0"/>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requirements of being a public company may strain our resources and distract our management, which could make it difficult to manage our business.</w:t>
      </w:r>
    </w:p>
    <w:p>
      <w:pPr>
        <w:spacing w:after="0" w:line="195" w:lineRule="exact"/>
        <w:rPr>
          <w:rFonts w:ascii="Times New Roman" w:cs="Times New Roman" w:eastAsia="Times New Roman" w:hAnsi="Times New Roman"/>
          <w:sz w:val="17"/>
          <w:szCs w:val="17"/>
          <w:color w:val="auto"/>
        </w:rPr>
      </w:pPr>
    </w:p>
    <w:p>
      <w:pPr>
        <w:ind w:left="620" w:hanging="303"/>
        <w:spacing w:after="0" w:line="239"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stock price and trading volume could decline if securities or industry analysts do not publish research or publish inaccurate or unfavorable research about our business.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securities litigation, which is expensive and could divert management attention.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operating results could be adversely affected if we are unable to successfully implement certain cost savings initiatives and revenue growth strategies.</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response to the decline in revenue we experienced during the 2024 fiscal year, we are in the process of implementing certain cost-savings initiatives and revenue growth strategies, which are discussed in further detail under the captions “Our Company,” “National and International Footprint Fueled by Attractive Unit Economics,” “Our Growth Strategies,” and “Our Marketing and Sales Efforts and Third-Party Financing” included in Item 1 of this Annual Report on Form 10-K. We may not realize in full or in part, or within the time periods expected, the anticipated savings or benefits from one or more of the various strategies and cost-savings initiatives undertaken as part of these efforts. We also may not realize the increase in sales we expect in connection with these strategies. Our ability to improve operating results depends upon a significant number of factors, some of which are beyond our control. Other events and circumstances, such as financial and strategic difficulties and delays, unexpected costs, the impact of non-surgical methods of fat reduction, including weight-loss drugs, on the demand for our procedures, or inflationary pressures, may occur which could result in not realizing targets or in offsetting the financial benefits of reaching those targets. We may also experience a decline in revenue in the short-term, as part of the implementation of our cost-savings initiatives and revenue growth strategies, with the goal of progressing toward positive revenue and profit growth in the long-term. We are also subject to the risks of labor unrest, negative publicity and business disruption in connection with these initiatives, and the failure to realize anticipated savings or benefits from such initiatives or to implement our growth strategies could have a material adverse effect on our business, prospects, financial condition, liquidity, results of operations and cash flows.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Macroeconomic trends including inflation and rising interest rates may adversely affect our financial condition and results of operations.</w:t>
      </w:r>
    </w:p>
    <w:p>
      <w:pPr>
        <w:spacing w:after="0" w:line="16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Macroeconomic trends, including increases in inflation and rising interest rates, may adversely impact our business, financial condition and results of operations. Rising inflation could have an adverse impact on our operating expenses and our credit facilities and there is no guarantee that we would be able to mitigate its impact. Increases in interest rates on any of our debt will result in higher debt service costs, which will adversely affect our cash flows. We cannot assure you that our access to capital and other sources of funding will not become constrained, which could adversely affect the availability and terms of future borrowings. Such future constraints could increase our borrowing costs, which would make it more difficult or expensive to obtain additional financing or refinance existing obligations and commitments, which could slow or deter future growth.</w:t>
      </w:r>
    </w:p>
    <w:p>
      <w:pPr>
        <w:spacing w:after="0" w:line="1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and our past results may not be indicative of our future performance. Further, our revenue growth rate is likely to slow as our business and our market matures.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began operations in 2012. We have a limited history of generating revenue. As a result, our historical revenue growth should not be considered indicative of our future performance. In particular, we have experienced periods of high revenue growth, including during the global pandemic, that we do not expect to continue as the business, and the body contouring market, mature. Estimates of future revenue trends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procedures, attracting new patients, hiring surgeons and responding to increasing competition and expenses as we expand our business. We cannot be sure that we will be successful in addressing these and other challenges we may face in the future, and our business may be adversely affected if we do not manage these risks.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depends on our ability to maintain the value and reputation of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i w:val="1"/>
          <w:iCs w:val="1"/>
          <w:color w:val="auto"/>
        </w:rPr>
        <w:t xml:space="preserve"> brand.</w:t>
      </w:r>
    </w:p>
    <w:p>
      <w:pPr>
        <w:spacing w:after="0" w:line="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We believe that our brand is important to attracting patients and high-quality surgeons. Maintaining, protecting, and enhancing our brand depends largely on our ability to deliver results for our patients and the success of our marketing efforts. We believe that the importance of our brand will increase as competition further intensifies. Our brand could be harmed if we fail to achieve these objectives or if our public image were to be tarnished by negative publicity. Unfavorable publicity about us, including our procedures and technology, could diminish confidence in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Such negative publicity also could have an adverse effect on our business, financial condition, and operating results.</w:t>
      </w:r>
    </w:p>
    <w:p>
      <w:pPr>
        <w:spacing w:after="0" w:line="11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grown rapidly in recent years and have limited operating experience at our current scale of operations. If we are unable to manage and capitalize on our scale effectively, our brand, company culture, and financial performance may suffer.</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have expanded rapidly and have limited operating experience at our current size. To effectively manage and capitalize on our scale, we must focus on innovation and upgrade our management information systems and other processes. Future growth could strain our existing resources and we could experience ongoing operating difficulties in managing our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business across numerous jurisdictions, including difficulties in hiring, training, and managing surgeons and other staff in our centers through the Professional Associations. Failure to scale and preserve our high-performance, client-focused culture could delay or prevent future success. If we do not adapt to meet these evolving challenges or if our management team does not effectively scale, we may experience erosion to our brand and our company culture may be harmed.</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While we do not expect to open new centers in the next year, our long-term growth strategy contemplates expanding our footprint opportunistically by opening new centers. Many of our centers are relatively new and we cannot assure you that these centers or that future centers will generate revenue comparable with those generated by our more mature locations, especially as we move to new geographic markets. Further, many of our centers are leased pursuant to multi-year leases, and our ability to negotiate favorable terms on an expiring lease or for a lease renewal option may depend on factors that are not within our control. Opportunistically expanding our footprint will require significant expenditures before any substantial associated revenue is generated and we cannot guarantee that these investments will result in corresponding and offsetting revenue growth.</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opportunistic expansions, if and when they occur, could place increased demands on our existing operational, managerial, and administrative resources. These increased demands could strain our resources and cause us to operate our business less effectively, which in turn could cause the performance of our new and existing centers to suffer. Opening new centers could result in inadvertent oversaturation, temporarily or permanently divert customers from our existing centers to new centers and reduce comparable centers revenue, thus adversely affecting our overall financial performance. In addition, oversaturation or the risk of oversaturation could reduce or adversely affect the number or location of centers we plan to open, and could thereby materially and adversely affect our long-term growth plans overall or in particular markets.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Because we have a limited history operating our business at its current scale, it is difficult to evaluate our current business and future prospects, including our ability to plan for and model long-term future growth. Our limited operating experience at this scale, combined with the rapidly evolving nature of the body contouring market, substantial uncertainty concerning how these markets may develop, and other economic factors beyond our control, reduces our ability to accurately forecast quarterly or annual revenue. Failure to manage our long-term future growth effectively and profitably could have an adverse effect on our business, financial condition, and operating results.</w:t>
      </w:r>
    </w:p>
    <w:p>
      <w:pPr>
        <w:spacing w:after="0" w:line="9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b w:val="1"/>
          <w:bCs w:val="1"/>
          <w:i w:val="1"/>
          <w:iCs w:val="1"/>
          <w:color w:val="auto"/>
        </w:rPr>
        <w:t>We are dependent upon the success of the AirSculpt</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body sculpting procedure. If market acceptance for the AirSculpt</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procedure fails to grow significantly, our business and future prospects could be harmed.</w:t>
      </w:r>
    </w:p>
    <w:p>
      <w:pPr>
        <w:spacing w:after="0" w:line="11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We commenced performing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in 2012, and we expect that the revenue we generate from performing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will account for substantially all of our revenue for the next several years. Accordingly, our success depends on the acceptance among patients of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as a preferred aesthetic treatment for the selective reduction of fat. The degree of market acceptance of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by patients is unproven. We believe that market acceptance of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will depend on many factors, including:</w:t>
      </w:r>
    </w:p>
    <w:p>
      <w:pPr>
        <w:spacing w:after="0" w:line="61" w:lineRule="exact"/>
        <w:rPr>
          <w:sz w:val="20"/>
          <w:szCs w:val="20"/>
          <w:color w:val="auto"/>
        </w:rPr>
      </w:pPr>
    </w:p>
    <w:p>
      <w:pPr>
        <w:ind w:left="620" w:hanging="303"/>
        <w:spacing w:after="0"/>
        <w:tabs>
          <w:tab w:leader="none" w:pos="62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the perceived advantages or disadvantages of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compared to other aesthetic products and treatments;</w:t>
      </w:r>
    </w:p>
    <w:p>
      <w:pPr>
        <w:spacing w:after="0" w:line="14" w:lineRule="exact"/>
        <w:rPr>
          <w:rFonts w:ascii="Arial" w:cs="Arial" w:eastAsia="Arial" w:hAnsi="Arial"/>
          <w:sz w:val="21"/>
          <w:szCs w:val="21"/>
          <w:color w:val="auto"/>
        </w:rPr>
      </w:pPr>
    </w:p>
    <w:p>
      <w:pPr>
        <w:ind w:left="620" w:hanging="303"/>
        <w:spacing w:after="0" w:line="222" w:lineRule="auto"/>
        <w:tabs>
          <w:tab w:leader="none" w:pos="62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the safety and efficacy of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relative to other aesthetic products and alternative treatments;</w:t>
      </w:r>
    </w:p>
    <w:p>
      <w:pPr>
        <w:ind w:left="620" w:hanging="303"/>
        <w:spacing w:after="0" w:line="222" w:lineRule="auto"/>
        <w:tabs>
          <w:tab w:leader="none" w:pos="62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the price of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relative to other aesthetic products and alternative treatments;</w:t>
      </w:r>
    </w:p>
    <w:p>
      <w:pPr>
        <w:ind w:left="620" w:hanging="303"/>
        <w:spacing w:after="0" w:line="205" w:lineRule="auto"/>
        <w:tabs>
          <w:tab w:leader="none" w:pos="62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our success in expanding our sales and marketing organization;</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effectiveness of our marketing initiatives;</w:t>
      </w:r>
    </w:p>
    <w:p>
      <w:pPr>
        <w:spacing w:after="0" w:line="14" w:lineRule="exact"/>
        <w:rPr>
          <w:rFonts w:ascii="Arial" w:cs="Arial" w:eastAsia="Arial" w:hAnsi="Arial"/>
          <w:sz w:val="21"/>
          <w:szCs w:val="21"/>
          <w:color w:val="auto"/>
        </w:rPr>
      </w:pPr>
    </w:p>
    <w:p>
      <w:pPr>
        <w:ind w:left="620" w:hanging="303"/>
        <w:spacing w:after="0"/>
        <w:tabs>
          <w:tab w:leader="none" w:pos="62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our success in maintaining the premium pricing for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and</w:t>
      </w:r>
    </w:p>
    <w:p>
      <w:pPr>
        <w:spacing w:after="0" w:line="8" w:lineRule="exact"/>
        <w:rPr>
          <w:rFonts w:ascii="Arial" w:cs="Arial" w:eastAsia="Arial" w:hAnsi="Arial"/>
          <w:sz w:val="21"/>
          <w:szCs w:val="21"/>
          <w:color w:val="auto"/>
        </w:rPr>
      </w:pPr>
    </w:p>
    <w:p>
      <w:pPr>
        <w:ind w:left="620" w:hanging="303"/>
        <w:spacing w:after="0" w:line="228" w:lineRule="auto"/>
        <w:tabs>
          <w:tab w:leader="none" w:pos="615"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our success in recruiting and training surgeons in the proper use of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and selection of appropriate patients as candidates for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w:t>
      </w:r>
    </w:p>
    <w:p>
      <w:pPr>
        <w:spacing w:after="0" w:line="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Further, market acceptance and success of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can be affected by adverse publicity or negative public perception about us, our competitors, our patients, our services, or our industry generally. Adverse publicity may include publicity about the cosmetic treatment industry generally, the efficacy, safety and quality of body fat reduction procedures in general, and liability claims or other litigation, regardless of whether such litigation involves us or the business practices or services of our competitors. Our business, financial condition and results of operations could be adversely affected if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or any body fat reduction services provided by our competitors are alleged to be or are proved to be harmful to patients or to have unanticipated and unwanted health consequences.</w:t>
      </w:r>
    </w:p>
    <w:p>
      <w:pPr>
        <w:spacing w:after="0" w:line="249"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We cannot assure you that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will achieve broad market acceptance among patients. Because we expect to derive substantially all of our revenue for the foreseeable future from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any failure of this product to satisfy patient demand or to achieve meaningful market acceptance will harm our business and future prospects.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there is not sufficient patient demand for AirSculpt</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procedures, our financial results and future prospects will be harmed.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7"/>
          <w:szCs w:val="17"/>
          <w:color w:val="auto"/>
        </w:rPr>
        <w:t>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is an elective procedure, the cost of which must be borne by the patient, and is not reimbursable through government or private health insurance. The decision to undergo an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is thus driven by patient demand, which may be influenced by a number of factors, such as:</w:t>
      </w:r>
    </w:p>
    <w:p>
      <w:pPr>
        <w:spacing w:after="0" w:line="44" w:lineRule="exact"/>
        <w:rPr>
          <w:sz w:val="20"/>
          <w:szCs w:val="20"/>
          <w:color w:val="auto"/>
        </w:rPr>
      </w:pPr>
    </w:p>
    <w:p>
      <w:pPr>
        <w:ind w:left="620" w:hanging="303"/>
        <w:spacing w:after="0"/>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the success of our sales and marketing programs;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our success in attracting consumers who have not previously undergone an aesthetic procedure;</w:t>
      </w:r>
    </w:p>
    <w:p>
      <w:pPr>
        <w:spacing w:after="0" w:line="14" w:lineRule="exact"/>
        <w:rPr>
          <w:rFonts w:ascii="Arial" w:cs="Arial" w:eastAsia="Arial" w:hAnsi="Arial"/>
          <w:sz w:val="21"/>
          <w:szCs w:val="21"/>
          <w:color w:val="auto"/>
        </w:rPr>
      </w:pPr>
    </w:p>
    <w:p>
      <w:pPr>
        <w:ind w:left="620" w:hanging="303"/>
        <w:spacing w:after="0" w:line="235" w:lineRule="auto"/>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the extent to which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satisfies patient expectations;</w:t>
      </w:r>
    </w:p>
    <w:p>
      <w:pPr>
        <w:ind w:left="620" w:hanging="303"/>
        <w:spacing w:after="0" w:line="229" w:lineRule="auto"/>
        <w:tabs>
          <w:tab w:leader="none" w:pos="61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properly train our surgeons in performing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such that our patients do not experience excessive discomfort during treatment or adverse side effects;</w:t>
      </w:r>
    </w:p>
    <w:p>
      <w:pPr>
        <w:ind w:left="620" w:hanging="303"/>
        <w:spacing w:after="0" w:line="236" w:lineRule="auto"/>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the cost, safety, and effectiveness of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versus other aesthetic treatments;</w:t>
      </w:r>
    </w:p>
    <w:p>
      <w:pPr>
        <w:ind w:left="620" w:hanging="303"/>
        <w:spacing w:after="0" w:line="234" w:lineRule="auto"/>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consumer sentiment about the benefits and risks of aesthetic procedures generally and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in particular;</w:t>
      </w:r>
    </w:p>
    <w:p>
      <w:pPr>
        <w:ind w:left="620" w:hanging="303"/>
        <w:spacing w:after="0" w:line="205" w:lineRule="auto"/>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general consumer confidence, which may be impacted by economic and political conditions;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our use of social media to drive new customer acquisition; and</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offer virtual consultations to our patients.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financial performance will be materially harmed in the event we cannot generate significant patient demand for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depends largely upon patient satisfaction with the effectiveness of the AirSculpt</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procedure.</w:t>
      </w:r>
    </w:p>
    <w:p>
      <w:pPr>
        <w:spacing w:after="0" w:line="87"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In order to generate repeat and referral business, patients must be satisfied with the effectiveness of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Patient perception of their results may vary. If patients are not satisfied with the aesthetic benefits of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or feel that it is too expensive for the results obtained, our reputation and future sales will suffer.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operate new centers in a cost-effective manner, our financial performance could be materially and adversely affected.</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Our long-term growth strategy depends, in large part, on growing and operating our new centers, including five opened in 2024, both in existing and new geographic regions, particularly in densely populated and affluent metropolitan and suburban regions.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ability to successfully operate new centers depends on many factors, including, among others, our ability to:</w:t>
      </w:r>
    </w:p>
    <w:p>
      <w:pPr>
        <w:spacing w:after="0" w:line="154" w:lineRule="exact"/>
        <w:rPr>
          <w:sz w:val="20"/>
          <w:szCs w:val="20"/>
          <w:color w:val="auto"/>
        </w:rPr>
      </w:pPr>
    </w:p>
    <w:p>
      <w:pPr>
        <w:ind w:left="620" w:hanging="303"/>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recruit qualified surgeons through our affiliated Professional Associations for our new centers;</w:t>
      </w:r>
    </w:p>
    <w:p>
      <w:pPr>
        <w:spacing w:after="0" w:line="13"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address regulatory, competitive, and marketing, and other challenges encountered in connection with expansion into new markets;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hire, train and retain surgeons and other personnel through our affiliated Professional Associations;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maintain adequate information system and other operational system capabilities;</w:t>
      </w:r>
    </w:p>
    <w:p>
      <w:pPr>
        <w:spacing w:after="0" w:line="14" w:lineRule="exact"/>
        <w:rPr>
          <w:rFonts w:ascii="Arial" w:cs="Arial" w:eastAsia="Arial" w:hAnsi="Arial"/>
          <w:sz w:val="21"/>
          <w:szCs w:val="21"/>
          <w:color w:val="auto"/>
        </w:rPr>
      </w:pPr>
    </w:p>
    <w:p>
      <w:pPr>
        <w:ind w:left="620" w:hanging="303"/>
        <w:spacing w:after="0" w:line="235"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successfully integrate new centers into our existing management structure with affiliated Professional Associations and operations, including information system integration;</w:t>
      </w:r>
    </w:p>
    <w:p>
      <w:pPr>
        <w:ind w:left="620" w:hanging="303"/>
        <w:spacing w:after="0" w:line="232" w:lineRule="auto"/>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source sufficient levels of medical supplies at acceptable costs;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obtain and maintain necessary permits and licenses through our affiliated Professional Associations;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generate sufficient levels of cash or obtain financing on acceptable terms to support our expansion;</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achieve and maintain brand awareness in new markets; and</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identify and satisfy the needs and preferences of our patients.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failure to effectively address challenges such as these could adversely affect our ability to successfully operate new centers in a cost-effective manner.</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addition, there can be no assurance that newly-opened centers will achieve net sales or profitability levels comparable to those of our existing centers in the time periods estimated by us, or at all. If our centers fail to achieve, or are unable to sustain, profitability levels, our business may be materially harmed and we may incur significant costs associated with closing those centers.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Accordingly, we cannot assure you that we will achieve our planned growth or, even if we are able to grow our centers as planned, that our new centers will perform as expected. Our failure to implement our growth strategy and to successfully operate new centers at the costs estimated by us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we cannot maintain our high-performance and client-focused culture as we grow, we could lose the innovation and passion that we believe contribute to our success and our business may be harmed.</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believe that a critical component of our success has been our corporate culture. We have invested substantial time and resources in building our high-performance, client-focused culture. We will need to maintain our high-performance, client-focused culture among a larger number of surgeons and other employees, dispersed across various geographic regions. Any failure to preserve our culture could negatively affect our future success, including our ability to retain and recruit surgeons and other personnel on behalf of our affiliated Professional Associations and to effectively focus on and pursue our corporate objectives.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 successfully continue to grow in markets outside of North America, we must address many issues with which we have limited experience.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Continued international operation is subject to a number of risks, including:</w:t>
      </w:r>
    </w:p>
    <w:p>
      <w:pPr>
        <w:spacing w:after="0" w:line="154" w:lineRule="exact"/>
        <w:rPr>
          <w:sz w:val="20"/>
          <w:szCs w:val="20"/>
          <w:color w:val="auto"/>
        </w:rPr>
      </w:pPr>
    </w:p>
    <w:p>
      <w:pPr>
        <w:ind w:left="620" w:hanging="303"/>
        <w:spacing w:after="0"/>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difficulties in staffing and managing our international operations;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competition as a result of more procedures receiving regulatory approval or otherwise freedom to market in international markets;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reduced or varied protection for intellectual property rights in some countries;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foreign tax laws;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currency exchange rates;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foreign certification and regulatory clearance or approval requirements;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difficulties in developing effective marketing campaigns in unfamiliar foreign countries;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geopolitical events (such as Russian invasion of Ukraine), social and economic instability abroad, terrorist attacks, and security concerns in general;</w:t>
      </w:r>
    </w:p>
    <w:p>
      <w:pPr>
        <w:spacing w:after="0" w:line="20" w:lineRule="exact"/>
        <w:rPr>
          <w:rFonts w:ascii="Arial" w:cs="Arial" w:eastAsia="Arial" w:hAnsi="Arial"/>
          <w:sz w:val="21"/>
          <w:szCs w:val="21"/>
          <w:color w:val="auto"/>
        </w:rPr>
      </w:pPr>
    </w:p>
    <w:p>
      <w:pPr>
        <w:ind w:left="620" w:hanging="303"/>
        <w:spacing w:after="0" w:line="238"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potentially adverse tax consequences, including the complexities of foreign value-added tax systems, tax inefficiencies related to our corporate structure, and restrictions on the repatriation of earnings;</w:t>
      </w:r>
    </w:p>
    <w:p>
      <w:pPr>
        <w:spacing w:after="0" w:line="1" w:lineRule="exact"/>
        <w:rPr>
          <w:rFonts w:ascii="Arial" w:cs="Arial" w:eastAsia="Arial" w:hAnsi="Arial"/>
          <w:sz w:val="21"/>
          <w:szCs w:val="21"/>
          <w:color w:val="auto"/>
        </w:rPr>
      </w:pPr>
    </w:p>
    <w:p>
      <w:pPr>
        <w:ind w:left="620" w:hanging="303"/>
        <w:spacing w:after="0" w:line="220" w:lineRule="auto"/>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the burdens of complying with a wide variety of foreign laws and different legal standards; and</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financial accounting and reporting burdens and complexities.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one or more of these risks were realized, it could require us to dedicate significant financial and management resources and our revenue may decline.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The market in which we operate is highly competitive. In addition to competing with body contouring companies, we also compete with companies that make weight loss drugs and offer other weight loss solutions. If our competitors are able to develop and market solutions that are safer, more effective, easier to use or more readily adopted by patients and healthcare providers, our commercial opportunities may be reduced or eliminated.</w:t>
      </w:r>
    </w:p>
    <w:p>
      <w:pPr>
        <w:spacing w:after="0" w:line="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body contouring market is highly competitive and dynamic and is characterized by rapid and substantial technological development and product innovations. Demand for the AirSculpt® procedure could be limited by the products and technologies offered by our competitors. In the United States, we compete against companies that have developed non-invasive and other minimally-invasive procedures for body contouring, companies that have developed invasive surgical procedures for fat reduction and companies that offer non-surgical methods of fat reduction, including weight-loss drugs, and other weight loss solutions. Due to less stringent regulatory requirements, there are many more aesthetic products and procedures available for use in international markets than are approved for use in the United States. There are also fewer limitations on the claims our competitors in international markets can make about the effectiveness of their products and the manner in which they can market them. As a result, we face even greater competition in these markets than in the United States. Further, our patent protection of AirSculpt® is limited to the United States, and therefore we may face increased competition from competitors using procedures similar to the AirSculpt® procedure in other countries.</w:t>
      </w:r>
    </w:p>
    <w:p>
      <w:pPr>
        <w:spacing w:after="0" w:line="1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Many of our competitors are large, experienced companies that have substantially greater resources and brand recognition than we do. Some of these competitors offer similar procedures (including competitors who may charge less for such procedures than we do) and others offer alternative procedures and products, including non-surgical weight loss and obesity solutions, that are less expensive than the procedures we offer. Smaller or early-stage companies may also prove to be significant competitors, particularly through collaborative arrangements with large and established companies.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significant exposure to the weight loss and obesity solutions market, which is highly competitive, subject to rapid change and significantly affected by new product introductions, results of clinical research, corporate combinations, and other factors relating to the weight loss industry. Because of the market opportunity and the high growth potential of the market for weight loss and obesity solutions, existing and potential competitors have historically dedicated, and will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continue to dedicate, significant resources to aggressively develop and commercialize their products. For example, in 2023, certain drugs initially approved for use in diabetes patients gained market acceptance for use in weight loss treatment following FDA approvals for weight loss indications.</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of the date of this report, it is difficult to predict the long-term market impact of weight-loss drugs, including their long-term efficacy as weight loss drugs and potential drawbacks. As a result, we cannot be certain that our procedures will continue to be competitive with current or future technologies and medical advances in the weight loss and obesity solutions market.</w:t>
      </w:r>
    </w:p>
    <w:p>
      <w:pPr>
        <w:spacing w:after="0" w:line="17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Our success depends on our ability to enhance our current procedures and technologies, and develop and market new procedures, to keep pace with technological developments and evolving industry standards, while responding to changes in patient expectations. If our competitors are able to develop and market solutions that are safer, more effective, easier to use or more readily adopted by patients and healthcare providers, our commercial opportunities may be reduced or eliminated. Competing in the body contouring market and the spread of non-surgical weight loss and obesity solutions could result in price-cutting, reduced profit margins, and reduced market share, any of which would harm our business, financial condition, and results of operations.</w:t>
      </w:r>
    </w:p>
    <w:p>
      <w:pPr>
        <w:spacing w:after="0" w:line="20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business, financial condition and results of operations could be adversely affected by disruptions in the global economy resulting from the ongoing military conflict between Russia and Ukraine.</w:t>
      </w:r>
    </w:p>
    <w:p>
      <w:pPr>
        <w:spacing w:after="0" w:line="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global economy has been negatively impacted by increasing tension, uncertainty and tragedy resulting from ongoing military conflict between Russia and Ukraine. The adverse and uncertain economic conditions resulting therefrom have and may further negatively impact global demand, cause supply chain disruptions and increase costs for transportation, energy and other raw materials. Furthermore, governments in the United States, the European Union, the United Kingdom, Canada and others have imposed financial and economic sanctions on certain industry segments and various parties in Russia and Belarus. We are monitoring the conflict including the potential impact of financial and economic sanctions on the global economy. Increased trade barriers, sanctions and other restrictions on global or regional trade could adversely affect our business, financial condition and results of operations. The length and impact of the ongoing military conflict is highly unpredictable, and resulted in market disruptions, including significant volatility in commodity prices, credit and capital markets, an increase in cyber security incidents as well as supply chain disruptions. Further escalation of geopolitical tensions related to this military conflict and/or its expansion could result in increased volatility and disruption to the global economy and the markets in which we operate adversely impacting our business, financial condition or results of operations.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social media may materially and adversely affect our reputation or subject us to fines or other penalties.</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use third-party social media platforms as marketing tools. For example, we maintain Facebook, Instagram and YouTube accounts and we offer consumers the opportunity to comment on our social media platforms. Negative commentary or false statements may be posted on our social media platforms, which could be adverse to our reputation or business. Our target consumers often value readily available information and often act on such information without further investigation and without regard to its accuracy. The harm may be immediate without affording us an opportunity for redress or correction.</w:t>
      </w:r>
    </w:p>
    <w:p>
      <w:pPr>
        <w:spacing w:after="0" w:line="1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social media platforms continue to rapidly evolve, we must continue to maintain a presence on these platforms and establish presences on new or emerging popular social media platforms. If we are unable to cost-effectively use social media platforms as marketing tools, our ability to acquire new consumers and our financial condition may suffer. Furthermore, as laws and regulations rapidly evolve to govern the use of these platforms and devices, the failure by the Company, our employees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 of operations.</w:t>
      </w:r>
    </w:p>
    <w:p>
      <w:pPr>
        <w:spacing w:after="0" w:line="1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In addition, an increase in the use of social media for marketing may cause an increase in the burden on us to monitor compliance of such materials and increase the risk that such materials could contain problematic marketing claims in violation of applicable regulations.</w:t>
      </w:r>
    </w:p>
    <w:p>
      <w:pPr>
        <w:spacing w:after="0" w:line="7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business relies heavily on email and other messaging services, and any restrictions on the sending of emails or messages or an inability to timely deliver such communications could materially adversely affect our net revenue and business.</w:t>
      </w:r>
    </w:p>
    <w:p>
      <w:pPr>
        <w:spacing w:after="0" w:line="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business depends on email and other messaging services for promoting our brand and services. If we are unable to successfully deliver emails or other messages to potential customers, or if potential customers decline to open or read our messages, our business, financial condition and results of operations may be materially adversely affected. Changes in how web and mail services block, organize and prioritize email may reduce the number of subscribers who receive or open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emails.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w:t>
      </w:r>
    </w:p>
    <w:p>
      <w:pPr>
        <w:spacing w:after="0"/>
        <w:rPr>
          <w:sz w:val="20"/>
          <w:szCs w:val="20"/>
          <w:color w:val="auto"/>
        </w:rPr>
      </w:pPr>
      <w:r>
        <w:rPr>
          <w:rFonts w:ascii="Times New Roman" w:cs="Times New Roman" w:eastAsia="Times New Roman" w:hAnsi="Times New Roman"/>
          <w:sz w:val="17"/>
          <w:szCs w:val="17"/>
          <w:color w:val="auto"/>
        </w:rPr>
        <w:t>“spam” by our subscribers and may reduce the likelihood of that subscriber reading our emails. Actions by third parties to block, impose restrictions on or charge</w:t>
      </w:r>
    </w:p>
    <w:p>
      <w:pPr>
        <w:spacing w:after="0" w:line="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emails or other messages to consumers.</w:t>
      </w:r>
    </w:p>
    <w:p>
      <w:pPr>
        <w:spacing w:after="0" w:line="2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Changes in the laws or regulations that limit our ability to send such communications or impose additional requirements upon us in connection with sending such communications would also materially adversely impact our business. Our use of email and other messaging services to send communications to consumers may also result in legal claims, which may cause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consumers to send communications. Changes to the terms of these social networking services to limit promotional communications, any restrictions that would limit our ability or our consumers’ ability to send communications through their services, disruptions or downtime experienced by these social networking services or decline in the use of or engagement with social networking services by consumers could materially and adversely affect our business, financial condition and results of operations.</w:t>
      </w:r>
    </w:p>
    <w:p>
      <w:pPr>
        <w:spacing w:after="0" w:line="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Changes in laws and regulations related to the internet, perceptions toward the use of social media and changes in internet infrastructure itself may diminish our ability to drive new customer acquisition and could adversely affect our business and results of operations.</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success of our business depends upon the continued use of the internet and social media networks. Federal, state or foreign government bodies or agencies have in the past adopted, and may in the future adopt, laws or regulations affecting the use of the internet as a commercial medium. In addition, government agencies or private organizations have imposed and may impose additional taxes, fees or other charges for accessing the internet, generally. These laws, taxes, fees or charges could limit the use of the internet or decrease the demand for internet-based solutions.</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public’s increasing concerns about data privacy and security and the use of social media may negatively affect the use or popularity of social media networks, and, in turn, adversely affect our business. Similarly, enhanced scrutiny may lead to an increase in regulation of social media, which could limit our ability to use social media to drive our brand awareness and increase consumer acceptance for our procedures.</w:t>
      </w:r>
    </w:p>
    <w:p>
      <w:pPr>
        <w:spacing w:after="0" w:line="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have been adversely affected by “viruses,” “worms” and similar malicious programs, as well as the risks associated with other types of security breaches. If the use of the internet is reduced as a result of these or other issues, then the reduction in marketing and networking with respect to our services and patients could result in a decline in demand for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which could adversely affect our revenue, business, results of operations and financial condition.</w:t>
      </w:r>
    </w:p>
    <w:p>
      <w:pPr>
        <w:spacing w:after="0" w:line="10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Regulations related to healthcare, including telehealth, are evolving. To the extent regulations change, our ability to provide virtual consultations could be hampered.</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a regulatory climate that is uncertain, our operations and our arrangements with our affiliated Professional Associations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and our ability to provide virtual services in certain jurisdictions. Areas of government regulation that, if changed, could be costly to us include rules governing the provision of virtual consultations.</w:t>
      </w:r>
    </w:p>
    <w:p>
      <w:pPr>
        <w:spacing w:after="0" w:line="1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addition, a few states have imposed different, and, in some cases, additional, standards regarding the provision of virtual medical consultations and telehealth, generally. The unpredictability of this regulatory landscape means that sudden changes in policy regarding standards of care and what is permissible are possible. If a successful legal challenge or an adverse change in the relevant laws or regulations were to occur, and we were unable to adapt our business model accordingly, our operations in the affected jurisdictions or ability to reach patients in such jurisdictions would be disrupted, which could have a material adverse effect on our business, financial condition and results of operations. If we are required to adapt our business model, we may be limited to only in-person services, which may have a material adverse effect on our business, financial condition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competition for surgeons.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number of surgeons available to work through our affiliated Professional Associations at our centers is finite, and we face intense competition from other cosmetic treatment centers in recruiting surgeons to work in our centers.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addition, there may be other companies that may decide to enter our business. Many of these companies have greater resources than we do, including financial, marketing, staff and capital resources. If we are unable to compete effectively with any of these entities for surgeons, we may be unable to implement our business strategies successfully and our financial position and results of operations could be adversely affected.</w:t>
      </w:r>
    </w:p>
    <w:p>
      <w:pPr>
        <w:spacing w:after="0" w:line="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rely on a skilled, licensed labor force to provide our medspa and cosmetic services, and the supply of this labor force is finite. If we cannot hire adequate staff for our clinics, we will not be able to operate.</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of December 31, 2024, we employed approximately 389 full-time employees and approximately 33 part-time employees. Many of our personnel are licensed to perform cosmetic services, including medical treatments, and hold licenses as physicians and nurses. Our success depends, in part, on our continuing ability to identify, hire, develop and retain highly qualified personnel, including surgeons and nurses, through our affiliated Professional Associations. The demand for medical professionals increased significantly during the COVID-19 pandemic and in the following years. Further, even before the COVID-19 pandemic, the demand for medical professionals had been increasing as more consumers began gravitating to health and wellness treatments, such as medspa and cosmetic services. As a result, we have increased, and may continue to increase, the salaries and bonuses for both potential and existing personnel. Additionally, many of the jurisdictions in which we operate our centers have their own licensing or similar requirements applicable to our personnel, and the onboarding and training process for each of our employees and our independent contractors can take several months. If we cannot identify, hire, develop and retain adequate staff for our centers through our affiliated Professional Associations, we will not be able to open new centers on a timely basis or adequately staff existing centers.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personnel or others may engage in misconduct or other improper activities, including noncompliance with our policies and procedures.</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are exposed to the risk of misconduct or other improper activities by our personnel. Misconduct by our personnel could include inadvertent or intentional failures to comply with our policies and procedures (such as our data privacy policies), medical standards or procedures, the laws and regulations to which we are subject and/or ethical, social, product, labor and environmental standards. Our current and former personnel may also become subject to allegations of sexual harassment, racial and gender discrimination or other similar misconduct, which, regardless or the ultimate outcome, may result in adverse publicity that could significantly harm our brand, reputation and operations. Misconduct by our personnel could also involve the improper use of information obtained in the course of the associate’s prior or current employment, which could result in legal or regulatory action and harm to our reputation.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outsource the manufacturing of key elements of the tools we use for AirSculpt</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procedures to a single third-party manufacturer.</w:t>
      </w:r>
    </w:p>
    <w:p>
      <w:pPr>
        <w:spacing w:after="0" w:line="9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Euromi manufactures the handpiece our surgeons use for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If the operations of Euromi are interrupted or if they are unable to meet our delivery requirements due to capacity limitations or other constraints, we may be limited in our ability to perform procedures for customers which could harm our reputation and results of operations.</w:t>
      </w:r>
    </w:p>
    <w:p>
      <w:pPr>
        <w:spacing w:after="0" w:line="1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The manufacturing operations of Euromi are themselves dependent upon third-party suppliers, making us vulnerable to supply shortages and price fluctuations, which could harm our business.</w:t>
      </w:r>
    </w:p>
    <w:p>
      <w:pPr>
        <w:spacing w:after="0" w:line="7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The handpieces that our surgeons use for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are currently manufactured by Euromi. We do not have qualified alternate suppliers and rely upon purchase orders, rather than long-term supply agreements. A supply interruption or an increase in demand beyond Euromi’s capabilities could harm our ability to perform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until new sources of supply are identified and qualified. Our reliance on a single supplier of handpieces subjects us to a number of risks that could harm our business, including:</w:t>
      </w:r>
    </w:p>
    <w:p>
      <w:pPr>
        <w:spacing w:after="0" w:line="127" w:lineRule="exact"/>
        <w:rPr>
          <w:sz w:val="20"/>
          <w:szCs w:val="20"/>
          <w:color w:val="auto"/>
        </w:rPr>
      </w:pPr>
    </w:p>
    <w:p>
      <w:pPr>
        <w:ind w:left="620" w:hanging="303"/>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interruption of supply resulting from modifications to or discontinuation of Euromi’s operations;</w:t>
      </w:r>
    </w:p>
    <w:p>
      <w:pPr>
        <w:spacing w:after="0" w:line="13"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delays in product shipments resulting from uncorrected defects, reliability issues, or Euromi’s variation in a component;</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a lack of long-term supply agreements;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inability to obtain adequate supply in a timely manner or to obtain adequate supply on commercially reasonable terms;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difficulty and cost associated with locating and qualifying alternative suppliers for our handpieces in a timely manner;</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production delays related to the evaluation and testing of handpieces from alternative suppliers and corresponding regulatory qualifications;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0" w:hanging="303"/>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damage to our brand reputation caused by defective handpieces.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Moreover, during the past several years, macroeconomic and geopolitical conditions, as well as outbreaks of COVID-19, have resulted in widespread global supply chain delays and disruptions to vendors, including critical supply shortages, significant material cost inflation and extended lead times for items that are required for our operations. Any such interruptions to our supply chain could increase our costs and could limit the availability of products critical to our operations.</w:t>
      </w:r>
    </w:p>
    <w:p>
      <w:pPr>
        <w:spacing w:after="0" w:line="30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Any interruption in the supply of handpieces, or our inability to obtain substitute handpieces from alternate sources at acceptable prices in a timely manner, could harm our ability to perform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until new sources of supply are identified and qualified.</w:t>
      </w:r>
    </w:p>
    <w:p>
      <w:pPr>
        <w:spacing w:after="0" w:line="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Some jurisdictions preclude us from entering into non-compete agreements with our surgeons, and other non-compete agreements and restrictive covenants applicable to certain surgeons and other employees may not be enforceable.</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have contracts with surgeons in many states. Some of our services contracts include provisions preventing these surgeons from competing with us. The law governing non-compete agreements and other forms of restrictive covenants varies from state to state. Some jurisdictions prohibit us from entering into non-compete agreements with our professional staff. Other states are reluctant to strictly enforce non-compete agreements and restrictive covenants against surgeons. Therefore, there can be no assurance that our non-compete agreements related to employed or otherwise contracted surgeons will be enforceable if challenged in certain states. In such event, we would be unable to prevent formerly employed or otherwise contracted surgeons from competing with us, potentially resulting in the loss of some of our business.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involved in litigation which could negatively impact the value of our business.</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From time to time we are involved in lawsuits, claims, audits and investigations, including those arising out of services provided, personal injury claims, professional liability claims, billing and marketing practices, employment disputes and contractual claims. We may become subject to future lawsuits, claims, audits and investigations that could result in substantial costs and divert our attention and resources and adversely affect our business condition. These lawsuits, claims, audits or investigations, regardless of their merit or outcome, may also adversely affect our reputation and ability to expand our business.</w:t>
      </w:r>
    </w:p>
    <w:p>
      <w:pPr>
        <w:spacing w:after="0" w:line="9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centers and our affiliated Professional Associations providing professional services at such centers may become subject to medical liability and other legal claims, which could have a material adverse impact on our business.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nature and use of our services could give rise to liability, including medical liability claims against our Professional Associations and surgeons, if a customer were injured while receiving our procedures or were to suffer adverse reactions following our procedures. Adverse reactions could be caused by various factors beyond our control. If any of these events occurred, we and our affiliated Professional Associations could incur substantial litigation expense and be required to make payments in connection with settlements of claims or as a result of judgments against us, which could result in substantial damage awards that exceed the limits of our respective insurance coverage. Additionally, any claims made against us could divert the attention of our management and our surgeons from our operations, which could have a material adverse effect on our business, financial condition and results of operations.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recent years, physicians, hospitals and other healthcare providers have become subject to an increasing number of legal actions alleging malpractice or related legal theories. Many of these actions involve large monetary claims and significant defense costs. We also owe certain defense and indemnity obligations to our officers and directors.</w:t>
      </w:r>
    </w:p>
    <w:p>
      <w:pPr>
        <w:spacing w:after="0" w:line="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the Professional Associations and their surgeons maintain liability insurance in amounts that we believe are customary for the industry and appropriate in light of the risks attendant to our business. As of the date of this Annual Report on Form 10-K, our affiliated Professional Associations maintain professional and general liability insurance that provides coverage on a claims-made basis in a range of $0.5 million to $2.0 million per occurrence with a retention of $50,000 per occurrence and a range of $1.0 million to $4.0 million in annual aggregate coverage. We also maintain business interruption insurance and property damage insurance, as well as an additional umbrella insurance policy in the aggregate of $6.0 million. Coverage under certain of these policies is contingent upon the policy being in effect when a claim is made regardless of when the events which caused the claim occurred. In addition, surgeons who provide professional services in our centers are required to maintain separate malpractice coverage with similar minimum coverage limits. We also maintain a directors’ and officers’ insurance policy, which insures our directors and officers against unindemnified losses arising from certain wrongful acts in their capacities as directors and officers and reimburses us for those losses for which we have lawfully indemnified the directors and officers.</w:t>
      </w:r>
    </w:p>
    <w:p>
      <w:pPr>
        <w:spacing w:after="0" w:line="11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Our collective insurance coverage may not cover all claims against us. Insurance coverage may not continue to be available at a cost allowing us to maintain adequate levels of insurance. If one or more successful claims against us, our affiliated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Professional Associations or surgeons were not covered by or exceeded the coverage of our insurance, our financial condition and results of operations could be adversely affected. Our business, profitability and growth prospects could suffer if we face negative publicity or we pay damages or defense costs in connection with a claim that is outside the scope or limits of coverage of any applicable insurance coverage, including claims related to adverse patient events, contractual disputes, professional and general liability, and directors’ and officers’ duties.</w:t>
      </w:r>
    </w:p>
    <w:p>
      <w:pPr>
        <w:spacing w:after="0" w:line="1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In addition, if our costs of insurance and claims increase, then our earnings could decline. Market rates for insurance premiums and deductibles have been steadily increasing. Our earnings and cash flows could be materially and adversely affected by any of the following:</w:t>
      </w:r>
    </w:p>
    <w:p>
      <w:pPr>
        <w:spacing w:after="0" w:line="92" w:lineRule="exact"/>
        <w:rPr>
          <w:sz w:val="20"/>
          <w:szCs w:val="20"/>
          <w:color w:val="auto"/>
        </w:rPr>
      </w:pPr>
    </w:p>
    <w:p>
      <w:pPr>
        <w:ind w:left="620" w:hanging="303"/>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the collapse or insolvency of our insurance carriers;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further increases in premiums and deductibles;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increases in the number of liability claims against us or the cost of settling or trying cases related to those claims; or</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an inability to obtain one or more types of insurance on acceptable terms, if at all.</w:t>
      </w:r>
    </w:p>
    <w:p>
      <w:pPr>
        <w:spacing w:after="0" w:line="12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The health of the economy may affect consumer purchases of discretionary services, such as cosmetic services, which could have a material adverse effect on our business, financial condition and results of operations.</w:t>
      </w:r>
    </w:p>
    <w:p>
      <w:pPr>
        <w:spacing w:after="0" w:line="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results of our operations may be materially affected by conditions in the capital and credit markets and the economy generally. We appeal to a wide demographic customer profile for cosmetic services. Uncertainty in the economy could adversely impact customer purchases of discretionary services, including cosmetic services. Factors that could affect customers’ willingness to make such discretionary purchases include general business conditions, levels of employment, interest rates, overall inflation, tax rates, the availability of consumer credit, consumer confidence in future economic conditions and risks, or the public perception of risks related to public health crises, including epidemics or pandemics such as the COVID-19 pandemic or other catastrophic events. In the event of a prolonged economic downturn or acute recession, consumer spending habits could be adversely affected and we could experience lower than expected net sales.</w:t>
      </w:r>
    </w:p>
    <w:p>
      <w:pPr>
        <w:spacing w:after="0" w:line="3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a general deterioration in economic conditions could adversely affect our commercial partners including our vendor partners as well as the real estate developers and landlords who we rely on to construct and operate locations in which our centers are located. A bankruptcy or financial failure of a significant vendor or a number of significant real estate developers or landlords could have a material adverse effect on our business, financial condition, profitability, and cash flows.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could decline due to changes in credit markets and decisions made by credit providers.</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Historically, approximately half of our patients have financed their procedures through third-party credit providers with whom we have existing relationships. If we are unable to maintain our relationships with our financing partners, there is no guarantee that we will be able to find replacement partners who will provide our patients with financing on similar terms, and our revenue may be adversely affected. Further, reductions in consumer lending and the availability of consumer credit could limit the number of patients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patients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centers are sensitive to regulatory, economic and other conditions in the states and jurisdictions where they are located.</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revenue is particularly sensitive to regulatory, economic and other conditions in the states and jurisdictions in which we have centers. As of the date of this Annual Report on Form 10-K, we operate through our arrangements with our affiliated Professional Associations thirty-two centers in Arizona, California, Colorado, Florida, Georgia, Illinois, Kansas, Massachusetts, Michigan, Minnesota, Nevada, New York, North Carolina, Ohio, Pennsylvania, Tennessee, Texas, Utah, Washington, and Virginia as well as Toronto, Canada and London, United Kingdom.</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In addition, our five centers located in California represented 20% of our revenue in 2024 and 2023. As a result, our business, financial condition and results of operations could be adversely affected by disruptions in the Southern California economy resulting from recent wildfires. We expect that disruptions in the Southern California economy resulting from recent wildfires may impact the demand for our procedures at our five centers located in California, in particular at our center located in Beverly Hills. In the event of any other adverse regulatory, economic or other developments in any of the states and jurisdictions in which we have a higher concentration of centers there could be unanticipated adverse impacts 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 in those states and jurisdictions, which could have a material adverse effect on our business, prospects, results of operations and financial condition.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our senior management, and we may be adversely affected if we lose any member of our senior management.</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Because our senior management has been key to our success, we are highly dependent on Dr. Aaron Rollins, our founder and Executive Chairman of our board of directors. We do not maintain “key man” life insurance policies on any of our officers. Competition for senior management generally, and within the cosmetic surgery and healthcare industry specifically, is intense and we may not be able to recruit and retain the personnel we need if we were to lose an existing member of senior management. Because our senior management is instrumental to our future success, the loss of key management personnel, without adequate replacements, or our inability to attract, retain and motivate sufficient numbers of qualified management personnel could have a material adverse effect on our financial condition and results of operations.</w:t>
      </w:r>
    </w:p>
    <w:p>
      <w:pPr>
        <w:spacing w:after="0" w:line="10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rely on Vesey Street Capital Partners, L.L.C., our private equity sponsor and the interests of our Sponsor may conflict with the interests of the Company and its other stockholders.</w:t>
      </w:r>
    </w:p>
    <w:p>
      <w:pPr>
        <w:spacing w:after="0" w:line="5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We have in recent years depended on our relationship with our Sponsor to help guide our business plan. Our Sponsor has significant expertise in financial matters. This expertise was available to us through the representatives our Sponsor has on our board of directors and as a result of our management agreement with an affiliate of our Sponsor (the "Management Agreement"). In connection with the completion of our IPO, the Management Agreement terminated. Daniel Sollof and Adam Feinstein remain on our board of directors and hold contractual rights to seats on our board of directors for as long as our Sponsor maintains certain levels of ownership of our common stock. We have entered into, and may in the future enter into, agreements with our Sponsor which constitute related-party transactions as defined under Item 404 of Regulation S-K, as disclosed in further detail in this Annual Report on Form 10-K under the caption “Certain Relationships and Related Transactions, and Director Independence.” As of the date of this Annual Report on Form 10-K, affiliates of our Sponsor beneficially own 50.1% of our common stock. Affiliates of our Sponsor may elect to reduce their ownership in our Company, which could reduce or eliminate the benefits we have historically achieved through our relationship with it.</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Additionally, our Sponsor is in the business of making investments in companies and may from time to time acquire and hold interests in businesses that compete directly or indirectly with us. Our Sponsor may also pursue acquisition opportunities that may be complementary to our business and, as a result, those acquisition opportunities may not be available to us. So long as investment funds associated with or designated by our Sponsor continue to indirectly own a significant amount of our capital stock, even if such amount is less than a majority of our outstanding common stock on a fully-diluted basis, our Sponsor will continue to be able to strongly influence or effectively control our decisions.</w:t>
      </w:r>
    </w:p>
    <w:p>
      <w:pPr>
        <w:spacing w:after="0" w:line="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outstanding indebtedness.</w:t>
      </w:r>
    </w:p>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of December 31, 2024, total outstanding indebtedness under our senior credit facility was approximately $75.8 million, consisting of $70.8 million in term loans (the “Term Loan”) and $5.0 million drawn on the revolving credit facility (the “Revolver”) (the “Term Loan and Revolving Credit Facility”). Our leverage could have important consequences, including:</w:t>
      </w:r>
    </w:p>
    <w:p>
      <w:pPr>
        <w:spacing w:after="0" w:line="118" w:lineRule="exact"/>
        <w:rPr>
          <w:sz w:val="20"/>
          <w:szCs w:val="20"/>
          <w:color w:val="auto"/>
        </w:rPr>
      </w:pPr>
    </w:p>
    <w:p>
      <w:pPr>
        <w:ind w:left="620" w:hanging="303"/>
        <w:spacing w:after="0" w:line="238" w:lineRule="auto"/>
        <w:tabs>
          <w:tab w:leader="none" w:pos="61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making it more difficult for us to satisfy our obligations with respect to our indebtedness, and any failure to comply with the obligations under any of our debt instruments, including restrictive covenants, could result in an event of default under such instruments;</w:t>
      </w:r>
    </w:p>
    <w:p>
      <w:pPr>
        <w:spacing w:after="0" w:line="1" w:lineRule="exact"/>
        <w:rPr>
          <w:rFonts w:ascii="Arial" w:cs="Arial" w:eastAsia="Arial" w:hAnsi="Arial"/>
          <w:sz w:val="21"/>
          <w:szCs w:val="21"/>
          <w:color w:val="auto"/>
        </w:rPr>
      </w:pPr>
    </w:p>
    <w:p>
      <w:pPr>
        <w:ind w:left="620" w:hanging="303"/>
        <w:spacing w:after="0" w:line="220" w:lineRule="auto"/>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making us more vulnerable to adverse changes in general economic, industry and competitive conditions and adverse changes in government regulation;</w:t>
      </w:r>
    </w:p>
    <w:p>
      <w:pPr>
        <w:spacing w:after="0" w:line="20" w:lineRule="exact"/>
        <w:rPr>
          <w:rFonts w:ascii="Arial" w:cs="Arial" w:eastAsia="Arial" w:hAnsi="Arial"/>
          <w:sz w:val="21"/>
          <w:szCs w:val="21"/>
          <w:color w:val="auto"/>
        </w:rPr>
      </w:pPr>
    </w:p>
    <w:p>
      <w:pPr>
        <w:ind w:left="620" w:hanging="303"/>
        <w:spacing w:after="0" w:line="238" w:lineRule="auto"/>
        <w:tabs>
          <w:tab w:leader="none" w:pos="61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limiting cash flow available for general corporate purposes, including capital expenditures and opening new centers, because a substantial portion of our cash flow from operations must be dedicated to servicing our debt;</w:t>
      </w:r>
    </w:p>
    <w:p>
      <w:pPr>
        <w:spacing w:after="0" w:line="1" w:lineRule="exact"/>
        <w:rPr>
          <w:rFonts w:ascii="Arial" w:cs="Arial" w:eastAsia="Arial" w:hAnsi="Arial"/>
          <w:sz w:val="21"/>
          <w:szCs w:val="21"/>
          <w:color w:val="auto"/>
        </w:rPr>
      </w:pPr>
    </w:p>
    <w:p>
      <w:pPr>
        <w:ind w:left="620" w:hanging="303"/>
        <w:spacing w:after="0" w:line="220" w:lineRule="auto"/>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limiting our ability to obtain additional debt financing in the future for working capital, capital expenditures or opening new centers;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limiting our flexibility in reacting to competitive and other changes in our industry and economic conditions generally; and</w:t>
      </w:r>
    </w:p>
    <w:p>
      <w:pPr>
        <w:spacing w:after="0" w:line="14" w:lineRule="exact"/>
        <w:rPr>
          <w:rFonts w:ascii="Arial" w:cs="Arial" w:eastAsia="Arial" w:hAnsi="Arial"/>
          <w:sz w:val="21"/>
          <w:szCs w:val="21"/>
          <w:color w:val="auto"/>
        </w:rPr>
      </w:pPr>
    </w:p>
    <w:p>
      <w:pPr>
        <w:ind w:left="620" w:hanging="303"/>
        <w:spacing w:after="0" w:line="245" w:lineRule="auto"/>
        <w:tabs>
          <w:tab w:leader="none" w:pos="61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7"/>
          <w:szCs w:val="17"/>
          <w:color w:val="auto"/>
        </w:rPr>
        <w:t>exposing us to risks inherent in interest rate fluctuations because some of our borrowings will be at variable rates of interest, which could result in higher interest expense in the event of increases in interest rates.</w:t>
      </w:r>
    </w:p>
    <w:p>
      <w:pPr>
        <w:spacing w:after="0" w:line="10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Our ability to pay or to refinance our indebtedness will depend upon our future operating performance, which will be affected by general economic, financial, competitive, legislative, regulatory, business and other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March 12, 2025, the Company, EBS Intermediate Parent LLC, a Delaware limited liability company and wholly-owned subsidiary of the Company (“EBS Parent”), EBS Enterprises LLC, a Delaware limited liability company (“Borrower”), Silicon Valley Bank, a division of First-Citizens Bank &amp; Trust Company, as the administrative agent (“SVB”), and the lenders a party thereto entered into a Third Amendment to Credit Agreement (the “Third Amendment”) in connection with that certain Credit Agreement, dated as of November 7, 2022 (as amended by that certain First Amendment and Limited Waiver to Credit Agreement, dated as of March 9, 2023, by that certain Second Amendment to Credit Agreement, dated as of September 13, 2024, and by the Third Amendment, collectively, the “Credit Agreement”), among the Company, EBS Parent, Borrower, the several banks and other financial institutions or entities from time to time party thereto (each a “Lender” and, collectively, the “Lenders”) and SVB, the form of which was attached as Exhibit 10.1 to the Company’s Current Report on Form 8-K filed with the U.S. Securities and Exchange Commission (the “SEC”) on November 9, 2022.</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Under the terms of the Third Amendment, the parties thereto agreed to modify certain financial condition covenants made by the Company under the Term Loan and Revolving Credit Facility,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$3,000,000.00 as of the last day of the month ending March 31, 2025, (B) $5,000,000 as of the last day of the month ending April 30, 2025, and (C) $7,500,000.00 as of the last day of the months ending May 31, 2025 and thereafter (or the last day of each fiscal quarter thereafter upon the satisfaction of certain financial tests described therein); and (iv) new liquidity and financial reporting requirements have been added.</w:t>
      </w:r>
    </w:p>
    <w:p>
      <w:pPr>
        <w:spacing w:after="0" w:line="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In addition to revising the covenants listed above, the Third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Sponsor. In consideration of the Third Amendment, the Company paid a fee equal to 0.15% of the outstanding loans to consenting Lenders, and a $125,000 arrangement fee to SVB. On March 12, 2025, in connection with the Third Amendment, the Company, SVB and our Sponsor (through certain affiliated entities) entered into that certain Limited Guarantee by and among Vesey Street Capital Partners Healthcare Fund, L.P., Vesey Street Capital Partners Healthcare Fund-A, L.P., SVB and the Company (the “Limited Guarantee”), pursuant to which our Sponsor agreed to provide a $10.0 million guaranty of the Company’s obligations under the Credit Agreement. The Limited Guarantee is callable on June 15, 2025 (or upon the earlier occurrence of certain defaults described therein) if the Company has not prepaid the Term Loan (excluding regularly scheduled amortization) by $10.0 million as of such date. Under the terms of the Limited Guarantee, if Sponsor is required to make any payment under the Limited Guarantee (other than as a result of a bankruptcy event), then Sponsor will be deemed to have purchased shares of common stock of the Company having an aggregate value equal to the amount of such payment. The Company has agreed to issue a subordinated note to Sponsor if a payment occurs under the Limited Guarantee, to the extent such payment does not result from the issuance of shares of common stock by the Company to Sponsor.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Restrictive covenants in our debt instruments may adversely affect us.</w:t>
      </w:r>
    </w:p>
    <w:p>
      <w:pPr>
        <w:spacing w:after="0" w:line="1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Our Term Loan and Revolving Credit Facility, including the recent Third Amendment, contain various covenants that limit, among other things, our ability and the ability of our restricted subsidiaries to:</w:t>
      </w:r>
    </w:p>
    <w:p>
      <w:pPr>
        <w:spacing w:after="0" w:line="92" w:lineRule="exact"/>
        <w:rPr>
          <w:sz w:val="20"/>
          <w:szCs w:val="20"/>
          <w:color w:val="auto"/>
        </w:rPr>
      </w:pPr>
    </w:p>
    <w:p>
      <w:pPr>
        <w:ind w:left="620" w:hanging="303"/>
        <w:spacing w:after="0"/>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incur additional indebtedness;</w:t>
      </w:r>
    </w:p>
    <w:p>
      <w:pPr>
        <w:spacing w:after="0" w:line="13"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make certain distributions, investments and other restricted payments;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dispose of our assets;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0" w:hanging="303"/>
        <w:spacing w:after="0"/>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grant liens on our assets;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engage in transactions with affiliates;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merge, consolidate or transfer substantially all of our assets; and</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make payments to us (in the case of our restricted subsidiaries).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addition, our Term Loan and Revolving Credit Facility contain other and more restrictive covenants, including covenants requiring us to maintain specified financial ratios triggered in certain situations and to satisfy other financial condition tests. Our ability to meet those financial ratios and tests can be affected by events beyond our control, and we cannot assure you that we will continue to meet those tests. A breach of any of these covenants could result in a default under our Term Loan and Revolving Credit Facility. Upon the occurrence of an event of default under our Term Loan and Revolving Credit Facility, the lenders could elect to declare all amounts outstanding under our Term Loan and Revolving Credit Facility to be immediately due and payable and terminate all commitments to extend further credit. If we were unable to repay those amounts, the lenders could proceed against the collateral granted to them to secure that indebtedness. We have pledged substantially all of our assets, excluding assets of our non-guarantor subsidiaries, as security under our Term Loan and Revolving Credit Facility. If the lenders under our Term Loan and Revolving Credit Facility accelerate the repayment of borrowings, we cannot assure you that we will have sufficient assets to repay our Term Loan and Revolving Credit Facility and our other indebtedness.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cannot assure you that our business will generate sufficient cash flow from operations, that revenue trends and operating improvements anticipated as of the date of this Annual Report on Form 10-K will be realized or that future borrowings will be available to us under our Term Loan and Revolving Credit Facility in amounts sufficient to enable us to pay our indebtedness, or to fund our other liquidity needs. If we are unable to meet our debt service obligations or fund our other liquidity needs, we could attempt to restructure or refinance our indebtedness or seek additional equity capital. We cannot assure you that we will be able to accomplish those actions on satisfactory terms, if at all.</w:t>
      </w:r>
    </w:p>
    <w:p>
      <w:pPr>
        <w:spacing w:after="0" w:line="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Despite our current indebtedness levels, we and our subsidiaries may still be able to incur more debt, which could further exacerbate the risks associated with our substantial leverage.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and our subsidiaries may be able to incur additional indebtedness in the future, including secured indebtedness. Although the Term Loan and Revolving Credit Facility, including the recent Third Amendment, contains restrictions on the incurrence of additional indebtedness, these restrictions are subject to a number of significant qualifications and exceptions, and the indebtedness incurred in compliance with these restrictions could be substantial. In addition, as of December 31, 2024 we had no availability under our Revolver. If new debt is added to our or our subsidiaries’ current debt levels, the related risks that we face would be increased.</w:t>
      </w:r>
    </w:p>
    <w:p>
      <w:pPr>
        <w:spacing w:after="0" w:line="30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To service our indebtedness, we will require a significant amount of cash. Our ability to generate cash depends on many factors beyond our control, and any failure to meet our debt service obligations could have a material adverse effect on our business, prospects, results of operations and financial condition.</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Our ability to pay interest on and principal of our debt obligations principally depends upon our operating performance. As a result, prevailing economic conditions and financial, business and other factors, many of which are beyond our control, will affect our ability to make these payments.</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we conduct our operations through our subsidiaries. Accordingly, repayment of our indebtedness is dependent on the generation of cash flow by our subsidiaries and their ability to make such cash available to us by dividend, debt repayment or otherwise. Our subsidiaries may not be able to, or may not be permitted to, make distributions to enable us to make payments in respect of our indebtedness. Each of our subsidiaries is a distinct legal entity and, under certain circumstances, legal and contractual restrictions may limit our ability to obtain cash from our subsidiaries.</w:t>
      </w:r>
    </w:p>
    <w:p>
      <w:pPr>
        <w:spacing w:after="0" w:line="1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we do not generate sufficient cash flow from operations to satisfy our debt service obligations, we may have to undertake alternative financing plans, such as refinancing or restructuring our indebtedness, selling assets, reducing or delaying capital investments or capital expenditures or seeking to raise additional capital. Our ability to restructure or refinance our debt, if at all,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instruments may restrict us from adopting some of these alternatives. Our inability to generate sufficient cash flow to satisfy our debt service obligations, or to refinance our obligations at all or on commercially reasonable terms, could affect our ability to satisfy our debt obligations and have a material adverse effect on our business, prospects, results of operations and financial condition.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 holding company with no operations of our own.</w:t>
      </w:r>
    </w:p>
    <w:p>
      <w:pPr>
        <w:spacing w:after="0" w:line="1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are a holding company, and our ability to service our debt is dependent upon the earnings from the business conducted by our subsidiaries that operate the centers. The effect of this structure is that we depend on the earnings of our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subsidiaries, and the distribution or payment to us of a portion of these earnings to meet our obligations, including those under our Term Loan and Revolving Credit Facility and any of our other debt obligations. The distributions of those earnings or advances or other distributions of funds by these entities to us, all of which are contingent upon our subsidiaries’ earnings, are subject to various business considerations. In addition, distributions by our subsidiaries could be subject to statutory restrictions, including state laws requiring that such subsidiaries be solvent, or contractual restrictions. Some of our subsidiaries may become subject to agreements that restrict the sale of assets and significantly restrict or prohibit the payment of dividends or the making of distributions, loans or other payments to stockholders, partners or members.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variable rate debt exposes us to risks associated with rising interest rates, which could adversely affect our cash flows.</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As of December 31, 2024, we had borrowings under our Term Loan and Revolving Credit Facility with variable rate debt that was indexed to the Secured Overnight Financing Rate (“SOFR”). All outstanding loans bear interest based on either a base rate or SOFR plus an applicable per annum margin. During the period from January 1, 2024, through September 12, 2024, the applicable per annum margin was 2.0% or 3.0% for base rate or SOFR, respectively, if the Company's total leverage ratio was equal to or greater than 2.0x. If the Company's total leverage ratio was equal to or greater than 1.0x and less than 2.0x, the applicable per annum margin was 1.5% or 2.5% for base rate or SOFR, respectively. If the Company's total leverage ratio was below 1.0x, the applicable per annum margin was 1.0% or 2.0% for base rate or SOFR, respectively. During the period from September 13, 2024, through December 31, 2024, the applicable per annum margin was 2.5% or 3.5% for base rate or SOFR, respectively, if the Company's total leverage ratio was equal to or greater than 2.0x; if the Company's total leverage ratio was equal to or greater than 1.0x and less than 2.0x, the applicable per annum margin of 2.0% or 3.0% for base rate or SOFR, respectively; if the Company's total leverage ratio was below 1.0x, the applicable per annum margin of 1.5% or 2.5% for base rate or SOFR, respectively. Increases in interest rates on variable rate debt would increase our interest expense and the cost of refinancing existing debt and incurring new debt, unless we make arrangements that hedge the risk of rising interest rates, which would adversely affect net income and cash available for payment of our debt obligations and distributions to equity holders.</w:t>
      </w:r>
    </w:p>
    <w:p>
      <w:pPr>
        <w:spacing w:after="0" w:line="3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Under the recent Third Amendment to our Credit Agreement, for SOFR loans, the applicable per annum margin has been updated, beginning on or about July 1, 2025,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w:t>
      </w:r>
    </w:p>
    <w:p>
      <w:pPr>
        <w:spacing w:after="0" w:line="20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Comprehensive tax reform legislation or adverse outcomes resulting from examination of our income or other tax returns could adversely affect our financial condition and results of operations.</w:t>
      </w:r>
    </w:p>
    <w:p>
      <w:pPr>
        <w:spacing w:after="0" w:line="7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We may be subject to income and other taxes in the United States and foreign jurisdictions, and our domestic tax liabilities are subject to the allocation of expenses in differing jurisdictions.</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Cuts and Jobs Act”) enacted many significant changes to the U.S. tax laws. Future guidance from the Internal Revenue Service and other tax authorities may affect us, and certain aspects of the Tax Cuts and Jobs Act or other U.S. tax laws could be repealed or modified in future legislation. In addition, it is uncertain if and to what extent various states will conform to any newly enacted federal tax legislation.</w:t>
      </w:r>
    </w:p>
    <w:p>
      <w:pPr>
        <w:spacing w:after="0" w:line="3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Proposals to change U.S. or foreign tax laws could have an adverse impact on our effective tax rate, income tax expense, and financial performance. For example, the U.S. Congress, the Organization for Economic Cooperation and Development (“OECD”), and other government agencies are considering various proposals that may affect the taxation of multinational corporations. Although we cannot predict whether or in what form these proposals may pass, changes in corporate tax rates, the realization of net deferred tax assets relating to our operations, the taxation of foreign earnings, or other changes could have a material impact on the value of our deferred tax assets, could result in significant one-time charges, or could increase our future tax expense.</w:t>
      </w:r>
    </w:p>
    <w:p>
      <w:pPr>
        <w:spacing w:after="0" w:line="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we may be subject to audits of our income, sales and other transaction taxes by U.S. federal, state, local and foreign authorities. We regularly assess the likelihood of an adverse outcome resulting from such an examination to determine the adequacy of our provision for income taxes. Outcomes from these examinations and audits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there is a change in accounting standards by the Financial Accounting Standards Board or the interpretation thereof affecting consolidation of entities, it could have a material adverse effect on our consolidation of total revenue derived from the Professional Associations.</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financial statements are consolidated in accordance with applicable accounting standards and include the accounts of our subsidiaries and the Professional Associations, which we manage under the MSAs but are not owned by us. Such consolidation for accounting and/or tax purposes does not, is not intended to, and should not be deemed to, imply or provide us any control over the medical or clinical affairs of our affiliated Professional Associations. In the event a change in accounting standards promulgated by FASB or in interpretation of its standards, or if there is an adverse determination by a regulatory agency or a court, or a change in state or federal law relating to the ability to maintain present agreements or arrangements with our affiliated Professional Associations, we may not be permitted to continue to consolidate the total revenue of such practices.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management team has limited experience managing a public company.</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Most members of our management team have limited experience managing a publicly traded company, interacting with public company investors, and complying with the increasingly complex laws pertaining to public companies. We are subject to significant regulatory oversight and reporting obligations under the federal securities laws, Nasdaq Stock Market,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A pandemic, epidemic or outbreak of a contagious disease in the markets in which we operate or that otherwise impacts our centers could adversely impact our business.</w:t>
      </w:r>
    </w:p>
    <w:p>
      <w:pPr>
        <w:spacing w:after="0" w:line="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If a pandemic, epidemic or outbreak of an infectious disease, including new COVID-19 variants, or other public health crisis were to affect the areas in which we operate, our business, including our revenue, profitability and cash flows, could be adversely affected. If any of our centers were involved, or perceived to be involved, in treating patients with a highly contagious disease, or there was an outbreak of a highly contagious disease in areas in which our centers are located, our patients might cancel or defer cosmetic procedures. This could result in reduced patient volumes and operating revenue, potentially over an extended period. Further, a pandemic, epidemic or outbreak of an infectious disease might adversely impact our business by causing temporary shutdowns of our centers or diversion of patients or by causing staffing shortages in our centers. We may be unable to locate replacement supplies, and ongoing delays could require us to reduce procedure volume or cause temporary shutdowns of our centers. In addition, our results and financial condition may be adversely affected by future federal or state laws, regulations, orders, or other governmental or regulatory actions addressing new COVID-19 variants or the United States’ healthcare system, which, if adopted, could result in direct or indirect restrictions to our business, financial condition, results of operations and cash flow. Although we have disaster plans in place and operate pursuant to infectious disease protocols, the extent to which new COVID-19 variants or other public health crises could impact our business is difficult to predict and depends on many factors beyond our control, including the speed of contagion, the development and implementation of effective preventative measures and possible treatments, the scope of governmental and other restrictions on travel and other activity, and public reactions to these factors.</w:t>
      </w:r>
    </w:p>
    <w:p>
      <w:pPr>
        <w:spacing w:after="0" w:line="30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centers may be adversely impacted by weather and other factors beyond our control, and disruptions in our disaster recovery systems or management continuity planning could limit our ability to operate our business effectively.</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financial results of our centers may be negatively impacted by adverse weather conditions, such as tornadoes, earthquakes and hurricanes, or other factors beyond our control, such as wildfires. These weather conditions or other factors could disrupt patient scheduling, displace our patients, employees and surgeon partners and force certain of our centers to close temporarily or for an extended period of time. In certain markets, we have a large concentration of centers that may be simultaneously affected by adverse weather condition or events beyond our control.</w:t>
      </w:r>
    </w:p>
    <w:p>
      <w:pPr>
        <w:spacing w:after="0" w:line="1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While we have disaster recovery systems and business continuity plans in place, any disruptions in our disaster recovery systems or the failure of these systems to operate as expected could, depending on the magnitude of the problem, adversely affect our operating results by limiting our capacity to effectively monitor and control our operations. Despite our implementation of a variety of security measures, our technology systems could be subject to physical or electronic break-ins, and similar disruptions from unauthorized tampering or weather-related disruptions where our centers are located. In addition, in the event that a significant number of our management personnel were unavailable in the event of a disaster, our ability to effectively conduct business could be adversely affected.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and storage of paper medical records increases risk of loss, destruction and could increase human error with respect to documentation and patient care.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affiliated Professional Associations continue to rely on the use of paper medical records, which are initially stored on-site at our centers. Paper records are more susceptible to human error both in terms of accurately capturing patient information, as well as with respect to misplacing or losing the same. There is no duplicate or backup copy of the paper records and in the event of a flood, fire, theft, or other adverse event, the records, and all patient information, could be lost or destroyed. Paper records do not allow for a number of the benefits of electronic medical records systems, including interoperability with other providers allowing for better coordination of care, and other features designed to improve privacy, security, accuracy and accessibility of patient records. This may create more risk for the Professional Associations, surgeons and our centers to the extent it could lead to clinical issues or breaches of patient privacy.</w:t>
      </w:r>
    </w:p>
    <w:p>
      <w:pPr>
        <w:spacing w:after="0" w:line="1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Our internal computer systems, or those of any of our manufacturers, other contractors, consultants, collaborators, or third party service providers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use information technology systems, infrastructure, and data in many aspects of our business operations, and our ability to effectively manage our business depends significantly on the availability, reliability and capacity of these systems. We are critically dependent on the integrity, security and consistent operations of these systems. We also collect, process and store significant sensitive, personally identifiable, and/or confidential information and intellectual property, including patients’ information, private information about employees, and financial and strategic information about us and our business partners. The secure processing, maintenance and transmission of this information is critical to our operations.</w:t>
      </w:r>
    </w:p>
    <w:p>
      <w:pPr>
        <w:spacing w:after="0" w:line="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systems (including those of our contractors, consultants, collaborators, and third-party service providers) may be subject to damage or interruption from cyber-attacks, power outages, telecommunications problems, data corruption, software errors, network failures, acts of war or terrorist attacks, fire, flood, global pandemics and natural disasters; our existing safety systems, data backup, access protection, user management and information technology emergency planning may not be sufficient to prevent data loss or long-term network outages. In addition, we and our contractors, consultants, collaborators, and third-party service providers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our business and result in transaction errors, processing inefficiencies and loss of production or sales, causing our business and reputation to suffer. Any material disruption or slowdown of our systems or those of our third-party service providers and business partners, could have a material adverse effect on our business, financial condition, and results of operations.</w:t>
      </w:r>
    </w:p>
    <w:p>
      <w:pPr>
        <w:spacing w:after="0" w:line="3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Further, our systems and facilities, and those of our contractors, consultants, collaborators, and third-party service providers, may be vulnerable to security incidents, including cyber-attacks, ransomware, acts of vandalism, computer viruses, misplaced or lost data, human errors or other similar events. Recent cyberattacks purportedly originated in Russian controlled entities have exacerbated in the wake of Russia's invasion of Ukraine and our systems may be infiltrated by foreign actors. If unauthorized parties gain access to our facilities, networks, or databases, or those of our third-party vendors or business partners, they may be able to steal, publish, delete, use inappropriately, render unreadable or unusable, or modify our private and sensitive third-party information, including personally identifiable information, credit card information, and other sensitive, confidential, or proprietary information. In addition, employees may intentionally or inadvertently cause security incidents that result in unauthorized release of personally identifiable, sensitive, confidential, or proprietary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w:t>
      </w:r>
    </w:p>
    <w:p>
      <w:pPr>
        <w:spacing w:after="0" w:line="1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Security incidents compromising the confidentiality, integrity, and availability of this information and our systems and those of our third party vendors and business partners could result from cyber-attacks, computer malware, ransomware, viruses, social engineering (including phishing attacks), supply chain attacks, efforts by individuals or groups of hackers and sophisticated organizations, including state-sponsored organizations, errors or malfeasance of our personnel, and security vulnerabilities in the software or systems on which we rely. We anticipate that these threats will continue to grow in scope and complexity over time and such incidents have occurred in the past, and may occur in the future, resulting in unauthorized, unlawful, or inappropriate access to, inability to access, disclosure of, or loss of the sensitive, proprietary and confidential information that we handle. As we rely on our contractors, consultants, collaborators and third-party service providers, we are exposed to security risks outside of our direct control, and our ability to monitor these third-party service providers and business partners’ data security is limited. Despite the implementation of security measures, our internal computer systems and those of our current and any other contractors, consultants, collaborators and third-party service providers, such measures may not be effective in every instance.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Cybercrime and hacking techniques are constantly evolving, and we and/or our third-party service providers may be unable to anticipate or avoid attempted or actual security breaches, react in a timely manner, or implement adequate preventative measures, particularly given the increasing use of hacking techniques designed to circumvent controls, avoid detection, and remove or obfuscate forensic artifacts. While we have taken measures designed to protect the security of the confidential and personal information under our control, we cannot assure you that any security measures that we or our third-party service providers have implemented will be effective against current or future security threats.</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If such an event were to occur and cause interruptions in our operations or result in the unauthorized acquisition of or access to personally identifiable information or individually identifiable health information (violating certain privacy laws), it could result in a material disruption of our business operations, whether due to a loss of our trade secrets or other similar disruptions.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Laws in all states and U.S. territories require businesses to notify affected individuals, governmental entities, media, and/or credit reporting agencies of certain security incidents affecting personal information. Such laws are inconsistent, and compliance in the event of a widespread security incident is complex and costly and may be difficult to implement. Moreover, while we maintain cyber insurance that may help provide coverage for these types of incidents, we cannot assure you that our insurance will be adequate to cover all costs and liabilities related to these incidents.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cost of investigating, mitigating and responding to potential security breaches and complying with applicable breach notification obligations to individuals, regulators, partners and others can be significant. Security breaches can also give rise to claims, and the risk of such claims is increasing. For example, as discussed below, the CCPA creates a private right of action for certain data breaches. Further, defending a suit, regardless of its merit, could be costly, divert management attention and harm our reputation. The successful assertion of one or more large claims against us could adversely affect our reputation, business, financial condition, revenue, results of operations or cash flows.</w:t>
      </w:r>
    </w:p>
    <w:p>
      <w:pPr>
        <w:spacing w:after="0" w:line="9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Security breaches, loss of data, and other disruptions could compromise sensitive information related to our business or our patients, or prevent us from accessing critical information or systems and expose us to liability, and could adversely affect our business and our reputation.</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the ordinary course of our business, we create, receive, maintain, transmit, collect, store, use, disclose, share and process (collectively, “Process”) sensitive data, including individually identifiable health information (“IIHI”) and other types of personal data or personally identifiable information (collectively, “PII” and, together with IIHI, “IIHI/PII”) relating to our employees, patients, and others. We also Process and contract with third-party service providers to Process sensitive information, including IIHI/PII, confidential information, and other proprietary business information.</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are highly dependent on information technology networks and systems, including the internet, to securely Process IIHI/PII and other sensitive data and information. Security breaches of this infrastructure, whether ours or of our third-party service providers, including physical or electronic break-ins, computer viruses, ransomware, attacks by hackers and similar breaches, and employee or contractor error, negligence or malfeasance, could create system disruptions, shutdowns or unauthorized access, acquisition, use, disclosure or modifications of such data or information, and could cause IIHI/PII to be accessed, acquired, used, disclosed or modified without authorization, to be made publicly available, or to be further accessed, acquired, used or disclosed.</w:t>
      </w:r>
    </w:p>
    <w:p>
      <w:pPr>
        <w:spacing w:after="0" w:line="1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use third-party service providers for important aspects of the Processing of employee and patient IIHI/PII and other confidential and sensitive data and information, and therefore rely on third parties to manage functions that have material cybersecurity risks. Because of the sensitivity of the IIHI/PII and other sensitive data and information that we and our service providers Process, the security of our technology platform and other aspects of our services, including those provided or facilitated by our third-party service providers, are important to our operations and business strategy. We have implemented certain administrative, physical and technological safeguards to address these risks; however, such policies and procedures may not adequately address certain legal requirements, certain situations that could lead to increased privacy or security risks, and certain risks related to contractors and other third-party service providers who handle this IIHI/PII and other sensitive data and information for us. The training that we provide to our workforce and measures taken to protect our systems, the systems of our contractors or third-party service providers, or more generally the IIHI/PII or other sensitive data or information that we or our contractors or third-party service providers Process may not adequately protect us from the risks associated with Processing sensitive data and information. We may be required to expend significant capital and other resources to protect against security breaches, to safeguard the privacy, security, and confidentiality of IIHI/PII and other sensitive data and information, to investigate, contain, remediate, and mitigate actual or potential security breaches, and/or to report security breaches to patients, employees, regulators, media, credit bureaus, and other third parties in accordance with applicable law and to offer complimentary credit monitoring, identity theft protection, and similar services to patients and/or employees where required by law or otherwise appropriate. Despite our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implementation of security measures, cyber-attacks are becoming more sophisticated and frequent, and we or our third-party service providers may be unable to anticipate these techniques or to implement adequate protective measures against them or to prevent additional attacks. Our information technology networks and systems used in our business, as well as those of our service providers, may experience an increase in attempted cyber-attacks, seeking to take advantage of shifts to employees working remotely using their household or personal internet networks. The success of any of these attempts could substantially impact our platform and the privacy, security, or confidentiality of the IIHI/PII and other sensitive data and information contained therein or otherwise processed in the ordinary course of our business operations, and could ultimately harm our reputation and our business. In addition, any actual or perceived security incident or breach may cause us to incur increased expenses to improve our security controls and to remediate security vulnerabilities. We exercise limited control over our third-party service providers and, in the case of some third-party service providers, may not have evaluated the adequacy of their security measures, which increases our vulnerability to problems with services they provide.</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 security breach, security incident, or privacy violation that leads to unauthorized use, disclosure, access, acquisition, loss or modification of, or that prevents access to or otherwise impacts the confidentiality, security, or integrity of, patient or employee information, including IIHI/PII that we or our third-party service providers Process, could harm our reputation, compel us to comply with breach notification laws, cause us to incur significant costs for investigation, containment, remediation, mitigation, fines, penalties, settlements, notification to individuals, regulators, media, credit bureaus, and other third parties, complimentary credit monitoring, identity theft protection, training and similar services to patients and/or employees where required by law or otherwise appropriate, for measures intended to repair or replace systems or technology and to prevent future occurrences. We may also be subject to potential increases in insurance premiums, resulting in increased costs or loss of revenue.</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we or our third-party service providers are unable to prevent or mitigate security breaches, security incidents or privacy violations in the future, or if we or our third-party service providers are unable to implement satisfactory remedial measures with respect to known or future security incidents, or if it is perceived that we have been unable to do so, our operations could be disrupted, we may be unable to provide access to our systems, and we could suffer a loss of patients, loss of reputation, adverse impacts on patient and investor confidence, financial loss, governmental investigations or other actions, regulatory or contractual penalties, and other claims and liability. In addition, security breaches and incidents and other compromise or inappropriate access to, or acquisition or processing of, IIHI/PII or other sensitive data or information can be difficult to detect, and any delay in identifying such breaches or incidents or in providing timely notification of such incidents may lead to increased harm and increased penalties.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Any such security breach or incident or interruption of our systems or those of any of our third-party service providers could compromise our networks or data security processes, and IIHI/PII or other sensitive data and information could be made inaccessible or could be compromised, used, accessed, or acquired by unauthorized parties, publicly disclosed, lost or stolen. Any such interruption in access, compromise, use, improper access, acquisition, disclosure or other loss of information could result in legal claims or proceedings and/or liability or penalties under laws and regulations that protect the privacy, confidentiality, or security of IIHI/PII, including, without limitation, the Federal Trade Commission Act (“FTC Act”), the California Consumer Privacy Act (“CCPA”), other state IIHI/PII privacy, security, or consumer protection laws, and state breach notification laws. Unauthorized access, loss or dissemination of IIHI/PII could also disrupt our operations, including our ability to perform our services, access, collect, process, and prepare company financial information, provide information about our current and future services and engage in other patient and clinician education and outreach efforts.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14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patent protection of sufficient scope or at all or freedom to operate for the AirSculpt</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procedure or any technology we develop, our ability to successfully commercialize any procedures we may develop may be adversely affected.</w:t>
      </w:r>
    </w:p>
    <w:p>
      <w:pPr>
        <w:spacing w:after="0" w:line="11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seek to protect our position by filing patent applications in the United States and internationally related to our proprietary procedures and any products that we may develop that are important to our business.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patent prosecution process is expensive, time-consuming and complex, and we may not be able to file, prosecute, maintain, enforce or license all necessary or desirable patents or patent applications at a reasonable cost, in a timely manner, in all jurisdictions where protection may be commercially advantageous, or at all.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make the inventions claimed in our patents or pending patent applications or that we were the first to file for patent protection of such inventions.</w:t>
      </w:r>
    </w:p>
    <w:p>
      <w:pPr>
        <w:spacing w:after="0" w:line="1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Changes in either the patent laws or their interpretation in the United States and other countries may diminish our ability to protect our inventions, obtain, maintain, and enforce our patent rights and, more generally, could affect the value of our patents or narrow the scope of our patents. For example,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w:t>
      </w:r>
    </w:p>
    <w:p>
      <w:pPr>
        <w:spacing w:after="0" w:line="1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cannot predict whether the patent applications we pursue will issue as patents or whether the claims of any issued patents will provide sufficient protection from competitors. The coverage claimed in a patent application can be significantly reduced before a patent is issued, and its scope can be reinterpreted after issuance. Even if our patent applications issue as patents, they may not issue in a form that will provide us with any meaningful protection, prevent competitors or other third parties from competing with us, or otherwise provide us with any competitive advantage. As a result, the issuance, scope, validity, enforceability and commercial value of our patent rights are highly uncertain.</w:t>
      </w:r>
    </w:p>
    <w:p>
      <w:pPr>
        <w:spacing w:after="0" w:line="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Additionally, our competitors or other third parties may be able to circumvent our patents by developing similar or alternative non-infringing technologies, or procedures. Our patent protection is currently limited to the United States and does not afford us protection in other countries in which we are opening new centers. These new centers may therefore face more direct competition, which may reduce the profitability of our centers outside the United States.</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Third parties may also have blocking patents that could prevent us from marketing our procedures and practicing our technology. Alternatively, third parties may seek approval to market their own procedures similar to or otherwise competitive with our procedures.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procedures that are substantially similar to ours. Even if we have valid and enforceable patents, these patents still may not provide protection against competing procedures or technologies sufficient to achieve our business objectives.</w:t>
      </w:r>
    </w:p>
    <w:p>
      <w:pPr>
        <w:spacing w:after="0" w:line="10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2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United States Patent and Trademark Office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and patent applications will be due to the USPTO and foreign patent agencies over the lifetime of our patents and applications.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could have a material adverse effect on our business, financial condition and results of operations.</w:t>
      </w:r>
    </w:p>
    <w:p>
      <w:pPr>
        <w:spacing w:after="0" w:line="10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may become a party to intellectual property litigation or administrative proceedings or other intellectual property challenges that could be costly and could interfere with our ability to market and perform our services.</w:t>
      </w:r>
    </w:p>
    <w:p>
      <w:pPr>
        <w:spacing w:after="0" w:line="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cosmetic treatment procedure industry has been characterized by extensive intellectual property litigation, and companies in the industry have used intellectual property litigation to gain a competitive advantage. It is possible that United States and foreign patents and pending patent applications or trademarks of third parties may be alleged to cover our technology or our procedures, or that we may be accused of misappropriating third parties’ trade secrets. Additionally, our equipment includes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technology and procedures or to use our proprietary names. Because patent applications can take years to issue and are often afforded confidentiality for some period of time, there is a risk we may develop one or more procedures or other technologies without knowledge of a pending patent application, which if such patent application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issued into a patent would result in our procedures or technologies infringing such patent. From time to time, we may receive threatening letters, notices or “invitations to license,” or may be the subject of claims that our procedures, technology, brands, proprietary names and marks, and/or business operations infringe or violate the intellectual property rights of others. Moreover, in recent years, individuals and groups that are non-practicing entities, commonly referred to as “patent trolls,” have purchased patents and other intellectual property assets for the purpose of making claims of infringement in order to extract settlements. The defense of any of these matters, even claims without merit, can be time consuming, divert management’s attention and resources, damage our reputation and brand and cause us to incur significant expenses, and if we settle any such claims, we may agree to make substantial payments or to redesign or cease making or using our challenged procedures or technology or to cease using our brands or proprietary names and marks. Vendors from whom we purchase hardware or software may not indemnify us in the event that such hardware or software is accused of infringing or misappropriating a third party’s intellectual property rights, or any indemnification granted by such vendors may not be sufficient to address any liability and costs we incur as a result of such claims. Additionally, we may be obligated to indemnify our business partners in connection with intellectual property litigation, which could further exhaust our resources.</w:t>
      </w:r>
    </w:p>
    <w:p>
      <w:pPr>
        <w:spacing w:after="0" w:line="3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Even if we believe a third party’s intellectual property claims are without merit, there is no assurance that a court would find in our favor, including on questions of infringement, validity, enforceability or priority of patents. The strength of our defenses relating to patent claims will depend on the patents asserted, the interpretation of these patents, and our ability to invalidate the asserted patents. A court of competent jurisdiction could hold that these third-party patents are valid and enforceable and have been infringed by us, which could materially and adversely affect our ability to commercialize any procedures or technology we may develop and any other procedures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w:t>
      </w:r>
    </w:p>
    <w:p>
      <w:pPr>
        <w:spacing w:after="0" w:line="1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Further, any successful claims of intellectual property infringement or misappropriation against us may harm our business and result in injunctions preventing us from developing, manufacturing, using or selling our technology or procedures,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Even if any intellectual property disputes are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alter our procedures or redesign our equipment to avoid infringement. Any of these events could materially and adversely affect our business, financial condition and results of operations.</w:t>
      </w:r>
    </w:p>
    <w:p>
      <w:pPr>
        <w:spacing w:after="0" w:line="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derivation, cancellation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using or selling our procedures or technology or using proprietary names, which would have a significant adverse impact on our business, financial condition and results of operations.</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Additionally, we may file lawsuits or initiate other proceedings to protect or enforce our patents, or other intellectual property rights and contractual restrictive covenants with our surgeons not to use the procedure outside of our centers, each of which could be expensive, time consuming and unsuccessful. Competitors may infringe our issued patents or other intellectual property, which we may not always be able to detect.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existing and future patent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proceedings, derivation proceedings and equivalent proceedings in foreign jurisdictions (e.g., opposition proceedings). In any such lawsuit or other proceedings, a court or other administrative body may decide that a patent 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ours is invalid or unenforceable, in whole or in part, construe the patent’s claims narrowly or refuse to stop the other party from using the technology at issue on the grounds that our patents do not cover the technology in question.</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procedures, equipment, and other technologies (including those then under development). If our patents are found to be valid and infringed by a third party, a court may refuse to grant injunctive relief against the infringer and instead grant us monetary damages and/or ongoing royalties. Such monetary compensation may be insufficient to adequately offset the damage to our business caused by the infringer’s competition in the market. Any of these events could materially and adversely affect our business, financial condition and results of operations.</w:t>
      </w:r>
    </w:p>
    <w:p>
      <w:pPr>
        <w:spacing w:after="0" w:line="3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intellectual property litigation or other proceedings could have a material adverse effect on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our other proprietary rights, our business and competitive position may be harmed.</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 addition to patent protection, we also rely on other proprietary rights that we seek to protect, including trade secrets, and other proprietary information that is not patentable or that we elect not to patent. However, trade secrets can be difficult to protect. To maintain the confidentiality of our trade secrets and proprietary information, we rely heavily on confidentiality provisions that we have in contracts with our employees, consultants, contractors,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know-how and other proprietary information will not otherwise become known.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Enforcing a claim that a party disclosed proprietary information in an unauthorized manner or misappropriated a trade secret is difficult, expensive and time-consuming, and the outcome is unpredictable.</w:t>
      </w:r>
    </w:p>
    <w:p>
      <w:pPr>
        <w:spacing w:after="0" w:line="31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 addition, we may in the future also be subject to claims by our former employees, surgeons, consultants or contractors asserting an ownership right in our intellectual property rights as a result of the work they performed on our behalf. Although it is our policy to require all of our employees, consultants, contractors and any other partners or collaborators who may be involved in the conception or development of intellectual property for us to execute agreements assigning such intellectual property to us, we cannot be certain that we have executed such agreements with all parties who may have contributed to the development of our intellectual property, that the assignment of intellectual property rights under our agreements that have been executed with such parties will be self-executing, or that our agreements with such parties will be upheld in the face of a potential challenge. Such agreements could also potentially be breached in a manner for which we may not have an adequate remedy. As a result, we may lose valuable intellectual property rights, such as exclusive ownership of, and/or right to use, intellectual property that is important to our business. Any such events could have a material adverse effect on our business, financial condition and results of operations.</w:t>
      </w:r>
    </w:p>
    <w:p>
      <w:pPr>
        <w:spacing w:after="0" w:line="3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To the extent our intellectual property or other proprietary information protection is inadequate, we are exposed to a greater risk of direct competition. A third party could, without authorization, copy or otherwise obtain and use our procedures, equipment, or technology. Our competitors could attempt to replicate some or all of the competitive advantages we derive from our development efforts or design around our intellectual property. Our failure to secure, protect and enforce our intellectual property rights could substantially harm the value of our brand and business. The theft or unauthorized use or publication of our trade secrets and other confidential proprietary information could reduce the differentiation of our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procedures and harm our business, the value of our investment in development could be reduced and third parties may make claims against us related to losses of their confidential or proprietary information.</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Further, it is possible that others will independently develop the same or similar technology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rightfully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 In addition, the Federal Trade Commission has proposed new regulations, which, if such regulations come into force in their proposed form and are found enforceable, would largely prohibit future, or render unenforceable most current, non-compete agreements in the United States that would otherwise protect the business.</w:t>
      </w:r>
    </w:p>
    <w:p>
      <w:pPr>
        <w:spacing w:after="0" w:line="1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Any of the foregoing could materially and adversely affect our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throughout the world to the same extent as in the United States.</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While we have applied for patent protection in the United States and internationally relating to certain of our procedures, a company may attempt to commercialize competing procedures utilizing our proprietary methods in foreign countries where we do not have any patents or patent applications and where legal recourse may be limited or unavailable. In addition, we currently own registered trademarks and trademark applications relating to our business in the United States and other markets, but other companies may own these marks in other jurisdictions. Any such third-party rights may have a significant commercial impact on our ability to expand into foreign markets.</w:t>
      </w:r>
    </w:p>
    <w:p>
      <w:pPr>
        <w:spacing w:after="0" w:line="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Filing, prosecuting and defending patents or trademarks on our current and future procedures in all countries throughout the world would be prohibitively expensive. In addition, we may not accurately predict all of the jurisdictions where patent or trademark protection will ultimately be desirable. If we fail to timely file a patent or trademark application in some jurisdictions, we may be precluded from doing so at a later date. The requirements for patentability and for obtaining trademark protection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trademarks and other proprietary rights in all countries outside the United States. Competitors may use our technologies or trademarks in jurisdictions where we have not obtained patent or trademark protection to develop or market their own procedures. Our patents, trademarks or other intellectual property rights may not be effective or sufficient to prevent them from competing.</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or may not be sufficiently robust for, the meaningful enforcement of patents, trademarks and other intellectual property rights, which could make it difficult for us to stop the infringement or other violation of our patents, trademarks and other intellectual property rights. Proceedings to enforce our intellectual property rights in foreign jurisdictions could result in substantial costs and divert our efforts and attention from other aspects of our business, could put our patents and trademarks at risk of being invalidated or interpreted narrowly and/or result in the unsuccessful prosecution of our patent or trademark applications, and could provoke third parties to assert claims against us. We may not prevail in any lawsuits that we initiate and the damages or other remedies awarded, if any, may not be commercially meaningful. In addition, many countries, including India, China and certain countries in Europe,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our intellectual property. Finally, our ability to protect and enforce our intellectual property rights may be adversely affected by unforeseen changes in foreign intellectual property laws.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trademarks and trade names are not adequately protected, that could adversely impact our ability to build name recognition in certain markets.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We rely on trademarks, service marks and trade names to distinguish our procedures and services from those of our competitors and have registered or applied to register these trademarks. Our registered or unregistered trademarks, service marks and trade names may be challenged, infringed, diluted, circumvented or declared generic or determined to be infringing on other marks. Additionally, we cannot assure you that our trademark applications will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procedures or services, which could result in loss of brand recognition and could require us to devote resources towards advertising and marketing new brands. At times, competitors may adopt trade names or trademarks similar to ours, which could harm our brand identity and lead to market confusion. Certain of our current or future trademarks may become so well known by the public that their use becomes generic and they lose trademark protection. Over the long term, if we are unable to establish name recognition through our trademarks and trade names, then we may not be able to compete effectively and our business, financial condition and results of operations may be adversely affected.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 Regulations</w:t>
      </w:r>
    </w:p>
    <w:p>
      <w:pPr>
        <w:spacing w:after="0" w:line="14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or otherwise incur liabilities under the numerous federal and state laws and regulations relating to the operation of our centers, we could incur significant penalties or other costs or be required to make significant changes to our operations.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cosmetic treatment industry is heavily regulated and we are subject to many laws and regulations at the federal, state and local government levels in the markets in which we operate. These laws and regulations require that our centers meet various licensing, accreditation, certification and other requirements, including, but not limited to, those relating to:</w:t>
      </w:r>
    </w:p>
    <w:p>
      <w:pPr>
        <w:spacing w:after="0" w:line="108" w:lineRule="exact"/>
        <w:rPr>
          <w:sz w:val="20"/>
          <w:szCs w:val="20"/>
          <w:color w:val="auto"/>
        </w:rPr>
      </w:pPr>
    </w:p>
    <w:p>
      <w:pPr>
        <w:ind w:left="620" w:hanging="303"/>
        <w:spacing w:after="0"/>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ownership and control of our centers and our arrangements with our affiliated Professional Associations;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operating policies and procedures;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qualification, training and supervision of medical and support persons;</w:t>
      </w:r>
    </w:p>
    <w:p>
      <w:pPr>
        <w:spacing w:after="0" w:line="20" w:lineRule="exact"/>
        <w:rPr>
          <w:rFonts w:ascii="Arial" w:cs="Arial" w:eastAsia="Arial" w:hAnsi="Arial"/>
          <w:sz w:val="21"/>
          <w:szCs w:val="21"/>
          <w:color w:val="auto"/>
        </w:rPr>
      </w:pPr>
    </w:p>
    <w:p>
      <w:pPr>
        <w:ind w:left="620" w:hanging="303"/>
        <w:spacing w:after="0" w:line="238" w:lineRule="auto"/>
        <w:tabs>
          <w:tab w:leader="none" w:pos="6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the appropriateness and adequacy of medical care, equipment, personnel, operating policies and procedures; maintenance and preservation of medical records;</w:t>
      </w:r>
    </w:p>
    <w:p>
      <w:pPr>
        <w:spacing w:after="0" w:line="1" w:lineRule="exact"/>
        <w:rPr>
          <w:rFonts w:ascii="Arial" w:cs="Arial" w:eastAsia="Arial" w:hAnsi="Arial"/>
          <w:sz w:val="21"/>
          <w:szCs w:val="21"/>
          <w:color w:val="auto"/>
        </w:rPr>
      </w:pPr>
    </w:p>
    <w:p>
      <w:pPr>
        <w:ind w:left="620" w:hanging="303"/>
        <w:spacing w:after="0" w:line="243" w:lineRule="auto"/>
        <w:tabs>
          <w:tab w:leader="none" w:pos="6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the protection and privacy of patient and other sensitive information of privacy, including, but not limited to, patient health information and credit card information;</w:t>
      </w:r>
    </w:p>
    <w:p>
      <w:pPr>
        <w:ind w:left="620" w:hanging="303"/>
        <w:spacing w:after="0" w:line="220"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screening, stabilization and transfer of individuals who have emergency medical conditions and provision of emergency services;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antitrust;</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building codes;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workplace health and safety;</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licensure, certification and accreditation;</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fee-splitting and the corporate practice of medicine;</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handling of medication;</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confidentiality, data breach, identity theft and maintenance and protection of health-related and other personal information and medical records;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fat removal; and</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environmental protection, health and safety.</w:t>
      </w:r>
    </w:p>
    <w:p>
      <w:pPr>
        <w:spacing w:after="0" w:line="1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If we fail or have failed to comply with applicable laws and regulations, we could subject ourselves to administrative, civil or criminal penalties, cease and desist orders, and loss of licenses necessary to operate.</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Many of these laws and regulations have not been fully interpreted by regulatory authorities or the courts, and their provisions are sometimes open to a variety of interpretations. Different interpretations or enforcement of existing or new laws and regulations could subject our current practices to allegations of impropriety or illegality, or require us to make changes in our operations, arrangements with surgeons and licensed professionals, centers, equipment, personnel, services, capital expenditure programs or operating expenses to comply with the evolving rules. Any enforcement action against us, even if we successfully defend against it, could cause us to incur significant legal expenses and divert our management’s attention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pursuing our growth strategy, we may seek to expand our presence into states in which we do not currently operate. In new geographic areas, we may encounter laws and regulations that differ from those applicable to our current operations. If we are unwilling or unable to comply with these legal requirements in a cost-effective manner, we may be unable to expand into new geographic markets or such expansion may be materially limited, which, in either case, could materially and adversely affect our ability to expand and grow the business.</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 number of initiatives have been proposed during the past several years to reform various aspects of the healthcare system in the United States. In the future, different interpretations or enforcement of existing or new laws and regulations could subject our current practices to allegations of impropriety or illegality, or could require us to make changes in our centers, equipment, personnel, services, capital expenditure programs and operating expenses. In addition, some of the governmental and regulatory bodies that regulate us are considering or may in the future consider enhanced or new regulatory requirements. These authorities may also seek to exercise their supervisory or enforcement authority in new or more robust ways.</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There are laws that limit the amount of fat that may be removed during the procedures we perform, and such restrictions vary depending on where the procedure is performed. If the laws were to change to materially restrict the amount of fat that may be removed during our procedures, this may limit demand for our services or the ability to continue to charge as much for the same procedures or to perform the procedures at all.</w:t>
      </w:r>
    </w:p>
    <w:p>
      <w:pPr>
        <w:spacing w:after="0" w:line="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All of these possibilities, if they occurred, could detrimentally affect the way we conduct our business and manage our capital, either of which, in turn, could have a material adverse effect on our business, prospects, results of operations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cannot be certain if and when international regulatory agencies will approve use of the AirSculpt® procedure in their respective jurisdictions.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believe that our brand is important to attracting patients and high-quality surgeons. As we continue our international expansion, we cannot be certain if and when regulatory agencies outside the United States will approve use of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in their respective jurisdictions. Accordingly, we may need to</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adapt the AirSculpt® procedure to local regulatory requirements, which could produce inferior results. Moreover, altering the AirSculpt® procedure could create confusion among consumers and dilute our brand identity. If inferior results are produced or our brand identity is diluted, we may not be able to compete effectively and our business, financial condition and results of operations may be adversely affected.</w:t>
      </w:r>
    </w:p>
    <w:p>
      <w:pPr>
        <w:spacing w:after="0" w:line="9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AirSculpt</w:t>
      </w:r>
      <w:r>
        <w:rPr>
          <w:rFonts w:ascii="Times New Roman" w:cs="Times New Roman" w:eastAsia="Times New Roman" w:hAnsi="Times New Roman"/>
          <w:sz w:val="22"/>
          <w:szCs w:val="22"/>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xml:space="preserve"> procedures may cause or contribute to adverse medical events that we are required to report to the FDA and if we fail to do so, we could be subject to sanctions that would materially harm our business.</w:t>
      </w:r>
    </w:p>
    <w:p>
      <w:pPr>
        <w:spacing w:after="0" w:line="11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In connection with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we currently use an FDA-approved handpiece manufactured by Euromi S.A., a Belgian company that specializes in the manufacturing and distribution of medical, dermatological and plastic surgery products, and other FDA-approved parts, such as the cannula and vacuum pump, from other manufacturers. Using FDA-approved equipment in medical procedures is the practice of medicine and does not itself require further FDA review or approval. However, FDA regulations require that we report certain information about adverse medical events if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has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could take action including criminal prosecution, the imposition of civil monetary penalties, revocation of our device clearance or approval, seizure of our products, or delay in approval or clearance of future products.</w:t>
      </w:r>
    </w:p>
    <w:p>
      <w:pPr>
        <w:spacing w:after="0" w:line="11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laws governing the corporate practice of medicine or fee-splitting change, we may be required to restructure some of our relationships, which may result in a significant loss of revenue and divert other resources.</w:t>
      </w:r>
    </w:p>
    <w:p>
      <w:pPr>
        <w:spacing w:after="0" w:line="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contractual relationships with our affiliated Professional Associations and surgeons may implicate certain state laws that generally prohibit non-professional entities from providing licensed medical services and exercising control over licensed physicians or other healthcare professionals (such activities generally referred to as the “corporate practice of medicine,” or CPOM) or engaging in certain practices such as fee-splitting with such licensed professionals (i.e., sharing in a percentage of professional fees). The specific requirements, interpretation and enforcement of these laws vary significantly from state to state, and is subject to change and to evolving interpretations.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We provide comprehensive, administrative and non-clinical Management Services to our affiliated Professional Associations in exchange for a management fee. Regulatory authorities, state boards of medicine, state attorneys general and other parties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may assess or determine that our relationships with our affiliated Professional Associations and surgeons violate state CPOM and/or fee-splitting prohibitions. If any of these events occur, we could be subject to significant fines and penalties, certain relationships with our affiliated Professional Associations and surgeons could be voided and declared unenforceable and/or we could be required to materially change the way we do business, which, could adversely affect our business, financial condition and results of operations. State CPOM and fee-splitting prohibitions also often impose penalties on healthcare professionals for aiding in the improper rendering of professional services, which could discourage surgeons and other healthcare professionals from providing clinical services at our centers.</w:t>
      </w:r>
    </w:p>
    <w:p>
      <w:pPr>
        <w:spacing w:after="0" w:line="30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various federal and state laws pertaining to healthcare fraud and abuse, including anti-kickback, self-referral, false claims and fraud laws, and any violations by us of such laws could result in fines or other penalties.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Although none of our services are currently covered by any state or federal government healthcare program or other third-party payor, applicable agencies and regulators may interpret that we are nonetheless subject to various federal and state laws intended to prevent healthcare fraud and abuse, including, but not limited, to the following:</w:t>
      </w:r>
    </w:p>
    <w:p>
      <w:pPr>
        <w:spacing w:after="0" w:line="123" w:lineRule="exact"/>
        <w:rPr>
          <w:sz w:val="20"/>
          <w:szCs w:val="20"/>
          <w:color w:val="auto"/>
        </w:rPr>
      </w:pPr>
    </w:p>
    <w:p>
      <w:pPr>
        <w:jc w:val="both"/>
        <w:ind w:left="620" w:hanging="303"/>
        <w:spacing w:after="0" w:line="243" w:lineRule="auto"/>
        <w:tabs>
          <w:tab w:leader="none" w:pos="61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w:t>
      </w:r>
    </w:p>
    <w:p>
      <w:pPr>
        <w:spacing w:after="0" w:line="8" w:lineRule="exact"/>
        <w:rPr>
          <w:rFonts w:ascii="Arial" w:cs="Arial" w:eastAsia="Arial" w:hAnsi="Arial"/>
          <w:sz w:val="21"/>
          <w:szCs w:val="21"/>
          <w:color w:val="auto"/>
        </w:rPr>
      </w:pPr>
    </w:p>
    <w:p>
      <w:pPr>
        <w:jc w:val="both"/>
        <w:ind w:left="620" w:hanging="303"/>
        <w:spacing w:after="0" w:line="242" w:lineRule="auto"/>
        <w:tabs>
          <w:tab w:leader="none" w:pos="61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The federal False Claims Act includes a whistleblower provision that allows individuals to bring actions on behalf of the federal government and share a portion of the recovery of successful claims;</w:t>
      </w:r>
    </w:p>
    <w:p>
      <w:pPr>
        <w:spacing w:after="0" w:line="8" w:lineRule="exact"/>
        <w:rPr>
          <w:rFonts w:ascii="Arial" w:cs="Arial" w:eastAsia="Arial" w:hAnsi="Arial"/>
          <w:sz w:val="21"/>
          <w:szCs w:val="21"/>
          <w:color w:val="auto"/>
        </w:rPr>
      </w:pPr>
    </w:p>
    <w:p>
      <w:pPr>
        <w:ind w:left="620" w:hanging="303"/>
        <w:spacing w:after="0" w:line="238" w:lineRule="auto"/>
        <w:tabs>
          <w:tab w:leader="none" w:pos="61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HIPAA, as amended, also created federal criminal laws that prohibit executing a scheme to defraud any healthcare benefit program or making false statements relating to healthcare matters;</w:t>
      </w:r>
    </w:p>
    <w:p>
      <w:pPr>
        <w:spacing w:after="0" w:line="9" w:lineRule="exact"/>
        <w:rPr>
          <w:rFonts w:ascii="Arial" w:cs="Arial" w:eastAsia="Arial" w:hAnsi="Arial"/>
          <w:sz w:val="21"/>
          <w:szCs w:val="21"/>
          <w:color w:val="auto"/>
        </w:rPr>
      </w:pPr>
    </w:p>
    <w:p>
      <w:pPr>
        <w:ind w:left="620" w:hanging="303"/>
        <w:spacing w:after="0" w:line="238" w:lineRule="auto"/>
        <w:tabs>
          <w:tab w:leader="none" w:pos="61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similar state anti-kickback and false claims laws, some of which apply to items or services reimbursed by any third party payor, including commercial insurers or services paid out-of-pocket by consumers; and</w:t>
      </w:r>
    </w:p>
    <w:p>
      <w:pPr>
        <w:spacing w:after="0" w:line="1" w:lineRule="exact"/>
        <w:rPr>
          <w:rFonts w:ascii="Arial" w:cs="Arial" w:eastAsia="Arial" w:hAnsi="Arial"/>
          <w:sz w:val="21"/>
          <w:szCs w:val="21"/>
          <w:color w:val="auto"/>
        </w:rPr>
      </w:pPr>
    </w:p>
    <w:p>
      <w:pPr>
        <w:ind w:left="620" w:hanging="303"/>
        <w:spacing w:after="0" w:line="247" w:lineRule="auto"/>
        <w:tabs>
          <w:tab w:leader="none" w:pos="61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the Federal Trade Commission Act and federal and state consumer protection, advertisement and unfair competition laws, which broadly regulate marketplace activities and activities that could potentially harm consumers.</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Because of the breadth of these laws and the need to fit certain activities within one of the statutory exceptions and safe harbors available, it is possible that some of our business activities could be subject to challenge under one or more of such laws.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0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numerous environmental, health and safety laws and regulations, and must maintain licenses or permits, and non-compliance with these laws, regulations, licenses, or permits may expose us to significant costs or liabilities.</w:t>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are subject to numerous foreign, federal, state, and local environmental, health and safety laws and regulations relating to, among other matters, safe working conditions and environmental protection, including those governing the generation, storage, handling, use, transportation, and disposal of hazardous or potentially hazardous materials, including medical waste and other highly regulated substances. Some of these laws and regulations require us to obtain licenses or permits to conduct our operations. Environmental, health and safety laws and regulations are complex, occasionally change and have tended to become more stringent over time. If we violate or fail to comply with these laws, regulations, licenses, or permits, we could be fined or otherwise sanctioned by regulators.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Certain risks are inherent in providing prescription and over the counter (“OTC”) treatments, and our insurance may not be adequate to cover any claims against us.</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Sellers of prescriptions and OTC treatments are exposed to risks inherent in the packaging and distribution of prescriptions and OTC treatments and other healthcare products, such as with respect to improper filling of prescriptions, labeling of prescriptions, adequacy of warnings, unintentional distribution of counterfeit drugs and expiration of drugs. Our medical professionals may also have a duty to warn customers regarding any potential negative effects of a prescription drug if the warning could reduce or negate these effects. Although we maintain professional liability and errors and omissions liability insurance, from time to time, claims may result in the payment of significant amounts, some portions of which are not funded by insurance. We cannot assure you that the coverage limits under our insurance policies will be adequate to protect us against future claims or that we will be able to maintain this insurance on acceptable terms in the future. Our business, financial condition and results of operations may be adversely affected if our insurance coverage proves to be inadequate or unavailable or there is an increase in liability for which we self-insure or we suffer reputational harm as a result of an error or omission in the process of prescribing, dispensing and administering prescription and OTC treatments.</w:t>
      </w:r>
    </w:p>
    <w:p>
      <w:pPr>
        <w:spacing w:after="0" w:line="10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If antitrust enforcement authorities conclude that our market share in any particular market is too concentrated or that we violate antitrust laws, we could be subject to enforcement actions that could have a material adverse effect on our business, prospects, results of operations and financial condition.</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healthcare industry is currently a priority of the Federal Trade Commission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healthcare laws and regulation to which we are subject is constantly evolving and may change significantly in the future.</w:t>
      </w:r>
    </w:p>
    <w:p>
      <w:pPr>
        <w:spacing w:after="0" w:line="13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7"/>
          <w:szCs w:val="17"/>
          <w:color w:val="auto"/>
        </w:rPr>
        <w:t>The regulation applicable to our business and to the healthcare industry generally to which we are subject is constantly in a state of flux. A number of states, including states in which we operate, such as California, Massachusetts, and New York have passed recent legislation that are materially increasing the scrutiny of investors investing in for-profit health care providers, which could ultimately impact our existing structure. While we believe that we have structured our agreements and operations in material compliance with applicable healthcare laws and regulations, there can be no assurance that we will be able to successfully address changes in the current regulatory environment or changes in interpretation of existing laws and regulations.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2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rapidly changing and increasingly stringent laws, regulations, industry standards, and other obligations relating to privacy, data protection, and data security. The restrictions and costs imposed by these requirements, or our actual or perceived failure to comply with them, could materially harm our business.</w:t>
      </w:r>
    </w:p>
    <w:p>
      <w:pPr>
        <w:spacing w:after="0" w:line="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collect, use, and disclose IIHI/PII of patients, personnel, business contacts, and others in the course of operating our business. These activities are or may become regulated by a variety of domestic and foreign laws and regulations relating to privacy, data protection, and data security, which are complex and increasingly stringent and the scope of which is constantly changing, and in some cases, inconsistent and conflicting and subject to differing interpretations as new laws of this nature are proposed and adopted, and we currently, and from time to time, may not be in technical compliance with all such laws.</w:t>
      </w:r>
    </w:p>
    <w:p>
      <w:pPr>
        <w:spacing w:after="0" w:line="1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Federal Trade Commission (“FTC”) has brought legal actions against organizations that have violated consumers’ privacy rights or misled them by failing to maintain security for sensitive consumer information, or caused substantial consumer injury. In many of these cases, the FTC has charged the defendants with violating Section 5 of the FTC Act, which bars unfair and deceptive acts and practices in or affecting commerce.</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State statutes and regulations also protect the confidentiality, privacy, availability, integrity, security, and other Processing of IIHI/PII and vary from state to state. These laws and regulations are often ambiguous, contradictory, and subject to changing or differing interpretations, and we expect new laws, rules and regulations regarding privacy, data protection, and information security to be proposed and enacted in the future. For example, the California Confidentiality of Medical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Information Act (CMIA) regulates the disclosure of medical information, and applies to the IIHI we Process in the ordinary course of our Business. Violations of the CMIA can result in personal liability to the patient, the imposition of administrative fines and civil penalties, and even criminal liability. Additionally, the CCPA provides certain exceptions for some IIHI, but is still applicable to certain PII we process in the ordinary course of our business. The effects of the CCPA are wide-ranging and afford consumers certain rights with respect to PII, including a private right of action for data breaches involving certain personal information of California residents. The California voters also passed, on November 3, 2020, the California Privacy Rights Act, or CPRA, which went into effect on January 1, 2023, and expanded the rights of consumers under the CCPA and create a new enforcement agency. As new data security laws are implemented, we may not be able to timely comply with such requirements, or such requirements may not be compatible with our current processes. Changing our processes could be time consuming and expensive, and failure to implement required changes in a timely manner could subject us to liability for non-compliance. Consumers may also be afforded a private right of action for certain violations of privacy laws. This complex, dynamic legal landscape regarding privacy, data protection, and information security creates significant compliance issues for us and potentially restricts our ability to Process data and may expose us to additional expense, adverse publicity and liability. While we believe we have implemented data privacy and security measures in an effort to comply with applicable laws and regulations, and we have implemented measures to require our third-party service providers to maintain reasonable data privacy and security measures, we cannot guarantee that these efforts will be adequate, and we may be subject to cybersecurity, ransomware or other security incidents. Further, it is possible that laws, rules and regulations relating to privacy, data protection, or information security may be interpreted and applied in a manner that is inconsistent with our practices or those of our third-party service providers.</w:t>
      </w:r>
    </w:p>
    <w:p>
      <w:pPr>
        <w:spacing w:after="0" w:line="1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If we or these third parties are found to have violated such laws, rules or regulations, it could result in regulatory investigations, litigation awards or settlements, government 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also publish statements to our patients and consumers that describe how we handle and protect IIHI/PII.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Any of the foregoing consequences could seriously harm our business and our financial results.</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Further, we are subject to the Payment Card Industry Data Security Standard (“PCI DSS”), a security standard applicable to companies that collect, store or transmit certain data regarding credit and debit cards, holders and transactions. We rely on vendors to handle PCI DSS matters and to ensure PCI DSS compliance. Despite our compliance efforts, we may become subject to claims that we have violated the PCI DSS based on past, present, and future business practices. Our actual or perceived failure to comply with the PCI DSS can subject us to fines, termination of banking relationships, and increased transaction fees. In addition, there is no guarantee that the PCI DSS compliance will prevent illegal or improper use of our payment systems or the theft, loss or misuse of payment card data or transaction information.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Despite our efforts, we may not be successful in complying with the rapidly evolving privacy, data protection, and data security requirements discussed above. Any actual or perceived non-compliance with such requirements could result in litigation and proceedings against us by governmental entities, customers, or others, fines, civil or criminal penalties, limited ability or inability to operate our business, offer services, or market our platform in certain jurisdictions, negative publicity and harm to our brand and reputation, changes to our business practices, and reduced overall demand for our platform. Such occurrences could have an adverse effect on our business, financial condition or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14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as defined in the Securities Act, and we cannot be certain if the reduced disclosure requirements applicable to emerging growth companies will make our common stock less attractive to investors.</w:t>
      </w:r>
    </w:p>
    <w:p>
      <w:pPr>
        <w:spacing w:after="0" w:line="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are an “emerging growth company,” as defined in Section 2(a)(19) of the Securities Act, as modified by the JOBS Act, and we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and exemptions from the requirements of holding a non-binding stockholder advisory vote on executive compensation and stockholder approval of any golden parachute payments not previously approved. As a result, our stockholders may not have access to certain information that they may deem important. We could remain an emerging growth company until December 31, 2026, although circumstances could cause us to lose that status earlier, including if our total annual gross revenue is $1.235 billion or more, if we issue more than $1 billion in non-convertible debt during the previous three-year period, or if the Company qualifies as a “large accelerated filer” as defined in Rule 12b-2 under the Exchange Act. We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We filed a registration statement on Form S-3 with the SEC, and the number of shares of common stock being registered for sale is significant in relation to the number of our outstanding shares of common stock.</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filed a registration statement on Form S-3 with the SEC to register the shares offered thereunder for sale into the public market by the selling stockholders. These shares of common stock represent a large number of shares of our common stock, and if sold in the market all at once or at about the same time, could depress the market price of our common stock during the period the registration statement remains effective and could also affect our ability to raise equity capital.</w:t>
      </w:r>
    </w:p>
    <w:p>
      <w:pPr>
        <w:spacing w:after="0" w:line="31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Although we do not expect to rely on the “controlled company” exemption, we are a “controlled company” within the meaning of the Nasdaq listing standards, and we qualify for exemptions from certain corporate governance requirements.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 “controlled company,” as defined in the Nasdaq listing standards, is a company of which more than 50% of the voting power for the election of directors is held by an individual, a group or another company. Controlled companies are not required to comply with certain Nasdaq listing standards relating to corporate governance, including:</w:t>
      </w:r>
    </w:p>
    <w:p>
      <w:pPr>
        <w:spacing w:after="0" w:line="104" w:lineRule="exact"/>
        <w:rPr>
          <w:sz w:val="20"/>
          <w:szCs w:val="20"/>
          <w:color w:val="auto"/>
        </w:rPr>
      </w:pPr>
    </w:p>
    <w:p>
      <w:pPr>
        <w:ind w:left="620" w:hanging="303"/>
        <w:spacing w:after="0"/>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the requirement that a majority of its board of directors consist of independent directors;</w:t>
      </w:r>
    </w:p>
    <w:p>
      <w:pPr>
        <w:spacing w:after="0" w:line="14" w:lineRule="exact"/>
        <w:rPr>
          <w:rFonts w:ascii="Arial" w:cs="Arial" w:eastAsia="Arial" w:hAnsi="Arial"/>
          <w:sz w:val="21"/>
          <w:szCs w:val="21"/>
          <w:color w:val="auto"/>
        </w:rPr>
      </w:pPr>
    </w:p>
    <w:p>
      <w:pPr>
        <w:ind w:left="620" w:hanging="303"/>
        <w:spacing w:after="0" w:line="242" w:lineRule="auto"/>
        <w:tabs>
          <w:tab w:leader="none" w:pos="61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the requirement that its nominating and corporate governance committee be composed entirely of independent directors with a written charter addressing the committee’s purpose and responsibilities; and</w:t>
      </w:r>
    </w:p>
    <w:p>
      <w:pPr>
        <w:spacing w:after="0" w:line="1" w:lineRule="exact"/>
        <w:rPr>
          <w:rFonts w:ascii="Arial" w:cs="Arial" w:eastAsia="Arial" w:hAnsi="Arial"/>
          <w:sz w:val="21"/>
          <w:szCs w:val="21"/>
          <w:color w:val="auto"/>
        </w:rPr>
      </w:pPr>
    </w:p>
    <w:p>
      <w:pPr>
        <w:ind w:left="620" w:hanging="303"/>
        <w:spacing w:after="0" w:line="236" w:lineRule="auto"/>
        <w:tabs>
          <w:tab w:leader="none" w:pos="61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the requirement that its compensation committee be composed entirely of independent directors with a written charter addressing the committee’s purpose and responsibilities.</w:t>
      </w:r>
    </w:p>
    <w:p>
      <w:pPr>
        <w:spacing w:after="0" w:line="11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Our Sponsor currently owns a majority of the voting power for the election of our directors, and thus we meet the definition of a “controlled company.” As a result, these requirements do not apply to us as long as we remain a “controlled company.”</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Although we qualify as a “controlled company,” we currently do not, and we do not expect to, rely on this exemption and we currently comply with, and we expect to continue to comply with, all relevant corporate governance requirements under the Nasdaq listing standards. However, if we were to utilize some or all of these exemptions, you may not have the same protections afforded to shareholders of companies that are subject to all of the Nasdaq listing standards that relate to corporate governance.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could be extremely volatile, and, as a result, you may not be able to resell your shares at or above the price you paid for them.</w:t>
      </w:r>
    </w:p>
    <w:p>
      <w:pPr>
        <w:spacing w:after="0" w:line="1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stock market in general has been highly volatile. As a result, the market price of our common stock is likely to be similarly volatile, and investors in our common stock may experience a decrease, which could be substantial, in the value of their stock, including decreases unrelated to our operating performance or prospects, and could lose part or all of their investment. The price of our common stock could be subject to wide fluctuations in response to a number of factors, including those described elsewhere in this Annual Report on Form 10-K and others such as:</w:t>
      </w:r>
    </w:p>
    <w:p>
      <w:pPr>
        <w:spacing w:after="0" w:line="100" w:lineRule="exact"/>
        <w:rPr>
          <w:sz w:val="20"/>
          <w:szCs w:val="20"/>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operating performance and the performance of our competitors;</w:t>
      </w:r>
    </w:p>
    <w:p>
      <w:pPr>
        <w:spacing w:after="0" w:line="3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or annual operating results;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research reports by securities analysts about us or our competitors or our industry;</w:t>
      </w:r>
    </w:p>
    <w:p>
      <w:pPr>
        <w:ind w:left="620" w:hanging="303"/>
        <w:spacing w:after="0" w:line="247" w:lineRule="auto"/>
        <w:tabs>
          <w:tab w:leader="none" w:pos="6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our competitors or our vendors of significant contracts, acquisitions, joint marketing relationships, joint ventures or capital commitments;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or the failure of our competitors to meet analysts’ projections or guidance that we or our competitors may give to the market;</w:t>
      </w: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and departures of key personnel;</w:t>
      </w:r>
    </w:p>
    <w:p>
      <w:pPr>
        <w:spacing w:after="0" w:line="11" w:lineRule="exact"/>
        <w:rPr>
          <w:rFonts w:ascii="Times New Roman" w:cs="Times New Roman" w:eastAsia="Times New Roman" w:hAnsi="Times New Roman"/>
          <w:sz w:val="17"/>
          <w:szCs w:val="17"/>
          <w:color w:val="auto"/>
        </w:rPr>
      </w:pPr>
    </w:p>
    <w:p>
      <w:pPr>
        <w:ind w:left="620" w:hanging="303"/>
        <w:spacing w:after="0"/>
        <w:tabs>
          <w:tab w:leader="none" w:pos="6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decisions by us or our competitors, such as acquisitions, divestitures, spin-offs, joint ventures, strategic investments or changes in business strategy;</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passage of legislation or other regulatory developments affecting us or our industry;</w:t>
      </w:r>
    </w:p>
    <w:p>
      <w:pPr>
        <w:spacing w:after="0" w:line="1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w:t>
      </w: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conditions such as acts of terrorism, military or armed conflicts, such as the Russian invasion of Ukraine, or global pandemics;</w:t>
      </w:r>
    </w:p>
    <w:p>
      <w:pPr>
        <w:spacing w:after="0" w:line="1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including earthquakes, floods and wildfires (such as the 2025 Los Angeles wildfires), and other calamities; and</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market and economic conditions.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There may be sales of a substantial amount of our common stock by our current stockholders, and these sales could cause the price of our common stock to fall.</w:t>
      </w:r>
    </w:p>
    <w:p>
      <w:pPr>
        <w:spacing w:after="0" w:line="3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March 13, 2025, there are 58,574,516 shares of common stock outstanding. Such shares are freely transferable, except for any shares held by our “affiliates,” as that term is defined in Rule 144 under the Securities Act of 1933, as amended (the “Securities Act”). As of March 13, 2025, approximately 77.0% of our outstanding common stock is held by investment funds affiliated with our Sponsor and members of our management and employees.</w:t>
      </w:r>
    </w:p>
    <w:p>
      <w:pPr>
        <w:spacing w:after="0" w:line="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Sales of substantial amounts of our common stock in the public market, or the perception that such sales will occur, could adversely affect the market price of our common stock and make it difficult for us to raise funds through securities offerings in the future.</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Subject to certain exceptions, holders of shares of our common stock may require us to register their shares for resale under the federal securities laws and holders of additional shares of our common stock would be entitled to have their shares included in any such registration statement, all subject to reduction upon the request of the underwriter of the closing of this offering, if any. Registration of those shares would allow the holders to immediately resell their shares in the public market. Any such sales or anticipation thereof could cause the market price of our common stock to decline.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issuances of capital stock may dilute your percentage ownership in us, which could reduce your influence over matters on which stockholders vote.</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Our board of directors has the authority, without action or vote of our stockholders, to issue all or any part of our authorized but unissued shares of common stock, including shares issuable upon the exercise of options, or shares of our authorized but unissued voting preferred stock. Issuances of common stock or preferred stock would reduce your influence over matters on which our stockholders vote and, in the case of issuances of preferred stock, would likely result in your interest in us being subject to the prior rights of holders of that preferred stock.</w:t>
      </w:r>
    </w:p>
    <w:p>
      <w:pPr>
        <w:spacing w:after="0" w:line="8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Certain of our directors and executive officers hold a substantial portion of our common stock, which may lead to conflicts of interest with other stockholders over corporate transactions and other corporate matters.</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Certain of our directors and executive officers beneficially own a substantial portion of our outstanding common stock. This concentration of ownership may not be in the best interests of our other stockholders. These stockholders, acting together, would be able to influence significantly all matters requiring stockholder approval, including the election of directors and significant corporate transactions such as mergers or other business combinations. This control could delay, deter, or prevent a third party from acquiring or merging with us, which could adversely affect the market price of our common stock.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Provisions in our charter documents and Delaware law may deter takeover efforts that could be beneficial to stockholder value.</w:t>
      </w:r>
    </w:p>
    <w:p>
      <w:pPr>
        <w:spacing w:after="0" w:line="16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contain, and Delaware law contains, provisions that could make it harder for a third party to acquire us, even if doing so might be beneficial to our stockholders. These provisions in our charter documents include the following:</w:t>
      </w:r>
    </w:p>
    <w:p>
      <w:pPr>
        <w:spacing w:after="0" w:line="107" w:lineRule="exact"/>
        <w:rPr>
          <w:sz w:val="20"/>
          <w:szCs w:val="20"/>
          <w:color w:val="auto"/>
        </w:rPr>
      </w:pPr>
    </w:p>
    <w:p>
      <w:pPr>
        <w:ind w:left="620" w:hanging="303"/>
        <w:spacing w:after="0" w:line="238" w:lineRule="auto"/>
        <w:tabs>
          <w:tab w:leader="none" w:pos="615"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a classified board of directors with three-year staggered terms, which may delay the ability of stockholders to change the membership of a majority of our board of directors;</w:t>
      </w:r>
    </w:p>
    <w:p>
      <w:pPr>
        <w:spacing w:after="0" w:line="1"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no cumulative voting in the election of directors, which limits the ability of minority stockholders to elect director candidates;</w:t>
      </w:r>
    </w:p>
    <w:p>
      <w:pPr>
        <w:spacing w:after="0" w:line="14" w:lineRule="exact"/>
        <w:rPr>
          <w:rFonts w:ascii="Arial" w:cs="Arial" w:eastAsia="Arial" w:hAnsi="Arial"/>
          <w:sz w:val="21"/>
          <w:szCs w:val="21"/>
          <w:color w:val="auto"/>
        </w:rPr>
      </w:pPr>
    </w:p>
    <w:p>
      <w:pPr>
        <w:jc w:val="both"/>
        <w:ind w:left="620" w:hanging="303"/>
        <w:spacing w:after="0" w:line="241" w:lineRule="auto"/>
        <w:tabs>
          <w:tab w:leader="none" w:pos="615"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2" w:lineRule="exact"/>
        <w:rPr>
          <w:rFonts w:ascii="Arial" w:cs="Arial" w:eastAsia="Arial" w:hAnsi="Arial"/>
          <w:sz w:val="21"/>
          <w:szCs w:val="21"/>
          <w:color w:val="auto"/>
        </w:rPr>
      </w:pPr>
    </w:p>
    <w:p>
      <w:pPr>
        <w:ind w:left="620" w:hanging="303"/>
        <w:spacing w:after="0" w:line="230" w:lineRule="auto"/>
        <w:tabs>
          <w:tab w:leader="none" w:pos="615"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the required approval of at least 66</w:t>
      </w:r>
      <w:r>
        <w:rPr>
          <w:rFonts w:ascii="Times New Roman" w:cs="Times New Roman" w:eastAsia="Times New Roman" w:hAnsi="Times New Roman"/>
          <w:sz w:val="22"/>
          <w:szCs w:val="22"/>
          <w:color w:val="auto"/>
          <w:vertAlign w:val="superscript"/>
        </w:rPr>
        <w:t>2∕3</w:t>
      </w:r>
      <w:r>
        <w:rPr>
          <w:rFonts w:ascii="Times New Roman" w:cs="Times New Roman" w:eastAsia="Times New Roman" w:hAnsi="Times New Roman"/>
          <w:sz w:val="17"/>
          <w:szCs w:val="17"/>
          <w:color w:val="auto"/>
        </w:rPr>
        <w:t>% of the shares entitled to vote to remove a director for cause, and the prohibition on removal of directors without cause;</w:t>
      </w:r>
    </w:p>
    <w:p>
      <w:pPr>
        <w:ind w:left="620" w:hanging="303"/>
        <w:spacing w:after="0" w:line="232" w:lineRule="auto"/>
        <w:tabs>
          <w:tab w:leader="none" w:pos="6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the ability of our board of directors to alter our amended and restated bylaws without obtaining stockholder approval;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20" w:hanging="303"/>
        <w:spacing w:after="0" w:line="234" w:lineRule="auto"/>
        <w:tabs>
          <w:tab w:leader="none" w:pos="61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the required approval of at least 66</w:t>
      </w:r>
      <w:r>
        <w:rPr>
          <w:rFonts w:ascii="Times New Roman" w:cs="Times New Roman" w:eastAsia="Times New Roman" w:hAnsi="Times New Roman"/>
          <w:sz w:val="22"/>
          <w:szCs w:val="22"/>
          <w:color w:val="auto"/>
          <w:vertAlign w:val="superscript"/>
        </w:rPr>
        <w:t>2∕3</w:t>
      </w:r>
      <w:r>
        <w:rPr>
          <w:rFonts w:ascii="Times New Roman" w:cs="Times New Roman" w:eastAsia="Times New Roman" w:hAnsi="Times New Roman"/>
          <w:sz w:val="17"/>
          <w:szCs w:val="17"/>
          <w:color w:val="auto"/>
        </w:rPr>
        <w:t>% of the shares entitled to vote to adopt, amend or repeal our amended and restated bylaws or repeal the provisions of our amended and restated certificate of incorporation regarding the election and removal of directors;</w:t>
      </w:r>
    </w:p>
    <w:p>
      <w:pPr>
        <w:ind w:left="620" w:hanging="303"/>
        <w:spacing w:after="0" w:line="232" w:lineRule="auto"/>
        <w:tabs>
          <w:tab w:leader="none" w:pos="620"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a prohibition on stockholder action by written consent, which forces stockholder action to be taken at an annual or special meeting of our stockholders;</w:t>
      </w:r>
    </w:p>
    <w:p>
      <w:pPr>
        <w:spacing w:after="0" w:line="14" w:lineRule="exact"/>
        <w:rPr>
          <w:rFonts w:ascii="Arial" w:cs="Arial" w:eastAsia="Arial" w:hAnsi="Arial"/>
          <w:sz w:val="21"/>
          <w:szCs w:val="21"/>
          <w:color w:val="auto"/>
        </w:rPr>
      </w:pPr>
    </w:p>
    <w:p>
      <w:pPr>
        <w:ind w:left="620" w:hanging="303"/>
        <w:spacing w:after="0"/>
        <w:tabs>
          <w:tab w:leader="none" w:pos="61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an exclusive forum provision providing that the Court of Chancery of the State of Delaware will be the exclusive forum for certain actions and proceedings;</w:t>
      </w:r>
    </w:p>
    <w:p>
      <w:pPr>
        <w:spacing w:after="0" w:line="195" w:lineRule="exact"/>
        <w:rPr>
          <w:rFonts w:ascii="Arial" w:cs="Arial" w:eastAsia="Arial" w:hAnsi="Arial"/>
          <w:sz w:val="21"/>
          <w:szCs w:val="21"/>
          <w:color w:val="auto"/>
        </w:rPr>
      </w:pPr>
    </w:p>
    <w:p>
      <w:pPr>
        <w:ind w:left="620" w:hanging="303"/>
        <w:spacing w:after="0" w:line="238" w:lineRule="auto"/>
        <w:tabs>
          <w:tab w:leader="none" w:pos="61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the requirement that a special meeting of stockholders may be called only by the board of directors, which may delay the ability of our stockholders to force consideration of a proposal or to take action, including the removal of directors;</w:t>
      </w:r>
    </w:p>
    <w:p>
      <w:pPr>
        <w:spacing w:after="0" w:line="1" w:lineRule="exact"/>
        <w:rPr>
          <w:rFonts w:ascii="Arial" w:cs="Arial" w:eastAsia="Arial" w:hAnsi="Arial"/>
          <w:sz w:val="21"/>
          <w:szCs w:val="21"/>
          <w:color w:val="auto"/>
        </w:rPr>
      </w:pPr>
    </w:p>
    <w:p>
      <w:pPr>
        <w:jc w:val="both"/>
        <w:ind w:left="620" w:hanging="303"/>
        <w:spacing w:after="0" w:line="242" w:lineRule="auto"/>
        <w:tabs>
          <w:tab w:leader="none" w:pos="61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and</w:t>
      </w:r>
    </w:p>
    <w:p>
      <w:pPr>
        <w:ind w:left="620" w:hanging="303"/>
        <w:spacing w:after="0" w:line="247" w:lineRule="auto"/>
        <w:tabs>
          <w:tab w:leader="none" w:pos="615" w:val="left"/>
        </w:tabs>
        <w:numPr>
          <w:ilvl w:val="0"/>
          <w:numId w:val="33"/>
        </w:numPr>
        <w:rPr>
          <w:rFonts w:ascii="Arial" w:cs="Arial" w:eastAsia="Arial" w:hAnsi="Arial"/>
          <w:sz w:val="21"/>
          <w:szCs w:val="21"/>
          <w:color w:val="auto"/>
        </w:rPr>
      </w:pPr>
      <w:r>
        <w:rPr>
          <w:rFonts w:ascii="Times New Roman" w:cs="Times New Roman" w:eastAsia="Times New Roman" w:hAnsi="Times New Roman"/>
          <w:sz w:val="17"/>
          <w:szCs w:val="17"/>
          <w:color w:val="auto"/>
        </w:rPr>
        <w:t>certain restrictions on mergers and other business combinations between us and any holder of 15% or more of our outstanding common stock other than affiliates of our Sponsor.</w:t>
      </w:r>
    </w:p>
    <w:p>
      <w:pPr>
        <w:spacing w:after="0" w:line="10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In addition, our board of directors has the right to authorize the issuance of shares of preferred stock and to determine the price and other terms of those shares, including preferences and voting rights, without stockholder approval that could be used to dilute the ownership of a potential hostile acquiror.</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provides that the Court of Chancery of the State of Delaware is the exclusive forum for substantially all disputes between us and our stockholders and that the federal district courts is the exclusive forum for the resolution of any complaint asserting a cause of action arising under the Securities Act, which could limit our stockholders’ ability to obtain a favorable judicial forum for disputes with us or our directors, officers or employees or the underwriters of any offering giving rise to such claim.</w:t>
      </w:r>
    </w:p>
    <w:p>
      <w:pPr>
        <w:spacing w:after="0" w:line="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is the sole and exclusive forum for the following types of actions, suits or proceedings (“Proceedings”):</w:t>
      </w:r>
    </w:p>
    <w:p>
      <w:pPr>
        <w:spacing w:after="0" w:line="104" w:lineRule="exact"/>
        <w:rPr>
          <w:sz w:val="20"/>
          <w:szCs w:val="20"/>
          <w:color w:val="auto"/>
        </w:rPr>
      </w:pPr>
    </w:p>
    <w:p>
      <w:pPr>
        <w:ind w:left="620" w:hanging="303"/>
        <w:spacing w:after="0"/>
        <w:tabs>
          <w:tab w:leader="none" w:pos="62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any derivative Proceeding brought on our behalf;</w:t>
      </w:r>
    </w:p>
    <w:p>
      <w:pPr>
        <w:spacing w:after="0" w:line="13" w:lineRule="exact"/>
        <w:rPr>
          <w:rFonts w:ascii="Arial" w:cs="Arial" w:eastAsia="Arial" w:hAnsi="Arial"/>
          <w:sz w:val="21"/>
          <w:szCs w:val="21"/>
          <w:color w:val="auto"/>
        </w:rPr>
      </w:pPr>
    </w:p>
    <w:p>
      <w:pPr>
        <w:ind w:left="620" w:hanging="303"/>
        <w:spacing w:after="0" w:line="235" w:lineRule="auto"/>
        <w:tabs>
          <w:tab w:leader="none" w:pos="61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any Proceeding asserting a claim of a breach of fiduciary duty owed by any of our current or former directors, officers, other employees or stockholders to us or our stockholders;</w:t>
      </w:r>
    </w:p>
    <w:p>
      <w:pPr>
        <w:spacing w:after="0" w:line="8" w:lineRule="exact"/>
        <w:rPr>
          <w:rFonts w:ascii="Arial" w:cs="Arial" w:eastAsia="Arial" w:hAnsi="Arial"/>
          <w:sz w:val="21"/>
          <w:szCs w:val="21"/>
          <w:color w:val="auto"/>
        </w:rPr>
      </w:pPr>
    </w:p>
    <w:p>
      <w:pPr>
        <w:jc w:val="both"/>
        <w:ind w:left="620" w:hanging="303"/>
        <w:spacing w:after="0" w:line="244" w:lineRule="auto"/>
        <w:tabs>
          <w:tab w:leader="none" w:pos="61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any Proceeding arising out of or pursuant to any provision of the Delaware General Corporation Law, our amended and restated certificate of incorporation or our amended and restated bylaws (in each case, as may be amended from time to time) or as to which the Delaware General Corporation Law confers jurisdiction to the Court of Chancery of the State of Delaware;</w:t>
      </w:r>
    </w:p>
    <w:p>
      <w:pPr>
        <w:ind w:left="620" w:hanging="303"/>
        <w:spacing w:after="0" w:line="236" w:lineRule="auto"/>
        <w:tabs>
          <w:tab w:leader="none" w:pos="61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any Proceeding seeking to interpret, apply, enforce or determine the validity of our amended and restated certificate of incorporation or our amended and restated bylaws; and</w:t>
      </w:r>
    </w:p>
    <w:p>
      <w:pPr>
        <w:spacing w:after="0" w:line="7" w:lineRule="exact"/>
        <w:rPr>
          <w:rFonts w:ascii="Arial" w:cs="Arial" w:eastAsia="Arial" w:hAnsi="Arial"/>
          <w:sz w:val="21"/>
          <w:szCs w:val="21"/>
          <w:color w:val="auto"/>
        </w:rPr>
      </w:pPr>
    </w:p>
    <w:p>
      <w:pPr>
        <w:ind w:left="620" w:hanging="303"/>
        <w:spacing w:after="0" w:line="238" w:lineRule="auto"/>
        <w:tabs>
          <w:tab w:leader="none" w:pos="61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any Proceeding asserting a claim against us or any of our current or former directors, officers, other employees or stockholders governed by the internal-affairs doctrine.</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addition, our amended and restated certificate of incorporation provides that, unless we consent in writing to the selection of an alternative forum, to the fullest extent permitted by law, the federal district courts of the United States of America is the exclusive forum for the resolution of any complaint asserting a cause or causes of action arising under the Securities Act, including all causes of action asserted against any defendant to such complaint. Additionally, our amended and restated certificate of incorporation provides that any person or entity holding, owning, purchasing or otherwise acquiring any interest in any of our securities is deemed to have notice of and consented to these provisions.</w:t>
      </w:r>
    </w:p>
    <w:p>
      <w:pPr>
        <w:spacing w:after="0" w:line="1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For the avoidance of doubt, this provision is intended to benefit and may be enforced by us, our officers and directors, the underwriters to any offering giving rise to such Proceeding, and any other professional or entity whose profession gives authority to a statement made by that person or entity and who has prepared or certified any part of the documents underlying the offering. However, these choice of forum provisions may limit a stockholder’s ability to bring a Proceeding in a judicial forum that it finds favorable for disputes with us or our directors, officers, other employees or stockholders.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these choice of forum provisions may increase the costs for a stockholder to bring such a Proceeding and may discourage them from doing so.</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While the Delaware courts have determined that such choice of forum provisions are facially valid, a stockholder may nevertheless seek to bring a Proceeding in a venue other than those designated in the exclusive forum provisions, and there can be no assurance that such provisions will be enforced by a court in those other jurisdictions. If a court were to find either choice of forum provision contained in our amended and restated certificate of incorporation to be inapplicable or unenforceable in an action, we may incur additional costs associated with resolving such Proceeding in other jurisdictions. For example, the Court of Chancery of the State of Delaware determined that the exclusive forum provisions of federal district courts of the United States of America for resolving any complaint asserting a cause of action arising under the Securities Act is not enforceable. We note that investors cannot waive compliance with the federal securities laws and the rules and regulations thereunder.</w:t>
      </w:r>
    </w:p>
    <w:p>
      <w:pPr>
        <w:spacing w:after="0" w:line="10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r>
        <w:rPr>
          <w:rFonts w:ascii="Times New Roman" w:cs="Times New Roman" w:eastAsia="Times New Roman" w:hAnsi="Times New Roman"/>
          <w:sz w:val="17"/>
          <w:szCs w:val="17"/>
          <w:color w:val="auto"/>
        </w:rPr>
        <w:t>.</w:t>
      </w:r>
    </w:p>
    <w:p>
      <w:pPr>
        <w:spacing w:after="0" w:line="77" w:lineRule="exact"/>
        <w:rPr>
          <w:sz w:val="20"/>
          <w:szCs w:val="20"/>
          <w:color w:val="auto"/>
        </w:rPr>
      </w:pPr>
    </w:p>
    <w:p>
      <w:pPr>
        <w:ind w:right="2760"/>
        <w:spacing w:after="0" w:line="251" w:lineRule="auto"/>
        <w:rPr>
          <w:sz w:val="20"/>
          <w:szCs w:val="20"/>
          <w:color w:val="auto"/>
        </w:rPr>
      </w:pPr>
      <w:r>
        <w:rPr>
          <w:rFonts w:ascii="Times New Roman" w:cs="Times New Roman" w:eastAsia="Times New Roman" w:hAnsi="Times New Roman"/>
          <w:sz w:val="17"/>
          <w:szCs w:val="17"/>
          <w:color w:val="auto"/>
        </w:rPr>
        <w:t>We may retain future earnings, if any, for future operations, expansion and debt repayment and have no current plans to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including our senior credit facility. As a result, you may not receive any return on an investment in our common stock unless you sell our common stock for a price greater than that which you paid for it.</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As a result of becoming a public company, we are obligated to report on the effectiveness of our internal controls over financial reporting. These internal controls may not be effective and our independent registered public accounting firm may not be able to certify as to their effectiveness, which could have a significant and adverse effect on our business and reputation.</w:t>
      </w:r>
    </w:p>
    <w:p>
      <w:pPr>
        <w:spacing w:after="0" w:line="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As a public company, we are required to evaluate our internal controls over financial reporting. Furthermore, at such time as we cease to be an “emerging growth company,” as more fully described in the risk factor “</w:t>
      </w:r>
      <w:r>
        <w:rPr>
          <w:rFonts w:ascii="Times New Roman" w:cs="Times New Roman" w:eastAsia="Times New Roman" w:hAnsi="Times New Roman"/>
          <w:sz w:val="17"/>
          <w:szCs w:val="17"/>
          <w:i w:val="1"/>
          <w:iCs w:val="1"/>
          <w:color w:val="auto"/>
        </w:rPr>
        <w:t>We are an “emerging growth company,” as defined in the Securities Act, and we cannot be certain if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reduced disclosure requirements applicable to emerging growth companies will make our common stock less attractive to investors,</w:t>
      </w:r>
      <w:r>
        <w:rPr>
          <w:rFonts w:ascii="Times New Roman" w:cs="Times New Roman" w:eastAsia="Times New Roman" w:hAnsi="Times New Roman"/>
          <w:sz w:val="17"/>
          <w:szCs w:val="17"/>
          <w:color w:val="auto"/>
        </w:rPr>
        <w:t>” we will also be required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comply with Section 404 of the Sarbanes-Oxley Act. At such time, we may identify material weaknesses that we may not be able to remediate in time to meet the applicable deadline imposed upon us for compliance with the requirements of Section 404 of the Sarbanes-Oxley Act.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not be able to certify as to their effectiveness, which could have a significant and adverse effect on our business and reputation. As of December 31, 2024, we remained an emerging growth company, and as such, our independent registered public accounting firm is not required to certify the effectiveness of our internal controls.</w:t>
      </w:r>
    </w:p>
    <w:p>
      <w:pPr>
        <w:spacing w:after="0" w:line="10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may strain our resources and distract our management, which could make it difficult to manage our business, particularly after we are no longer an “emerging growth company” under the JOBS Act.</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Nasdaq-related reporting requirements, and requirements of the Sarbanes-Oxley Act. These requirements may place a strain on our systems and resources. The Exchange Act requires that we file annual, quarterly and current reports with respect to our business and financial condition. The Sarbanes-Oxley Act requires that we maintain effective disclosure controls and procedures and internal controls over financial reporting. To maintain and improve the effectiveness of our disclosure controls and procedures, we need to commit significant resources, hire additional staff and provide additional management oversight. We have been, and will continue to be, implementing additional procedures and processes for the purpose of addressing the standards and requirements applicable to public companies. Future growth may also require us to commit additional management, operational and financial resources to identify new professionals to join our firm and to maintain appropriate operational and financial systems to adequately support expansion. These activities may divert management’s attention from other business concerns, which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Operating as a public company makes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w:t>
      </w:r>
    </w:p>
    <w:p>
      <w:pPr>
        <w:spacing w:after="0" w:line="9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Furthermore, if we are unable to satisfy our obligations as a public company, we could be subject to delisting of our common stock, fines, sanctions, and other regulatory action and potentially civil litigation, which could have a material adverse effect on our financial condition and results of operations.</w:t>
      </w:r>
    </w:p>
    <w:p>
      <w:pPr>
        <w:spacing w:after="0" w:line="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As an “emerging growth company” under the JOBS Act, we are permitted to, and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reduced disclosure obligations regarding executive compensation in our periodic reports and proxy statements. When these exemptions cease to apply, we expect to incur additional expenses and devote increased management effort toward ensuring compliance with them. We will remain an “emerging growth company” for up to five years, although we may cease to be an emerging growth company earlier under certain circumstances. See the risk factor “</w:t>
      </w:r>
      <w:r>
        <w:rPr>
          <w:rFonts w:ascii="Times New Roman" w:cs="Times New Roman" w:eastAsia="Times New Roman" w:hAnsi="Times New Roman"/>
          <w:sz w:val="17"/>
          <w:szCs w:val="17"/>
          <w:i w:val="1"/>
          <w:iCs w:val="1"/>
          <w:color w:val="auto"/>
        </w:rPr>
        <w:t>We are an “emerging growth company,” as defined in the Securities Act, and we cannot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certain if the reduced disclosure requirements applicable to emerging growth companies will make our common stock less attractive to investors</w:t>
      </w:r>
      <w:r>
        <w:rPr>
          <w:rFonts w:ascii="Times New Roman" w:cs="Times New Roman" w:eastAsia="Times New Roman" w:hAnsi="Times New Roman"/>
          <w:sz w:val="17"/>
          <w:szCs w:val="17"/>
          <w:color w:val="auto"/>
        </w:rPr>
        <w:t>” for additional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on when we may cease to be an emerging growth company. We cannot predict or estimate the amount of additional costs we may incur as a result of becoming a public company or the timing of such costs.</w:t>
      </w:r>
    </w:p>
    <w:p>
      <w:pPr>
        <w:spacing w:after="0" w:line="10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trading market for our common stock depends in part on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common stock would be negatively impacted. If we obtain securities or industry analyst coverage and if one or more of the analysts who covers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securities litigation, which is expensive and could divert management attention.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operating results and other operating metrics may fluctuate from quarter to quarter, which makes these metrics difficult to predict.</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317" w:lineRule="exact"/>
        <w:rPr>
          <w:sz w:val="20"/>
          <w:szCs w:val="20"/>
          <w:color w:val="auto"/>
        </w:rPr>
      </w:pPr>
    </w:p>
    <w:p>
      <w:pPr>
        <w:ind w:left="620" w:hanging="303"/>
        <w:spacing w:after="0"/>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the continued market acceptance of, and the growth of the body contouring market;</w:t>
      </w:r>
    </w:p>
    <w:p>
      <w:pPr>
        <w:spacing w:after="0" w:line="13"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maintain and attract new customers;</w:t>
      </w:r>
    </w:p>
    <w:p>
      <w:pPr>
        <w:spacing w:after="0" w:line="14" w:lineRule="exact"/>
        <w:rPr>
          <w:rFonts w:ascii="Arial" w:cs="Arial" w:eastAsia="Arial" w:hAnsi="Arial"/>
          <w:sz w:val="21"/>
          <w:szCs w:val="21"/>
          <w:color w:val="auto"/>
        </w:rPr>
      </w:pPr>
    </w:p>
    <w:p>
      <w:pPr>
        <w:ind w:left="620" w:hanging="303"/>
        <w:spacing w:after="0" w:line="229" w:lineRule="auto"/>
        <w:tabs>
          <w:tab w:leader="none" w:pos="615"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our development and improvement of the quality of the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experience, including, improving our proprietary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method and innovating new procedures;</w:t>
      </w:r>
    </w:p>
    <w:p>
      <w:pPr>
        <w:ind w:left="620" w:hanging="303"/>
        <w:spacing w:after="0" w:line="232" w:lineRule="auto"/>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any change in the competitive landscape of our market;</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pricing pressure as a result of competition or otherwise;</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delays or disruptions in our supply of handpieces;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errors in our forecasting of the demand for our services, which could lead to lower revenue or increased costs, or both;</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increases in marketing, sales, and other operating expenses that we may incur to grow and expand our footprint and to remain competitive;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20" w:hanging="303"/>
        <w:spacing w:after="0"/>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the ability to maintain and open new centers;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successful expansion into international markets;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constraints on the availability of consumer financing or increased down payment requirements to finance our procedures;</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system failures or breaches of security or privacy;</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adverse litigation judgments, settlements, or other litigation-related costs;</w:t>
      </w:r>
    </w:p>
    <w:p>
      <w:pPr>
        <w:spacing w:after="0" w:line="20" w:lineRule="exact"/>
        <w:rPr>
          <w:rFonts w:ascii="Arial" w:cs="Arial" w:eastAsia="Arial" w:hAnsi="Arial"/>
          <w:sz w:val="21"/>
          <w:szCs w:val="21"/>
          <w:color w:val="auto"/>
        </w:rPr>
      </w:pPr>
    </w:p>
    <w:p>
      <w:pPr>
        <w:ind w:left="620" w:hanging="303"/>
        <w:spacing w:after="0" w:line="238" w:lineRule="auto"/>
        <w:tabs>
          <w:tab w:leader="none" w:pos="615"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legislative or regulatory environment, including with respect to healthcare regulation, privacy, consumer product safety, and advertising, or enforcement by government regulators, including fines, orders, or consent decrees;</w:t>
      </w:r>
    </w:p>
    <w:p>
      <w:pPr>
        <w:spacing w:after="0" w:line="1" w:lineRule="exact"/>
        <w:rPr>
          <w:rFonts w:ascii="Arial" w:cs="Arial" w:eastAsia="Arial" w:hAnsi="Arial"/>
          <w:sz w:val="21"/>
          <w:szCs w:val="21"/>
          <w:color w:val="auto"/>
        </w:rPr>
      </w:pPr>
    </w:p>
    <w:p>
      <w:pPr>
        <w:ind w:left="620" w:hanging="303"/>
        <w:spacing w:after="0" w:line="220" w:lineRule="auto"/>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fluctuations in currency exchange rates and changes in the proportion of our revenue and expenses denominated in foreign currencies;</w:t>
      </w:r>
    </w:p>
    <w:p>
      <w:pPr>
        <w:spacing w:after="0" w:line="14" w:lineRule="exact"/>
        <w:rPr>
          <w:rFonts w:ascii="Arial" w:cs="Arial" w:eastAsia="Arial" w:hAnsi="Arial"/>
          <w:sz w:val="21"/>
          <w:szCs w:val="21"/>
          <w:color w:val="auto"/>
        </w:rPr>
      </w:pPr>
    </w:p>
    <w:p>
      <w:pPr>
        <w:ind w:left="620" w:hanging="303"/>
        <w:spacing w:after="0" w:line="232" w:lineRule="auto"/>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our effective tax rate;</w:t>
      </w:r>
    </w:p>
    <w:p>
      <w:pPr>
        <w:spacing w:after="0" w:line="14" w:lineRule="exact"/>
        <w:rPr>
          <w:rFonts w:ascii="Arial" w:cs="Arial" w:eastAsia="Arial" w:hAnsi="Arial"/>
          <w:sz w:val="21"/>
          <w:szCs w:val="21"/>
          <w:color w:val="auto"/>
        </w:rPr>
      </w:pPr>
    </w:p>
    <w:p>
      <w:pPr>
        <w:ind w:left="620" w:hanging="303"/>
        <w:spacing w:after="0" w:line="219" w:lineRule="auto"/>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accounting standards, policies, guidance, interpretations, or principles; and</w:t>
      </w:r>
    </w:p>
    <w:p>
      <w:pPr>
        <w:spacing w:after="0" w:line="20" w:lineRule="exact"/>
        <w:rPr>
          <w:rFonts w:ascii="Arial" w:cs="Arial" w:eastAsia="Arial" w:hAnsi="Arial"/>
          <w:sz w:val="21"/>
          <w:szCs w:val="21"/>
          <w:color w:val="auto"/>
        </w:rPr>
      </w:pPr>
    </w:p>
    <w:p>
      <w:pPr>
        <w:ind w:left="620" w:hanging="303"/>
        <w:spacing w:after="0" w:line="238" w:lineRule="auto"/>
        <w:tabs>
          <w:tab w:leader="none" w:pos="615"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business or macroeconomic conditions, including lower consumer confidence, recessionary conditions, increased unemployment rates, or stagnant or declining wages.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one of the factors above or the cumulative effect of some of the factors above may result in significant fluctuations in our operating results.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Company operates in the body contouring and cosmetic surgery industry, which is subject to various cybersecurity risks that could adversely affect our business, financial condition, and results of operations, including intellectual property theft, fraud, extortion, harm to employees or customers, violation of privacy laws and other litigation and legal risk and reputational risk. We have implemented a risk-based approach to identify and assess the cybersecurity threats that could affect our business and information systems. Our cybersecurity program is aligned with industry standards and best practices, specifically the National Institute of Standards and Technology (NIST) Cybersecurity Framework. We conduct a yearly third-party Security Risk Assessment (SRA) to identify the potential impact and likelihood of various cyber scenarios, including those involving third-party service providers, and to determine the appropriate mitigation strategies and controls. We also use this SRA to inform our yearly Cybersecurity roadmap and strategies to ensure the best IT security posture is implemented at the Company. We use various tools and methodologies to manage cybersecurity risk, including the use of a managed Enterprise Detection and Response (EDR) software with external Security Operations Center (SOC) real-time monitoring, email Data Loss Prevention (DLP) enabled, Multi-factor Authentication (MFA) mandatory in our IT environment, and Managed Detection and Response (MDR) for our Local Area Network (LAN) monitoring. All laptops and mobile endpoints are protected with an Operating System (OS) specific Mobile Device Management (MDM) software, which can be remotely disabled if necessary. In addition, we do daily cloud backups and regularly test the process to recover any lost or corrupted data. We also monitor and evaluate our cybersecurity posture and performance on an ongoing basis through regular vulnerability scans, penetration tests, and threat intelligence feeds, conducted by our third-party Managed Service Provider (MSP). We require third-party service providers with access to personal, confidential or proprietary information to implement and maintain comprehensive cybersecurity practices consistent with applicable legal standards and industry best practices.</w:t>
      </w:r>
    </w:p>
    <w:p>
      <w:pPr>
        <w:spacing w:after="0" w:line="20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7"/>
          <w:szCs w:val="17"/>
          <w:color w:val="auto"/>
        </w:rPr>
        <w:t>Our business depends on the availability, reliability, and security of our information systems, networks, data, and intellectual property. Any disruption, compromise, or breach of our systems or data due to a cybersecurity threat or incident could adversely affect our operations, customer service, product development, and competitive position. They might also result in a breach of our contractual obligations or legal duties to protect the privacy and confidentiality of our stakeholders. Such a breach could expose us to business interruption, lost revenue, ransom payments, remediation costs, liabilities to affected parties, cybersecurity protection costs, lost assets, litigation, regulatory scrutiny and actions, reputational harm, customer dissatisfaction, harm to our vendor relationships, or loss of market share.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Our board of directors exercises its oversight role through the Audit Committee, which provides the board of directors with regular reports and findings from our Chief Financial Officer. Our Audit Committee Chair holds a Certification in Cybersecurity Oversight from the National Association of Corporate Directors. The effectiveness of the cybersecurity and information security program is tested through a combination of internal and external assessments. Updates are provided to senior management and the Audit Committee on a quarterly basis for informed decision-making and as part of the Company's broader risk management process.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corporate headquarters are located in Miami Beach, Florida, where we occupy approximately 3,714 rentable square feet and Nashville, TN where we occupy approximately 3,332 square feet. We use these locations primarily for sales and marketing, information technology, social media content management, research and development, supply chain and logistics, finance, human resources, and editing related to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TV.</w:t>
      </w:r>
    </w:p>
    <w:p>
      <w:pPr>
        <w:spacing w:after="0" w:line="2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In addition to our corporate headquarters, as of the date of this Annual Report on Form 10-K, we operate thirty-two centers from which we offer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State/Country</w:t>
            </w:r>
          </w:p>
        </w:tc>
        <w:tc>
          <w:tcPr>
            <w:tcW w:w="3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89"/>
        </w:trPr>
        <w:tc>
          <w:tcPr>
            <w:tcW w:w="3780" w:type="dxa"/>
            <w:vAlign w:val="bottom"/>
            <w:gridSpan w:val="2"/>
            <w:vMerge w:val="continue"/>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Procedure Rooms</w:t>
            </w:r>
          </w:p>
        </w:tc>
        <w:tc>
          <w:tcPr>
            <w:tcW w:w="0" w:type="dxa"/>
            <w:vAlign w:val="bottom"/>
          </w:tcPr>
          <w:p>
            <w:pPr>
              <w:spacing w:after="0"/>
              <w:rPr>
                <w:sz w:val="1"/>
                <w:szCs w:val="1"/>
                <w:color w:val="auto"/>
              </w:rPr>
            </w:pPr>
          </w:p>
        </w:tc>
      </w:tr>
      <w:tr>
        <w:trPr>
          <w:trHeight w:val="214"/>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Arizona</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Scottsdale</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Beverly Hills</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Orange County</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Sacramento</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San Diego</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San Jose</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Colorado</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Denver</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Orlando</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Miami</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Atlanta</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Chicago</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Deerfield</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Kansas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Kansas City</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Massachusetts</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Boston</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Michigan</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Birmingham</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Minnesota</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Minneapolis</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Las Vegas</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York</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New York</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York</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White Plains</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North Carolina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Charlotte</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North Carolina</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Raleigh</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Ohio</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Columbus</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Philadelphia</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Tennessee</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Nashville</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Austin</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Dallas</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Houston</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Utah</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Salt Lake City</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Seattle</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Virginia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Vienna</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1"/>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Toronto</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27"/>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London</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intend to procure additional space as we hire additional employees and expand geographically. We believe that our facilities are adequate to meet our needs for the immediate future and that suitable additional space will be available to accommodate any expansion of our operations as needed.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8" w:lineRule="exact"/>
        <w:rPr>
          <w:sz w:val="20"/>
          <w:szCs w:val="20"/>
          <w:color w:val="auto"/>
        </w:rPr>
      </w:pPr>
    </w:p>
    <w:p>
      <w:pPr>
        <w:ind w:right="2180"/>
        <w:spacing w:after="0" w:line="408" w:lineRule="auto"/>
        <w:rPr>
          <w:sz w:val="20"/>
          <w:szCs w:val="20"/>
          <w:color w:val="auto"/>
        </w:rPr>
      </w:pPr>
      <w:r>
        <w:rPr>
          <w:rFonts w:ascii="Times New Roman" w:cs="Times New Roman" w:eastAsia="Times New Roman" w:hAnsi="Times New Roman"/>
          <w:sz w:val="17"/>
          <w:szCs w:val="17"/>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7"/>
          <w:szCs w:val="17"/>
          <w:b w:val="1"/>
          <w:bCs w:val="1"/>
          <w:i w:val="1"/>
          <w:iCs w:val="1"/>
          <w:color w:val="auto"/>
        </w:rPr>
        <w:t>Market Information</w:t>
      </w:r>
    </w:p>
    <w:p>
      <w:pPr>
        <w:spacing w:after="0" w:line="2" w:lineRule="exact"/>
        <w:rPr>
          <w:sz w:val="20"/>
          <w:szCs w:val="20"/>
          <w:color w:val="auto"/>
        </w:rPr>
      </w:pPr>
    </w:p>
    <w:p>
      <w:pPr>
        <w:ind w:right="5200"/>
        <w:spacing w:after="0" w:line="407" w:lineRule="auto"/>
        <w:rPr>
          <w:sz w:val="20"/>
          <w:szCs w:val="20"/>
          <w:color w:val="auto"/>
        </w:rPr>
      </w:pPr>
      <w:r>
        <w:rPr>
          <w:rFonts w:ascii="Times New Roman" w:cs="Times New Roman" w:eastAsia="Times New Roman" w:hAnsi="Times New Roman"/>
          <w:sz w:val="17"/>
          <w:szCs w:val="17"/>
          <w:color w:val="auto"/>
        </w:rPr>
        <w:t xml:space="preserve">Our common stock are traded on the Nasdaq Global Market under the symbol “AIRS.” </w:t>
      </w:r>
      <w:r>
        <w:rPr>
          <w:rFonts w:ascii="Times New Roman" w:cs="Times New Roman" w:eastAsia="Times New Roman" w:hAnsi="Times New Roman"/>
          <w:sz w:val="17"/>
          <w:szCs w:val="17"/>
          <w:b w:val="1"/>
          <w:bCs w:val="1"/>
          <w:i w:val="1"/>
          <w:iCs w:val="1"/>
          <w:color w:val="auto"/>
        </w:rPr>
        <w:t>Dividends</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During the twelve months ended December 31, 2024, we paid a $0.3 million dividend on our common stock. We currently intend to retain all available funds and future earnings and do not anticipate declaring or paying any cash dividends in the foreseeable future. Any determination to pay future dividends to holders of our common stock will be at the discretion of our board of directors and will depend on many factors, including our financial condition, results of operations, projections, liquidity, earnings, legal requirements, restrictions in the agreements governing any indebtedness we may enter into and other factors that our board of directors deems relevant.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Holders of Record</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of March 13, 2025, there were 58,574,516 issued and outstanding shares of common stock held by 32 stockholders of record. The number of record holders was determined from the records of our transfer agent and does not include beneficial owners whose shares of common stock are held in the names of various security brokers, dealers, and registered clearing agencies.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Compensation Plans Information</w:t>
      </w:r>
    </w:p>
    <w:p>
      <w:pPr>
        <w:spacing w:after="0" w:line="1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information required by Item 201(d) of Regulation S-K is provided under “Item 12. Security Ownership of Certain Beneficial Owners and Management and Related Stockholder Matters—Equity Compensation Plan Information”, incorporated herein by reference.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item has been removed and reserved pursuant to SEC order.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financial statements and related notes and other financial information appearing elsewhere in this Annual Report on Form 10-K. This discussion and analysis contains forward-looking statements that involve risks, uncertainties and assumptions. See the section entitled “Cautionary Note Regarding Forward-Looking Statements” in this Annual Report on Form 10-K. Our actual results could differ materially from those anticipated in the forward-looking statements for many reasons, including those risks. You should not place undue reliance on these forward-looking statements, which apply only as of the date of this Annual Report. You should read this Annual Report completely, including Part I, Item 1A (Risk Factors) of this Annual Report and the “Forward-Looking Statements” sections of this Annual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i w:val="1"/>
          <w:iCs w:val="1"/>
          <w:color w:val="auto"/>
        </w:rPr>
        <w:t>Unless otherwise indicated or the context otherwise requires, references in this Annual Report on Form 10-K to the “Company,” “AirSculpt,” “we,” “us” and “our” refer to AirSculpt Technologies, Inc. and its consolidated subsidiaries and the Professional Associations.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Performance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results of operations and financial condition have been, and will continue to be, affected by a number of factors, including the following: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Initiatives and Strategic Priorities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Given the recent decline in revenue, the Company is focusing on stabilizing revenue growth through a number of strategic and growth initiatives, including:</w:t>
      </w:r>
    </w:p>
    <w:p>
      <w:pPr>
        <w:spacing w:after="0" w:line="104" w:lineRule="exact"/>
        <w:rPr>
          <w:sz w:val="20"/>
          <w:szCs w:val="20"/>
          <w:color w:val="auto"/>
        </w:rPr>
      </w:pPr>
    </w:p>
    <w:p>
      <w:pPr>
        <w:ind w:left="480" w:hanging="163"/>
        <w:spacing w:after="0" w:line="294" w:lineRule="auto"/>
        <w:tabs>
          <w:tab w:leader="none" w:pos="47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optimizing our marketing investment by spending on techniques that have proven successful for us in the past using a returns-based approach and testing new areas such as online video, and other social marketing channels under the direction of our new Chief Digital Officer;</w:t>
      </w:r>
    </w:p>
    <w:p>
      <w:pPr>
        <w:spacing w:after="0" w:line="28" w:lineRule="exact"/>
        <w:rPr>
          <w:rFonts w:ascii="Times New Roman" w:cs="Times New Roman" w:eastAsia="Times New Roman" w:hAnsi="Times New Roman"/>
          <w:sz w:val="17"/>
          <w:szCs w:val="17"/>
          <w:color w:val="auto"/>
        </w:rPr>
      </w:pPr>
    </w:p>
    <w:p>
      <w:pPr>
        <w:ind w:left="480" w:hanging="163"/>
        <w:spacing w:after="0" w:line="278" w:lineRule="auto"/>
        <w:tabs>
          <w:tab w:leader="none" w:pos="47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go-to-market and sales strategies under our new Chief Sales Officer who is dedicated to strengthening our consultative sales model with enhanced training, improving our sales processes, and providing a greater focus on lead conversion;</w:t>
      </w:r>
    </w:p>
    <w:p>
      <w:pPr>
        <w:spacing w:after="0" w:line="55"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consumer financing offerings; and</w:t>
      </w:r>
    </w:p>
    <w:p>
      <w:pPr>
        <w:spacing w:after="0" w:line="104" w:lineRule="exact"/>
        <w:rPr>
          <w:rFonts w:ascii="Times New Roman" w:cs="Times New Roman" w:eastAsia="Times New Roman" w:hAnsi="Times New Roman"/>
          <w:sz w:val="17"/>
          <w:szCs w:val="17"/>
          <w:color w:val="auto"/>
        </w:rPr>
      </w:pPr>
    </w:p>
    <w:p>
      <w:pPr>
        <w:ind w:left="480" w:hanging="163"/>
        <w:spacing w:after="0" w:line="278" w:lineRule="auto"/>
        <w:tabs>
          <w:tab w:leader="none" w:pos="47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focusing on new product innovation where we believe that there is an opportunity to introduce new services, particularly in the area of skin tightening, that would allow us to expand our customer reach and generate incremental revenues.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Attract New Patients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decision to undergo an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is driven by patient demand, which may be influenced by a number of factors, such as:</w:t>
      </w:r>
    </w:p>
    <w:p>
      <w:pPr>
        <w:spacing w:after="0" w:line="49" w:lineRule="exact"/>
        <w:rPr>
          <w:sz w:val="20"/>
          <w:szCs w:val="20"/>
          <w:color w:val="auto"/>
        </w:rPr>
      </w:pPr>
    </w:p>
    <w:p>
      <w:pPr>
        <w:ind w:left="460" w:hanging="143"/>
        <w:spacing w:after="0"/>
        <w:tabs>
          <w:tab w:leader="none" w:pos="4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consumer confidence, which may be impacted by economic and political conditions;</w:t>
      </w:r>
    </w:p>
    <w:p>
      <w:pPr>
        <w:spacing w:after="0" w:line="104"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levels of disposable income to pay for our procedures and the continued availability of financing for our patients;</w:t>
      </w:r>
    </w:p>
    <w:p>
      <w:pPr>
        <w:spacing w:after="0" w:line="114"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safety and efficacy of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relative to other aesthetic products and alternative treatments;</w:t>
      </w:r>
    </w:p>
    <w:p>
      <w:pPr>
        <w:spacing w:after="0" w:line="49" w:lineRule="exact"/>
        <w:rPr>
          <w:rFonts w:ascii="Times New Roman" w:cs="Times New Roman" w:eastAsia="Times New Roman" w:hAnsi="Times New Roman"/>
          <w:sz w:val="17"/>
          <w:szCs w:val="17"/>
          <w:color w:val="auto"/>
        </w:rPr>
      </w:pPr>
    </w:p>
    <w:p>
      <w:pPr>
        <w:ind w:left="480" w:right="460" w:hanging="163"/>
        <w:spacing w:after="0" w:line="259" w:lineRule="auto"/>
        <w:tabs>
          <w:tab w:leader="none" w:pos="47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increased market acceptance, availability and customer awareness of safer, more effective, easier to use and less expensive weight loss solutions, including weight loss drugs and other non-surgical weight loss and obesity solutions;</w:t>
      </w:r>
    </w:p>
    <w:p>
      <w:pPr>
        <w:ind w:left="460" w:hanging="143"/>
        <w:spacing w:after="0" w:line="232" w:lineRule="auto"/>
        <w:tabs>
          <w:tab w:leader="none" w:pos="460" w:val="left"/>
        </w:tabs>
        <w:numPr>
          <w:ilvl w:val="0"/>
          <w:numId w:val="38"/>
        </w:numPr>
        <w:rPr>
          <w:rFonts w:ascii="Arial" w:cs="Arial" w:eastAsia="Arial" w:hAnsi="Arial"/>
          <w:sz w:val="21"/>
          <w:szCs w:val="21"/>
          <w:color w:val="auto"/>
        </w:rPr>
      </w:pPr>
      <w:r>
        <w:rPr>
          <w:rFonts w:ascii="Times New Roman" w:cs="Times New Roman" w:eastAsia="Times New Roman" w:hAnsi="Times New Roman"/>
          <w:sz w:val="17"/>
          <w:szCs w:val="17"/>
          <w:color w:val="auto"/>
        </w:rPr>
        <w:t>the success of our sales and marketing programs;</w:t>
      </w:r>
    </w:p>
    <w:p>
      <w:pPr>
        <w:spacing w:after="0" w:line="83" w:lineRule="exact"/>
        <w:rPr>
          <w:rFonts w:ascii="Arial" w:cs="Arial" w:eastAsia="Arial" w:hAnsi="Arial"/>
          <w:sz w:val="21"/>
          <w:szCs w:val="21"/>
          <w:color w:val="auto"/>
        </w:rPr>
      </w:pPr>
    </w:p>
    <w:p>
      <w:pPr>
        <w:ind w:left="460" w:hanging="143"/>
        <w:spacing w:after="0"/>
        <w:tabs>
          <w:tab w:leader="none" w:pos="4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perceived advantages or disadvantages of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compared to other aesthetic products and treatments;</w:t>
      </w:r>
    </w:p>
    <w:p>
      <w:pPr>
        <w:spacing w:after="0" w:line="49"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our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 satisfies patient expectations;</w:t>
      </w:r>
    </w:p>
    <w:p>
      <w:pPr>
        <w:spacing w:after="0" w:line="56" w:lineRule="exact"/>
        <w:rPr>
          <w:rFonts w:ascii="Times New Roman" w:cs="Times New Roman" w:eastAsia="Times New Roman" w:hAnsi="Times New Roman"/>
          <w:sz w:val="17"/>
          <w:szCs w:val="17"/>
          <w:color w:val="auto"/>
        </w:rPr>
      </w:pPr>
    </w:p>
    <w:p>
      <w:pPr>
        <w:ind w:left="480" w:hanging="163"/>
        <w:spacing w:after="0" w:line="227" w:lineRule="auto"/>
        <w:tabs>
          <w:tab w:leader="none" w:pos="47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properly train our surgeons in performing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procedures such that our patients do not experience excessive discomfort during treatment or adverse side effects; and</w:t>
      </w:r>
    </w:p>
    <w:p>
      <w:pPr>
        <w:spacing w:after="0" w:line="73"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sentiment about the benefits and risks of aesthetic procedures generally and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 particular.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Successfully Operate in New Markets</w:t>
      </w:r>
    </w:p>
    <w:p>
      <w:pPr>
        <w:spacing w:after="0" w:line="14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Our growth strategy depends, in large part, on successfully operating our new facilities, both in existing and new geographic regions, particularly in densely populated and affluent metropolitan and suburban regions.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ability to successfully operate new centers depends on many factors, including, among others, our ability to:</w:t>
      </w:r>
    </w:p>
    <w:p>
      <w:pPr>
        <w:spacing w:after="0" w:line="117" w:lineRule="exact"/>
        <w:rPr>
          <w:sz w:val="20"/>
          <w:szCs w:val="20"/>
          <w:color w:val="auto"/>
        </w:rPr>
      </w:pPr>
    </w:p>
    <w:p>
      <w:pPr>
        <w:ind w:left="460" w:hanging="143"/>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 qualified surgeons for our new centers;</w:t>
      </w:r>
    </w:p>
    <w:p>
      <w:pPr>
        <w:spacing w:after="0" w:line="104"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regulatory, competitive, marketing, and other challenges encountered in connection with expansion into new markets;</w:t>
      </w:r>
    </w:p>
    <w:p>
      <w:pPr>
        <w:spacing w:after="0" w:line="104"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train and retain surgeons and other personnel;</w:t>
      </w:r>
    </w:p>
    <w:p>
      <w:pPr>
        <w:spacing w:after="0" w:line="117"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adequate information system and other operational system capabilities;</w:t>
      </w:r>
    </w:p>
    <w:p>
      <w:pPr>
        <w:spacing w:after="0" w:line="104"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integrate new centers into our existing management structure and operations, including information system integration;</w:t>
      </w:r>
    </w:p>
    <w:p>
      <w:pPr>
        <w:spacing w:after="0" w:line="104"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source sufficient levels of medical supplies at acceptable costs;</w:t>
      </w:r>
    </w:p>
    <w:p>
      <w:pPr>
        <w:spacing w:after="0" w:line="117"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and maintain necessary permits and licenses;</w:t>
      </w:r>
    </w:p>
    <w:p>
      <w:pPr>
        <w:spacing w:after="0" w:line="104"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generate sufficient levels of cash or obtain financing on acceptable terms to support our expansion;</w:t>
      </w:r>
    </w:p>
    <w:p>
      <w:pPr>
        <w:spacing w:after="0" w:line="104"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and maintain brand awareness in new and existing markets; and</w:t>
      </w:r>
    </w:p>
    <w:p>
      <w:pPr>
        <w:spacing w:after="0" w:line="117"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satisfy the needs and preferences of our patients.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failure to effectively address challenges such as these could adversely affect our ability to operate new centers in a cost-effective manner.</w:t>
      </w:r>
    </w:p>
    <w:p>
      <w:pPr>
        <w:spacing w:after="0" w:line="14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In addition, there can be no assurance that newly-opened centers will achieve net sales or profitability levels comparable to those of our existing centers in the time periods estimated by us, or at all.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Operational and Business Metrics</w:t>
      </w:r>
    </w:p>
    <w:p>
      <w:pPr>
        <w:spacing w:after="0" w:line="22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Twelve months ended December 31, 2024, 2023 and 2022</w:t>
      </w:r>
    </w:p>
    <w:p>
      <w:pPr>
        <w:spacing w:after="0" w:line="121" w:lineRule="exact"/>
        <w:rPr>
          <w:sz w:val="20"/>
          <w:szCs w:val="20"/>
          <w:color w:val="auto"/>
        </w:rPr>
      </w:pPr>
    </w:p>
    <w:p>
      <w:pPr>
        <w:ind w:left="460" w:hanging="143"/>
        <w:spacing w:after="0"/>
        <w:tabs>
          <w:tab w:leader="none" w:pos="4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Cases performed were 14,036, 14,932 and 13,063 in 2024, 2023 and 2022, respectively;</w:t>
      </w:r>
    </w:p>
    <w:p>
      <w:pPr>
        <w:spacing w:after="0" w:line="117"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per case was $12,849, $13,121 and $12,922 in 2024, 2023 and 2022, respectively;</w:t>
      </w:r>
    </w:p>
    <w:p>
      <w:pPr>
        <w:spacing w:after="0" w:line="104"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Same-center information:</w:t>
      </w:r>
    </w:p>
    <w:p>
      <w:pPr>
        <w:spacing w:after="0" w:line="104" w:lineRule="exact"/>
        <w:rPr>
          <w:rFonts w:ascii="Times New Roman" w:cs="Times New Roman" w:eastAsia="Times New Roman" w:hAnsi="Times New Roman"/>
          <w:sz w:val="17"/>
          <w:szCs w:val="17"/>
          <w:color w:val="auto"/>
        </w:rPr>
      </w:pPr>
    </w:p>
    <w:p>
      <w:pPr>
        <w:ind w:left="1100" w:hanging="158"/>
        <w:spacing w:after="0"/>
        <w:tabs>
          <w:tab w:leader="none" w:pos="110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Same-center revenue per case increased (2.4)%, 1.5%, and 7.4% in 2024, 2023, and 2022, respectively;</w:t>
      </w:r>
    </w:p>
    <w:p>
      <w:pPr>
        <w:spacing w:after="0" w:line="117" w:lineRule="exact"/>
        <w:rPr>
          <w:rFonts w:ascii="Times New Roman" w:cs="Times New Roman" w:eastAsia="Times New Roman" w:hAnsi="Times New Roman"/>
          <w:sz w:val="17"/>
          <w:szCs w:val="17"/>
          <w:color w:val="auto"/>
        </w:rPr>
      </w:pPr>
    </w:p>
    <w:p>
      <w:pPr>
        <w:ind w:left="1100" w:hanging="158"/>
        <w:spacing w:after="0"/>
        <w:tabs>
          <w:tab w:leader="none" w:pos="110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Same-center volume changed (13.7)%, (1.4)%, and 0.7% in 2024, 2023, and 2022, respectively;</w:t>
      </w:r>
    </w:p>
    <w:p>
      <w:pPr>
        <w:spacing w:after="0" w:line="104"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loss was $(8.3) million, $(4.5) million and $(14.7) million in 2024, 2023 and 2022, respectively;</w:t>
      </w:r>
    </w:p>
    <w:p>
      <w:pPr>
        <w:spacing w:after="0" w:line="104"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was $20.7 million, $43.2 million and $38.9 million in 2024, 2023 and 2022, respectively;</w:t>
      </w:r>
    </w:p>
    <w:p>
      <w:pPr>
        <w:spacing w:after="0" w:line="117"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Margin* was 11.5%, 22.1% and 23.0% in 2024, 2023 and 2022, respectively;</w:t>
      </w:r>
    </w:p>
    <w:p>
      <w:pPr>
        <w:spacing w:after="0" w:line="130"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per share was $(0.14), $(0.08) and $(0.26) for 2024, 2023 and 2022, respectively; and</w:t>
      </w:r>
    </w:p>
    <w:p>
      <w:pPr>
        <w:spacing w:after="0" w:line="117"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Income per share (diluted)* was $0.02, $0.28 and $0.32 in 2024, 2023 and 2022, respectively.</w:t>
      </w:r>
    </w:p>
    <w:p>
      <w:pPr>
        <w:spacing w:after="0" w:line="104" w:lineRule="exact"/>
        <w:rPr>
          <w:rFonts w:ascii="Times New Roman" w:cs="Times New Roman" w:eastAsia="Times New Roman" w:hAnsi="Times New Roman"/>
          <w:sz w:val="17"/>
          <w:szCs w:val="17"/>
          <w:color w:val="auto"/>
        </w:rPr>
      </w:pPr>
    </w:p>
    <w:p>
      <w:pPr>
        <w:jc w:val="both"/>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For a reconciliation of Adjusted EBITDA, Adjusted EBITDA margin, Adjusted Net Income and Adjusted Net Income per share, which are all non-GAAP measures, to the most directly comparable GAAP financial measures, information about why we consider them useful and a discussion of the material risks and limitations of these measures, please see “—Non-GAAP Financial Measures—Adjusted EBITDA, Adjusted EBITDA Margin, Adjusted Net Income and Adjusted Net Income per Share.”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Cases Performed and Revenue per Case</w:t>
      </w:r>
    </w:p>
    <w:p>
      <w:pPr>
        <w:spacing w:after="0" w:line="225"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Case and Revenue Metrics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9"/>
        </w:trPr>
        <w:tc>
          <w:tcPr>
            <w:tcW w:w="64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8"/>
        </w:trPr>
        <w:tc>
          <w:tcPr>
            <w:tcW w:w="6480" w:type="dxa"/>
            <w:vAlign w:val="bottom"/>
            <w:tcBorders>
              <w:bottom w:val="single" w:sz="8" w:color="D2EDFE"/>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D2EDFE"/>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D2EDFE"/>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0"/>
        </w:trPr>
        <w:tc>
          <w:tcPr>
            <w:tcW w:w="64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color w:val="auto"/>
              </w:rPr>
              <w:t>Cases</w:t>
            </w:r>
          </w:p>
        </w:tc>
        <w:tc>
          <w:tcPr>
            <w:tcW w:w="940" w:type="dxa"/>
            <w:vAlign w:val="bottom"/>
            <w:shd w:val="clear" w:color="auto" w:fill="D2EDFE"/>
          </w:tcPr>
          <w:p>
            <w:pPr>
              <w:spacing w:after="0"/>
              <w:rPr>
                <w:sz w:val="19"/>
                <w:szCs w:val="19"/>
                <w:color w:val="auto"/>
              </w:rPr>
            </w:pPr>
          </w:p>
        </w:tc>
        <w:tc>
          <w:tcPr>
            <w:tcW w:w="640" w:type="dxa"/>
            <w:vAlign w:val="bottom"/>
            <w:shd w:val="clear" w:color="auto" w:fill="D2EDFE"/>
          </w:tcPr>
          <w:p>
            <w:pPr>
              <w:jc w:val="right"/>
              <w:ind w:right="33"/>
              <w:spacing w:after="0"/>
              <w:rPr>
                <w:sz w:val="20"/>
                <w:szCs w:val="20"/>
                <w:color w:val="auto"/>
              </w:rPr>
            </w:pPr>
            <w:r>
              <w:rPr>
                <w:rFonts w:ascii="Times New Roman" w:cs="Times New Roman" w:eastAsia="Times New Roman" w:hAnsi="Times New Roman"/>
                <w:sz w:val="17"/>
                <w:szCs w:val="17"/>
                <w:color w:val="auto"/>
              </w:rPr>
              <w:t>14,036</w:t>
            </w:r>
          </w:p>
        </w:tc>
        <w:tc>
          <w:tcPr>
            <w:tcW w:w="8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360" w:type="dxa"/>
            <w:vAlign w:val="bottom"/>
            <w:shd w:val="clear" w:color="auto" w:fill="D2EDFE"/>
          </w:tcPr>
          <w:p>
            <w:pPr>
              <w:jc w:val="right"/>
              <w:ind w:right="38"/>
              <w:spacing w:after="0"/>
              <w:rPr>
                <w:sz w:val="20"/>
                <w:szCs w:val="20"/>
                <w:color w:val="auto"/>
              </w:rPr>
            </w:pPr>
            <w:r>
              <w:rPr>
                <w:rFonts w:ascii="Times New Roman" w:cs="Times New Roman" w:eastAsia="Times New Roman" w:hAnsi="Times New Roman"/>
                <w:sz w:val="17"/>
                <w:szCs w:val="17"/>
                <w:color w:val="auto"/>
              </w:rPr>
              <w:t>14,932</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13,063</w:t>
            </w:r>
          </w:p>
        </w:tc>
      </w:tr>
      <w:tr>
        <w:trPr>
          <w:trHeight w:val="221"/>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Case growth</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1"/>
        </w:trPr>
        <w:tc>
          <w:tcPr>
            <w:tcW w:w="64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color w:val="auto"/>
              </w:rPr>
              <w:t>Revenue per case</w:t>
            </w:r>
          </w:p>
        </w:tc>
        <w:tc>
          <w:tcPr>
            <w:tcW w:w="940" w:type="dxa"/>
            <w:vAlign w:val="bottom"/>
            <w:shd w:val="clear" w:color="auto" w:fill="D2EDFE"/>
          </w:tcPr>
          <w:p>
            <w:pPr>
              <w:jc w:val="right"/>
              <w:ind w:right="762"/>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D2EDFE"/>
          </w:tcPr>
          <w:p>
            <w:pPr>
              <w:jc w:val="right"/>
              <w:ind w:right="33"/>
              <w:spacing w:after="0"/>
              <w:rPr>
                <w:sz w:val="20"/>
                <w:szCs w:val="20"/>
                <w:color w:val="auto"/>
              </w:rPr>
            </w:pPr>
            <w:r>
              <w:rPr>
                <w:rFonts w:ascii="Times New Roman" w:cs="Times New Roman" w:eastAsia="Times New Roman" w:hAnsi="Times New Roman"/>
                <w:sz w:val="17"/>
                <w:szCs w:val="17"/>
                <w:color w:val="auto"/>
              </w:rPr>
              <w:t>12,849</w:t>
            </w:r>
          </w:p>
        </w:tc>
        <w:tc>
          <w:tcPr>
            <w:tcW w:w="80" w:type="dxa"/>
            <w:vAlign w:val="bottom"/>
            <w:shd w:val="clear" w:color="auto" w:fill="D2EDFE"/>
          </w:tcPr>
          <w:p>
            <w:pPr>
              <w:spacing w:after="0"/>
              <w:rPr>
                <w:sz w:val="19"/>
                <w:szCs w:val="19"/>
                <w:color w:val="auto"/>
              </w:rPr>
            </w:pPr>
          </w:p>
        </w:tc>
        <w:tc>
          <w:tcPr>
            <w:tcW w:w="220" w:type="dxa"/>
            <w:vAlign w:val="bottom"/>
            <w:shd w:val="clear" w:color="auto" w:fill="D2EDFE"/>
          </w:tcPr>
          <w:p>
            <w:pPr>
              <w:jc w:val="right"/>
              <w:ind w:right="42"/>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D2EDFE"/>
          </w:tcPr>
          <w:p>
            <w:pPr>
              <w:jc w:val="right"/>
              <w:ind w:right="38"/>
              <w:spacing w:after="0"/>
              <w:rPr>
                <w:sz w:val="20"/>
                <w:szCs w:val="20"/>
                <w:color w:val="auto"/>
              </w:rPr>
            </w:pPr>
            <w:r>
              <w:rPr>
                <w:rFonts w:ascii="Times New Roman" w:cs="Times New Roman" w:eastAsia="Times New Roman" w:hAnsi="Times New Roman"/>
                <w:sz w:val="17"/>
                <w:szCs w:val="17"/>
                <w:color w:val="auto"/>
              </w:rPr>
              <w:t>13,121</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12,922</w:t>
            </w:r>
          </w:p>
        </w:tc>
      </w:tr>
      <w:tr>
        <w:trPr>
          <w:trHeight w:val="221"/>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per case growth</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1"/>
        </w:trPr>
        <w:tc>
          <w:tcPr>
            <w:tcW w:w="64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color w:val="auto"/>
              </w:rPr>
              <w:t>Number of facilities</w:t>
            </w:r>
          </w:p>
        </w:tc>
        <w:tc>
          <w:tcPr>
            <w:tcW w:w="940" w:type="dxa"/>
            <w:vAlign w:val="bottom"/>
            <w:shd w:val="clear" w:color="auto" w:fill="D2EDFE"/>
          </w:tcPr>
          <w:p>
            <w:pPr>
              <w:spacing w:after="0"/>
              <w:rPr>
                <w:sz w:val="19"/>
                <w:szCs w:val="19"/>
                <w:color w:val="auto"/>
              </w:rPr>
            </w:pPr>
          </w:p>
        </w:tc>
        <w:tc>
          <w:tcPr>
            <w:tcW w:w="6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3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0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total procedure rooms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Same-Center Case and Revenue Metrics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Same-Center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For the twelve months ended December 31, 2024 and 2023, we define same-center case and revenue growth as the growth in each of our cases and revenue at facilities that were owned and operated during the twelve months ended December 31, 2024 and 2023, respectively. At facilities that were not owned or operated for the entirety of the prior year period, the current year period has been pro-rated to reflect only growth experienced during the portion of the twelve months ended December 31, 2024 in which such facilities were owned and operated during the twelve months ended December 31, 2023.We define same-center facilities and procedure rooms based on if a facility was owned or operated as of December 31,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900" w:type="dxa"/>
            <w:vAlign w:val="bottom"/>
          </w:tcPr>
          <w:p>
            <w:pPr>
              <w:spacing w:after="0"/>
              <w:rPr>
                <w:sz w:val="13"/>
                <w:szCs w:val="13"/>
                <w:color w:val="auto"/>
              </w:rPr>
            </w:pPr>
          </w:p>
        </w:tc>
      </w:tr>
      <w:tr>
        <w:trPr>
          <w:trHeight w:val="190"/>
        </w:trPr>
        <w:tc>
          <w:tcPr>
            <w:tcW w:w="8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88"/>
        </w:trPr>
        <w:tc>
          <w:tcPr>
            <w:tcW w:w="8060" w:type="dxa"/>
            <w:vAlign w:val="bottom"/>
            <w:tcBorders>
              <w:bottom w:val="single" w:sz="8" w:color="D2EDFE"/>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D2EDFE"/>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0"/>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color w:val="auto"/>
              </w:rPr>
              <w:t>Cases</w:t>
            </w:r>
          </w:p>
        </w:tc>
        <w:tc>
          <w:tcPr>
            <w:tcW w:w="400" w:type="dxa"/>
            <w:vAlign w:val="bottom"/>
            <w:shd w:val="clear" w:color="auto" w:fill="D2EDFE"/>
          </w:tcPr>
          <w:p>
            <w:pPr>
              <w:spacing w:after="0"/>
              <w:rPr>
                <w:sz w:val="19"/>
                <w:szCs w:val="19"/>
                <w:color w:val="auto"/>
              </w:rPr>
            </w:pPr>
          </w:p>
        </w:tc>
        <w:tc>
          <w:tcPr>
            <w:tcW w:w="1220" w:type="dxa"/>
            <w:vAlign w:val="bottom"/>
            <w:shd w:val="clear" w:color="auto" w:fill="D2EDFE"/>
          </w:tcPr>
          <w:p>
            <w:pPr>
              <w:ind w:left="540"/>
              <w:spacing w:after="0"/>
              <w:rPr>
                <w:sz w:val="20"/>
                <w:szCs w:val="20"/>
                <w:color w:val="auto"/>
              </w:rPr>
            </w:pPr>
            <w:r>
              <w:rPr>
                <w:rFonts w:ascii="Times New Roman" w:cs="Times New Roman" w:eastAsia="Times New Roman" w:hAnsi="Times New Roman"/>
                <w:sz w:val="17"/>
                <w:szCs w:val="17"/>
                <w:color w:val="auto"/>
              </w:rPr>
              <w:t>12,892</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14,932</w:t>
            </w:r>
          </w:p>
        </w:tc>
      </w:tr>
      <w:tr>
        <w:trPr>
          <w:trHeight w:val="221"/>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Case growth</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1"/>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color w:val="auto"/>
              </w:rPr>
              <w:t>Revenue per case</w:t>
            </w:r>
          </w:p>
        </w:tc>
        <w:tc>
          <w:tcPr>
            <w:tcW w:w="400" w:type="dxa"/>
            <w:vAlign w:val="bottom"/>
            <w:shd w:val="clear" w:color="auto" w:fill="D2EDFE"/>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D2EDFE"/>
          </w:tcPr>
          <w:p>
            <w:pPr>
              <w:ind w:left="540"/>
              <w:spacing w:after="0"/>
              <w:rPr>
                <w:sz w:val="20"/>
                <w:szCs w:val="20"/>
                <w:color w:val="auto"/>
              </w:rPr>
            </w:pPr>
            <w:r>
              <w:rPr>
                <w:rFonts w:ascii="Times New Roman" w:cs="Times New Roman" w:eastAsia="Times New Roman" w:hAnsi="Times New Roman"/>
                <w:sz w:val="17"/>
                <w:szCs w:val="17"/>
                <w:color w:val="auto"/>
              </w:rPr>
              <w:t>12,801</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13,121</w:t>
            </w:r>
          </w:p>
        </w:tc>
      </w:tr>
      <w:tr>
        <w:trPr>
          <w:trHeight w:val="221"/>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per case growth</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1"/>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color w:val="auto"/>
              </w:rPr>
              <w:t>Number of facilities</w:t>
            </w:r>
          </w:p>
        </w:tc>
        <w:tc>
          <w:tcPr>
            <w:tcW w:w="40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7"/>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total procedure rooms</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same-store revenue decline is primarily attributed to weaker than expected performance across the broader aesthetics and high-end retail industries.</w:t>
      </w:r>
    </w:p>
    <w:p>
      <w:pPr>
        <w:spacing w:after="0" w:line="1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the years ended December 31, 2023 and 2022, we define same-center case and revenue growth as the growth in each of our cases and revenue at facilities that have been owned and operated for at least twelve months as of December 31, 2023. We define same-center facilities and procedure rooms as facilities and procedure rooms that have been owned or operated for at least twelve months as of December 31, 2023.</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228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900" w:type="dxa"/>
            <w:vAlign w:val="bottom"/>
          </w:tcPr>
          <w:p>
            <w:pPr>
              <w:spacing w:after="0"/>
              <w:rPr>
                <w:sz w:val="13"/>
                <w:szCs w:val="13"/>
                <w:color w:val="auto"/>
              </w:rPr>
            </w:pPr>
          </w:p>
        </w:tc>
      </w:tr>
      <w:tr>
        <w:trPr>
          <w:trHeight w:val="184"/>
        </w:trPr>
        <w:tc>
          <w:tcPr>
            <w:tcW w:w="8060" w:type="dxa"/>
            <w:vAlign w:val="bottom"/>
          </w:tcPr>
          <w:p>
            <w:pPr>
              <w:spacing w:after="0"/>
              <w:rPr>
                <w:sz w:val="15"/>
                <w:szCs w:val="15"/>
                <w:color w:val="auto"/>
              </w:rPr>
            </w:pPr>
          </w:p>
        </w:tc>
        <w:tc>
          <w:tcPr>
            <w:tcW w:w="228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900" w:type="dxa"/>
            <w:vAlign w:val="bottom"/>
          </w:tcPr>
          <w:p>
            <w:pPr>
              <w:spacing w:after="0"/>
              <w:rPr>
                <w:sz w:val="15"/>
                <w:szCs w:val="15"/>
                <w:color w:val="auto"/>
              </w:rPr>
            </w:pPr>
          </w:p>
        </w:tc>
      </w:tr>
      <w:tr>
        <w:trPr>
          <w:trHeight w:val="36"/>
        </w:trPr>
        <w:tc>
          <w:tcPr>
            <w:tcW w:w="8060" w:type="dxa"/>
            <w:vAlign w:val="bottom"/>
          </w:tcPr>
          <w:p>
            <w:pPr>
              <w:spacing w:after="0"/>
              <w:rPr>
                <w:sz w:val="3"/>
                <w:szCs w:val="3"/>
                <w:color w:val="auto"/>
              </w:rPr>
            </w:pPr>
          </w:p>
        </w:tc>
        <w:tc>
          <w:tcPr>
            <w:tcW w:w="1620" w:type="dxa"/>
            <w:vAlign w:val="bottom"/>
            <w:tcBorders>
              <w:bottom w:val="single" w:sz="8" w:color="3D5588"/>
            </w:tcBorders>
          </w:tcPr>
          <w:p>
            <w:pPr>
              <w:spacing w:after="0"/>
              <w:rPr>
                <w:sz w:val="3"/>
                <w:szCs w:val="3"/>
                <w:color w:val="auto"/>
              </w:rPr>
            </w:pPr>
          </w:p>
        </w:tc>
        <w:tc>
          <w:tcPr>
            <w:tcW w:w="100" w:type="dxa"/>
            <w:vAlign w:val="bottom"/>
            <w:tcBorders>
              <w:bottom w:val="single" w:sz="8" w:color="3D5588"/>
            </w:tcBorders>
          </w:tcPr>
          <w:p>
            <w:pPr>
              <w:spacing w:after="0"/>
              <w:rPr>
                <w:sz w:val="3"/>
                <w:szCs w:val="3"/>
                <w:color w:val="auto"/>
              </w:rPr>
            </w:pPr>
          </w:p>
        </w:tc>
        <w:tc>
          <w:tcPr>
            <w:tcW w:w="560" w:type="dxa"/>
            <w:vAlign w:val="bottom"/>
            <w:tcBorders>
              <w:bottom w:val="single" w:sz="8" w:color="3D5588"/>
            </w:tcBorders>
          </w:tcPr>
          <w:p>
            <w:pPr>
              <w:spacing w:after="0"/>
              <w:rPr>
                <w:sz w:val="3"/>
                <w:szCs w:val="3"/>
                <w:color w:val="auto"/>
              </w:rPr>
            </w:pPr>
          </w:p>
        </w:tc>
        <w:tc>
          <w:tcPr>
            <w:tcW w:w="900" w:type="dxa"/>
            <w:vAlign w:val="bottom"/>
            <w:tcBorders>
              <w:bottom w:val="single" w:sz="8" w:color="3D5588"/>
            </w:tcBorders>
          </w:tcPr>
          <w:p>
            <w:pPr>
              <w:spacing w:after="0"/>
              <w:rPr>
                <w:sz w:val="3"/>
                <w:szCs w:val="3"/>
                <w:color w:val="auto"/>
              </w:rPr>
            </w:pPr>
          </w:p>
        </w:tc>
      </w:tr>
      <w:tr>
        <w:trPr>
          <w:trHeight w:val="183"/>
        </w:trPr>
        <w:tc>
          <w:tcPr>
            <w:tcW w:w="8060" w:type="dxa"/>
            <w:vAlign w:val="bottom"/>
            <w:tcBorders>
              <w:bottom w:val="single" w:sz="8" w:color="CCEEFF"/>
            </w:tcBorders>
          </w:tcPr>
          <w:p>
            <w:pPr>
              <w:spacing w:after="0"/>
              <w:rPr>
                <w:sz w:val="15"/>
                <w:szCs w:val="15"/>
                <w:color w:val="auto"/>
              </w:rPr>
            </w:pPr>
          </w:p>
        </w:tc>
        <w:tc>
          <w:tcPr>
            <w:tcW w:w="1620" w:type="dxa"/>
            <w:vAlign w:val="bottom"/>
            <w:tcBorders>
              <w:bottom w:val="single" w:sz="8" w:color="3D5588"/>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3D5588"/>
            </w:tcBorders>
          </w:tcPr>
          <w:p>
            <w:pPr>
              <w:spacing w:after="0"/>
              <w:rPr>
                <w:sz w:val="15"/>
                <w:szCs w:val="15"/>
                <w:color w:val="auto"/>
              </w:rPr>
            </w:pPr>
          </w:p>
        </w:tc>
        <w:tc>
          <w:tcPr>
            <w:tcW w:w="900" w:type="dxa"/>
            <w:vAlign w:val="bottom"/>
            <w:tcBorders>
              <w:bottom w:val="single" w:sz="8" w:color="3D5588"/>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Cases</w:t>
            </w:r>
          </w:p>
        </w:tc>
        <w:tc>
          <w:tcPr>
            <w:tcW w:w="16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12,859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13,041</w:t>
            </w:r>
          </w:p>
        </w:tc>
      </w:tr>
      <w:tr>
        <w:trPr>
          <w:trHeight w:val="221"/>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Case growth</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per case</w:t>
            </w:r>
          </w:p>
        </w:tc>
        <w:tc>
          <w:tcPr>
            <w:tcW w:w="16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$13,114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$12,923</w:t>
            </w:r>
          </w:p>
        </w:tc>
      </w:tr>
      <w:tr>
        <w:trPr>
          <w:trHeight w:val="221"/>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per case growth</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total facilities</w:t>
            </w:r>
          </w:p>
        </w:tc>
        <w:tc>
          <w:tcPr>
            <w:tcW w:w="16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7"/>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total procedure rooms</w:t>
            </w: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Measures—Adjusted EBITDA, Adjusted EBITDA Margin, Adjusted Net Income, and Adjusted Net Income per Share</w:t>
      </w:r>
    </w:p>
    <w:p>
      <w:pPr>
        <w:spacing w:after="0" w:line="16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report our financial results in accordance with accounting principles generally accepted in the United States of America ("GAAP"), however, management believes the evaluation of our ongoing operating results may be enhanced by a presentation of Adjusted EBITDA, Adjusted EBITDA Margin, Adjusted Net Income and Adjusted Net Income per Share, which are non-GAAP financial measures.</w:t>
      </w:r>
    </w:p>
    <w:p>
      <w:pPr>
        <w:spacing w:after="0" w:line="9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We define Adjusted EBITDA as net loss excluding depreciation and amortization, net interest expense, income tax expense, restructuring and related severance costs, loss on debt modification</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loss/(gain) on disposal of long-lived assets, settlement costs for non-recurring litigation, and equity-based compensation.</w:t>
      </w:r>
    </w:p>
    <w:p>
      <w:pPr>
        <w:spacing w:after="0" w:line="2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We define Adjusted Net Income as net loss excluding restructuring and related severance costs, loss/(gain) on disposal of long-lived assets, settlement costs for non-recurring litigation, equity-based compensation and the tax effect of these adjustments.</w:t>
      </w:r>
    </w:p>
    <w:p>
      <w:pPr>
        <w:spacing w:after="0" w:line="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interest expense on our debt or the cash requirements necessary to service interest or principal payments. Adjusted Net Income has limitations as an analytical tool because it does not include results from equity-based compensation.</w:t>
      </w:r>
    </w:p>
    <w:p>
      <w:pPr>
        <w:spacing w:after="0" w:line="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Income per Share to be important measures because they help illustrate underlying trends in our business and our historical operating performance on a more consistent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Adjusted EBITDA and Adjusted EBITDA Margin to net loss, the most directly comparable GAAP financial measure: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Twelve Months Ended</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8"/>
        </w:trPr>
        <w:tc>
          <w:tcPr>
            <w:tcW w:w="6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0"/>
        </w:trPr>
        <w:tc>
          <w:tcPr>
            <w:tcW w:w="62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2EDFE"/>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Borders>
              <w:bottom w:val="single" w:sz="8" w:color="D2EDFE"/>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0"/>
        </w:trPr>
        <w:tc>
          <w:tcPr>
            <w:tcW w:w="62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80" w:type="dxa"/>
            <w:vAlign w:val="bottom"/>
            <w:shd w:val="clear" w:color="auto" w:fill="D2EDFE"/>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D2EDFE"/>
          </w:tcPr>
          <w:p>
            <w:pPr>
              <w:jc w:val="right"/>
              <w:ind w:right="115"/>
              <w:spacing w:after="0"/>
              <w:rPr>
                <w:sz w:val="20"/>
                <w:szCs w:val="20"/>
                <w:color w:val="auto"/>
              </w:rPr>
            </w:pPr>
            <w:r>
              <w:rPr>
                <w:rFonts w:ascii="Times New Roman" w:cs="Times New Roman" w:eastAsia="Times New Roman" w:hAnsi="Times New Roman"/>
                <w:sz w:val="17"/>
                <w:szCs w:val="17"/>
                <w:color w:val="auto"/>
              </w:rPr>
              <w:t>(8,251)</w:t>
            </w:r>
          </w:p>
        </w:tc>
        <w:tc>
          <w:tcPr>
            <w:tcW w:w="80" w:type="dxa"/>
            <w:vAlign w:val="bottom"/>
            <w:shd w:val="clear" w:color="auto" w:fill="D2EDFE"/>
          </w:tcPr>
          <w:p>
            <w:pPr>
              <w:spacing w:after="0"/>
              <w:rPr>
                <w:sz w:val="19"/>
                <w:szCs w:val="19"/>
                <w:color w:val="auto"/>
              </w:rPr>
            </w:pPr>
          </w:p>
        </w:tc>
        <w:tc>
          <w:tcPr>
            <w:tcW w:w="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D2EDFE"/>
          </w:tcPr>
          <w:p>
            <w:pPr>
              <w:jc w:val="right"/>
              <w:ind w:right="117"/>
              <w:spacing w:after="0"/>
              <w:rPr>
                <w:sz w:val="20"/>
                <w:szCs w:val="20"/>
                <w:color w:val="auto"/>
              </w:rPr>
            </w:pPr>
            <w:r>
              <w:rPr>
                <w:rFonts w:ascii="Times New Roman" w:cs="Times New Roman" w:eastAsia="Times New Roman" w:hAnsi="Times New Roman"/>
                <w:sz w:val="17"/>
                <w:szCs w:val="17"/>
                <w:color w:val="auto"/>
              </w:rPr>
              <w:t>(4,479)</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D2EDFE"/>
          </w:tcPr>
          <w:p>
            <w:pPr>
              <w:jc w:val="right"/>
              <w:ind w:right="115"/>
              <w:spacing w:after="0"/>
              <w:rPr>
                <w:sz w:val="20"/>
                <w:szCs w:val="20"/>
                <w:color w:val="auto"/>
              </w:rPr>
            </w:pPr>
            <w:r>
              <w:rPr>
                <w:rFonts w:ascii="Times New Roman" w:cs="Times New Roman" w:eastAsia="Times New Roman" w:hAnsi="Times New Roman"/>
                <w:sz w:val="17"/>
                <w:szCs w:val="17"/>
                <w:color w:val="auto"/>
              </w:rPr>
              <w:t>(14,679)</w:t>
            </w:r>
          </w:p>
        </w:tc>
      </w:tr>
      <w:tr>
        <w:trPr>
          <w:trHeight w:val="221"/>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Plus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1"/>
        </w:trPr>
        <w:tc>
          <w:tcPr>
            <w:tcW w:w="6260" w:type="dxa"/>
            <w:vAlign w:val="bottom"/>
            <w:shd w:val="clear" w:color="auto" w:fill="D2EDFE"/>
          </w:tcPr>
          <w:p>
            <w:pPr>
              <w:ind w:left="120"/>
              <w:spacing w:after="0" w:line="222" w:lineRule="exact"/>
              <w:rPr>
                <w:sz w:val="20"/>
                <w:szCs w:val="20"/>
                <w:color w:val="auto"/>
              </w:rPr>
            </w:pPr>
            <w:r>
              <w:rPr>
                <w:rFonts w:ascii="Times New Roman" w:cs="Times New Roman" w:eastAsia="Times New Roman" w:hAnsi="Times New Roman"/>
                <w:sz w:val="17"/>
                <w:szCs w:val="17"/>
                <w:color w:val="auto"/>
              </w:rPr>
              <w:t>Equity-based compensation</w:t>
            </w:r>
            <w:r>
              <w:rPr>
                <w:rFonts w:ascii="Times New Roman" w:cs="Times New Roman" w:eastAsia="Times New Roman" w:hAnsi="Times New Roman"/>
                <w:sz w:val="22"/>
                <w:szCs w:val="22"/>
                <w:color w:val="auto"/>
                <w:vertAlign w:val="superscript"/>
              </w:rPr>
              <w:t>(1)</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7"/>
                <w:szCs w:val="17"/>
                <w:color w:val="auto"/>
              </w:rPr>
              <w:t>3,762</w:t>
            </w:r>
          </w:p>
        </w:tc>
        <w:tc>
          <w:tcPr>
            <w:tcW w:w="80" w:type="dxa"/>
            <w:vAlign w:val="bottom"/>
            <w:shd w:val="clear" w:color="auto" w:fill="D2EDFE"/>
          </w:tcPr>
          <w:p>
            <w:pPr>
              <w:spacing w:after="0"/>
              <w:rPr>
                <w:sz w:val="19"/>
                <w:szCs w:val="19"/>
                <w:color w:val="auto"/>
              </w:rPr>
            </w:pPr>
          </w:p>
        </w:tc>
        <w:tc>
          <w:tcPr>
            <w:tcW w:w="140" w:type="dxa"/>
            <w:vAlign w:val="bottom"/>
            <w:shd w:val="clear" w:color="auto" w:fill="D2EDFE"/>
          </w:tcPr>
          <w:p>
            <w:pPr>
              <w:spacing w:after="0"/>
              <w:rPr>
                <w:sz w:val="19"/>
                <w:szCs w:val="19"/>
                <w:color w:val="auto"/>
              </w:rPr>
            </w:pPr>
          </w:p>
        </w:tc>
        <w:tc>
          <w:tcPr>
            <w:tcW w:w="1480" w:type="dxa"/>
            <w:vAlign w:val="bottom"/>
            <w:shd w:val="clear" w:color="auto" w:fill="D2EDFE"/>
          </w:tcPr>
          <w:p>
            <w:pPr>
              <w:jc w:val="right"/>
              <w:ind w:right="157"/>
              <w:spacing w:after="0"/>
              <w:rPr>
                <w:sz w:val="20"/>
                <w:szCs w:val="20"/>
                <w:color w:val="auto"/>
              </w:rPr>
            </w:pPr>
            <w:r>
              <w:rPr>
                <w:rFonts w:ascii="Times New Roman" w:cs="Times New Roman" w:eastAsia="Times New Roman" w:hAnsi="Times New Roman"/>
                <w:sz w:val="17"/>
                <w:szCs w:val="17"/>
                <w:color w:val="auto"/>
              </w:rPr>
              <w:t>18,224</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7"/>
                <w:szCs w:val="17"/>
                <w:color w:val="auto"/>
              </w:rPr>
              <w:t>29,457</w:t>
            </w:r>
          </w:p>
        </w:tc>
      </w:tr>
      <w:tr>
        <w:trPr>
          <w:trHeight w:val="221"/>
        </w:trPr>
        <w:tc>
          <w:tcPr>
            <w:tcW w:w="6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debt modification</w:t>
            </w:r>
          </w:p>
        </w:tc>
        <w:tc>
          <w:tcPr>
            <w:tcW w:w="3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932</w:t>
            </w:r>
          </w:p>
        </w:tc>
      </w:tr>
      <w:tr>
        <w:trPr>
          <w:trHeight w:val="221"/>
        </w:trPr>
        <w:tc>
          <w:tcPr>
            <w:tcW w:w="6260" w:type="dxa"/>
            <w:vAlign w:val="bottom"/>
            <w:shd w:val="clear" w:color="auto" w:fill="D2EDFE"/>
          </w:tcPr>
          <w:p>
            <w:pPr>
              <w:ind w:left="120"/>
              <w:spacing w:after="0"/>
              <w:rPr>
                <w:sz w:val="20"/>
                <w:szCs w:val="20"/>
                <w:color w:val="auto"/>
              </w:rPr>
            </w:pPr>
            <w:r>
              <w:rPr>
                <w:rFonts w:ascii="Times New Roman" w:cs="Times New Roman" w:eastAsia="Times New Roman" w:hAnsi="Times New Roman"/>
                <w:sz w:val="17"/>
                <w:szCs w:val="17"/>
                <w:color w:val="auto"/>
              </w:rPr>
              <w:t>IPO related costs</w:t>
            </w:r>
          </w:p>
        </w:tc>
        <w:tc>
          <w:tcPr>
            <w:tcW w:w="380" w:type="dxa"/>
            <w:vAlign w:val="bottom"/>
            <w:shd w:val="clear" w:color="auto" w:fill="D2EDFE"/>
          </w:tcPr>
          <w:p>
            <w:pPr>
              <w:spacing w:after="0"/>
              <w:rPr>
                <w:sz w:val="19"/>
                <w:szCs w:val="19"/>
                <w:color w:val="auto"/>
              </w:rPr>
            </w:pPr>
          </w:p>
        </w:tc>
        <w:tc>
          <w:tcPr>
            <w:tcW w:w="1300" w:type="dxa"/>
            <w:vAlign w:val="bottom"/>
            <w:gridSpan w:val="2"/>
            <w:shd w:val="clear" w:color="auto" w:fill="D2EDFE"/>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D2EDFE"/>
          </w:tcPr>
          <w:p>
            <w:pPr>
              <w:spacing w:after="0"/>
              <w:rPr>
                <w:sz w:val="19"/>
                <w:szCs w:val="19"/>
                <w:color w:val="auto"/>
              </w:rPr>
            </w:pPr>
          </w:p>
        </w:tc>
        <w:tc>
          <w:tcPr>
            <w:tcW w:w="1560" w:type="dxa"/>
            <w:vAlign w:val="bottom"/>
            <w:gridSpan w:val="2"/>
            <w:shd w:val="clear" w:color="auto" w:fill="D2EDFE"/>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7"/>
                <w:szCs w:val="17"/>
                <w:color w:val="auto"/>
              </w:rPr>
              <w:t>731</w:t>
            </w:r>
          </w:p>
        </w:tc>
      </w:tr>
      <w:tr>
        <w:trPr>
          <w:trHeight w:val="221"/>
        </w:trPr>
        <w:tc>
          <w:tcPr>
            <w:tcW w:w="6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and related severance costs</w:t>
            </w:r>
          </w:p>
        </w:tc>
        <w:tc>
          <w:tcPr>
            <w:tcW w:w="38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6,026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5,488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4,111</w:t>
            </w:r>
          </w:p>
        </w:tc>
      </w:tr>
      <w:tr>
        <w:trPr>
          <w:trHeight w:val="221"/>
        </w:trPr>
        <w:tc>
          <w:tcPr>
            <w:tcW w:w="6260" w:type="dxa"/>
            <w:vAlign w:val="bottom"/>
            <w:shd w:val="clear" w:color="auto" w:fill="D2EDFE"/>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7"/>
                <w:szCs w:val="17"/>
                <w:color w:val="auto"/>
              </w:rPr>
              <w:t>11,888</w:t>
            </w:r>
          </w:p>
        </w:tc>
        <w:tc>
          <w:tcPr>
            <w:tcW w:w="80" w:type="dxa"/>
            <w:vAlign w:val="bottom"/>
            <w:shd w:val="clear" w:color="auto" w:fill="D2EDFE"/>
          </w:tcPr>
          <w:p>
            <w:pPr>
              <w:spacing w:after="0"/>
              <w:rPr>
                <w:sz w:val="19"/>
                <w:szCs w:val="19"/>
                <w:color w:val="auto"/>
              </w:rPr>
            </w:pPr>
          </w:p>
        </w:tc>
        <w:tc>
          <w:tcPr>
            <w:tcW w:w="140" w:type="dxa"/>
            <w:vAlign w:val="bottom"/>
            <w:shd w:val="clear" w:color="auto" w:fill="D2EDFE"/>
          </w:tcPr>
          <w:p>
            <w:pPr>
              <w:spacing w:after="0"/>
              <w:rPr>
                <w:sz w:val="19"/>
                <w:szCs w:val="19"/>
                <w:color w:val="auto"/>
              </w:rPr>
            </w:pPr>
          </w:p>
        </w:tc>
        <w:tc>
          <w:tcPr>
            <w:tcW w:w="1480" w:type="dxa"/>
            <w:vAlign w:val="bottom"/>
            <w:shd w:val="clear" w:color="auto" w:fill="D2EDFE"/>
          </w:tcPr>
          <w:p>
            <w:pPr>
              <w:jc w:val="right"/>
              <w:ind w:right="157"/>
              <w:spacing w:after="0"/>
              <w:rPr>
                <w:sz w:val="20"/>
                <w:szCs w:val="20"/>
                <w:color w:val="auto"/>
              </w:rPr>
            </w:pPr>
            <w:r>
              <w:rPr>
                <w:rFonts w:ascii="Times New Roman" w:cs="Times New Roman" w:eastAsia="Times New Roman" w:hAnsi="Times New Roman"/>
                <w:sz w:val="17"/>
                <w:szCs w:val="17"/>
                <w:color w:val="auto"/>
              </w:rPr>
              <w:t>10,253</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7"/>
                <w:szCs w:val="17"/>
                <w:color w:val="auto"/>
              </w:rPr>
              <w:t>8,061</w:t>
            </w:r>
          </w:p>
        </w:tc>
      </w:tr>
      <w:tr>
        <w:trPr>
          <w:trHeight w:val="221"/>
        </w:trPr>
        <w:tc>
          <w:tcPr>
            <w:tcW w:w="6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Loss/(gain) on disposal of long-lived assets</w:t>
            </w:r>
          </w:p>
        </w:tc>
        <w:tc>
          <w:tcPr>
            <w:tcW w:w="38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147</w:t>
            </w:r>
          </w:p>
        </w:tc>
      </w:tr>
      <w:tr>
        <w:trPr>
          <w:trHeight w:val="221"/>
        </w:trPr>
        <w:tc>
          <w:tcPr>
            <w:tcW w:w="6260" w:type="dxa"/>
            <w:vAlign w:val="bottom"/>
            <w:shd w:val="clear" w:color="auto" w:fill="D2EDFE"/>
          </w:tcPr>
          <w:p>
            <w:pPr>
              <w:ind w:left="120"/>
              <w:spacing w:after="0" w:line="222" w:lineRule="exact"/>
              <w:rPr>
                <w:sz w:val="20"/>
                <w:szCs w:val="20"/>
                <w:color w:val="auto"/>
              </w:rPr>
            </w:pPr>
            <w:r>
              <w:rPr>
                <w:rFonts w:ascii="Times New Roman" w:cs="Times New Roman" w:eastAsia="Times New Roman" w:hAnsi="Times New Roman"/>
                <w:sz w:val="17"/>
                <w:szCs w:val="17"/>
                <w:color w:val="auto"/>
              </w:rPr>
              <w:t>Litigation settlements</w:t>
            </w:r>
            <w:r>
              <w:rPr>
                <w:rFonts w:ascii="Times New Roman" w:cs="Times New Roman" w:eastAsia="Times New Roman" w:hAnsi="Times New Roman"/>
                <w:sz w:val="22"/>
                <w:szCs w:val="22"/>
                <w:color w:val="auto"/>
                <w:vertAlign w:val="superscript"/>
              </w:rPr>
              <w:t>(2)</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5"/>
              <w:spacing w:after="0"/>
              <w:rPr>
                <w:sz w:val="20"/>
                <w:szCs w:val="20"/>
                <w:color w:val="auto"/>
              </w:rPr>
            </w:pPr>
            <w:r>
              <w:rPr>
                <w:rFonts w:ascii="Times New Roman" w:cs="Times New Roman" w:eastAsia="Times New Roman" w:hAnsi="Times New Roman"/>
                <w:sz w:val="17"/>
                <w:szCs w:val="17"/>
                <w:color w:val="auto"/>
              </w:rPr>
              <w:t>850</w:t>
            </w:r>
          </w:p>
        </w:tc>
        <w:tc>
          <w:tcPr>
            <w:tcW w:w="80" w:type="dxa"/>
            <w:vAlign w:val="bottom"/>
            <w:shd w:val="clear" w:color="auto" w:fill="D2EDFE"/>
          </w:tcPr>
          <w:p>
            <w:pPr>
              <w:spacing w:after="0"/>
              <w:rPr>
                <w:sz w:val="19"/>
                <w:szCs w:val="19"/>
                <w:color w:val="auto"/>
              </w:rPr>
            </w:pPr>
          </w:p>
        </w:tc>
        <w:tc>
          <w:tcPr>
            <w:tcW w:w="140" w:type="dxa"/>
            <w:vAlign w:val="bottom"/>
            <w:shd w:val="clear" w:color="auto" w:fill="D2EDFE"/>
          </w:tcPr>
          <w:p>
            <w:pPr>
              <w:spacing w:after="0"/>
              <w:rPr>
                <w:sz w:val="19"/>
                <w:szCs w:val="19"/>
                <w:color w:val="auto"/>
              </w:rPr>
            </w:pPr>
          </w:p>
        </w:tc>
        <w:tc>
          <w:tcPr>
            <w:tcW w:w="1560" w:type="dxa"/>
            <w:vAlign w:val="bottom"/>
            <w:gridSpan w:val="2"/>
            <w:shd w:val="clear" w:color="auto" w:fill="D2EDFE"/>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spacing w:after="0"/>
              <w:rPr>
                <w:sz w:val="19"/>
                <w:szCs w:val="19"/>
                <w:color w:val="auto"/>
              </w:rPr>
            </w:pPr>
          </w:p>
        </w:tc>
      </w:tr>
      <w:tr>
        <w:trPr>
          <w:trHeight w:val="221"/>
        </w:trPr>
        <w:tc>
          <w:tcPr>
            <w:tcW w:w="6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38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6,247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6,485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6,751</w:t>
            </w:r>
          </w:p>
        </w:tc>
      </w:tr>
      <w:tr>
        <w:trPr>
          <w:trHeight w:val="221"/>
        </w:trPr>
        <w:tc>
          <w:tcPr>
            <w:tcW w:w="6260" w:type="dxa"/>
            <w:vAlign w:val="bottom"/>
            <w:shd w:val="clear" w:color="auto" w:fill="D2EDFE"/>
          </w:tcPr>
          <w:p>
            <w:pPr>
              <w:ind w:left="120"/>
              <w:spacing w:after="0"/>
              <w:rPr>
                <w:sz w:val="20"/>
                <w:szCs w:val="20"/>
                <w:color w:val="auto"/>
              </w:rPr>
            </w:pPr>
            <w:r>
              <w:rPr>
                <w:rFonts w:ascii="Times New Roman" w:cs="Times New Roman" w:eastAsia="Times New Roman" w:hAnsi="Times New Roman"/>
                <w:sz w:val="17"/>
                <w:szCs w:val="17"/>
                <w:color w:val="auto"/>
              </w:rPr>
              <w:t>Income tax expense</w:t>
            </w:r>
          </w:p>
        </w:tc>
        <w:tc>
          <w:tcPr>
            <w:tcW w:w="380" w:type="dxa"/>
            <w:vAlign w:val="bottom"/>
            <w:tcBorders>
              <w:bottom w:val="single" w:sz="8" w:color="auto"/>
            </w:tcBorders>
            <w:shd w:val="clear" w:color="auto" w:fill="D2EDFE"/>
          </w:tcPr>
          <w:p>
            <w:pPr>
              <w:spacing w:after="0"/>
              <w:rPr>
                <w:sz w:val="19"/>
                <w:szCs w:val="19"/>
                <w:color w:val="auto"/>
              </w:rPr>
            </w:pPr>
          </w:p>
        </w:tc>
        <w:tc>
          <w:tcPr>
            <w:tcW w:w="1220" w:type="dxa"/>
            <w:vAlign w:val="bottom"/>
            <w:tcBorders>
              <w:bottom w:val="single" w:sz="8" w:color="auto"/>
            </w:tcBorders>
            <w:shd w:val="clear" w:color="auto" w:fill="D2EDFE"/>
          </w:tcPr>
          <w:p>
            <w:pPr>
              <w:jc w:val="right"/>
              <w:ind w:right="155"/>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shd w:val="clear" w:color="auto" w:fill="D2EDFE"/>
          </w:tcPr>
          <w:p>
            <w:pPr>
              <w:spacing w:after="0"/>
              <w:rPr>
                <w:sz w:val="19"/>
                <w:szCs w:val="19"/>
                <w:color w:val="auto"/>
              </w:rPr>
            </w:pPr>
          </w:p>
        </w:tc>
        <w:tc>
          <w:tcPr>
            <w:tcW w:w="140" w:type="dxa"/>
            <w:vAlign w:val="bottom"/>
            <w:tcBorders>
              <w:bottom w:val="single" w:sz="8" w:color="auto"/>
            </w:tcBorders>
            <w:shd w:val="clear" w:color="auto" w:fill="D2EDFE"/>
          </w:tcPr>
          <w:p>
            <w:pPr>
              <w:spacing w:after="0"/>
              <w:rPr>
                <w:sz w:val="19"/>
                <w:szCs w:val="19"/>
                <w:color w:val="auto"/>
              </w:rPr>
            </w:pPr>
          </w:p>
        </w:tc>
        <w:tc>
          <w:tcPr>
            <w:tcW w:w="1480" w:type="dxa"/>
            <w:vAlign w:val="bottom"/>
            <w:tcBorders>
              <w:bottom w:val="single" w:sz="8" w:color="auto"/>
            </w:tcBorders>
            <w:shd w:val="clear" w:color="auto" w:fill="D2EDFE"/>
          </w:tcPr>
          <w:p>
            <w:pPr>
              <w:jc w:val="right"/>
              <w:ind w:right="157"/>
              <w:spacing w:after="0"/>
              <w:rPr>
                <w:sz w:val="20"/>
                <w:szCs w:val="20"/>
                <w:color w:val="auto"/>
              </w:rPr>
            </w:pPr>
            <w:r>
              <w:rPr>
                <w:rFonts w:ascii="Times New Roman" w:cs="Times New Roman" w:eastAsia="Times New Roman" w:hAnsi="Times New Roman"/>
                <w:sz w:val="17"/>
                <w:szCs w:val="17"/>
                <w:color w:val="auto"/>
              </w:rPr>
              <w:t>7,477</w:t>
            </w:r>
          </w:p>
        </w:tc>
        <w:tc>
          <w:tcPr>
            <w:tcW w:w="80" w:type="dxa"/>
            <w:vAlign w:val="bottom"/>
            <w:shd w:val="clear" w:color="auto" w:fill="D2EDFE"/>
          </w:tcPr>
          <w:p>
            <w:pPr>
              <w:spacing w:after="0"/>
              <w:rPr>
                <w:sz w:val="19"/>
                <w:szCs w:val="19"/>
                <w:color w:val="auto"/>
              </w:rPr>
            </w:pPr>
          </w:p>
        </w:tc>
        <w:tc>
          <w:tcPr>
            <w:tcW w:w="380" w:type="dxa"/>
            <w:vAlign w:val="bottom"/>
            <w:tcBorders>
              <w:bottom w:val="single" w:sz="8" w:color="auto"/>
            </w:tcBorders>
            <w:shd w:val="clear" w:color="auto" w:fill="D2EDFE"/>
          </w:tcPr>
          <w:p>
            <w:pPr>
              <w:spacing w:after="0"/>
              <w:rPr>
                <w:sz w:val="19"/>
                <w:szCs w:val="19"/>
                <w:color w:val="auto"/>
              </w:rPr>
            </w:pPr>
          </w:p>
        </w:tc>
        <w:tc>
          <w:tcPr>
            <w:tcW w:w="1220" w:type="dxa"/>
            <w:vAlign w:val="bottom"/>
            <w:tcBorders>
              <w:bottom w:val="single" w:sz="8" w:color="auto"/>
            </w:tcBorders>
            <w:shd w:val="clear" w:color="auto" w:fill="D2EDFE"/>
          </w:tcPr>
          <w:p>
            <w:pPr>
              <w:jc w:val="right"/>
              <w:ind w:right="155"/>
              <w:spacing w:after="0"/>
              <w:rPr>
                <w:sz w:val="20"/>
                <w:szCs w:val="20"/>
                <w:color w:val="auto"/>
              </w:rPr>
            </w:pPr>
            <w:r>
              <w:rPr>
                <w:rFonts w:ascii="Times New Roman" w:cs="Times New Roman" w:eastAsia="Times New Roman" w:hAnsi="Times New Roman"/>
                <w:sz w:val="17"/>
                <w:szCs w:val="17"/>
                <w:color w:val="auto"/>
              </w:rPr>
              <w:t>3,383</w:t>
            </w:r>
          </w:p>
        </w:tc>
      </w:tr>
      <w:tr>
        <w:trPr>
          <w:trHeight w:val="214"/>
        </w:trPr>
        <w:tc>
          <w:tcPr>
            <w:tcW w:w="62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20,726</w:t>
            </w:r>
          </w:p>
        </w:tc>
        <w:tc>
          <w:tcPr>
            <w:tcW w:w="80" w:type="dxa"/>
            <w:vAlign w:val="bottom"/>
            <w:tcBorders>
              <w:bottom w:val="single" w:sz="8" w:color="D2EDFE"/>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43,236</w:t>
            </w:r>
          </w:p>
        </w:tc>
        <w:tc>
          <w:tcPr>
            <w:tcW w:w="80" w:type="dxa"/>
            <w:vAlign w:val="bottom"/>
            <w:tcBorders>
              <w:bottom w:val="single" w:sz="8" w:color="D2EDFE"/>
            </w:tcBorders>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38,894</w:t>
            </w:r>
          </w:p>
        </w:tc>
      </w:tr>
      <w:tr>
        <w:trPr>
          <w:trHeight w:val="214"/>
        </w:trPr>
        <w:tc>
          <w:tcPr>
            <w:tcW w:w="62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Margin</w:t>
            </w:r>
          </w:p>
        </w:tc>
        <w:tc>
          <w:tcPr>
            <w:tcW w:w="380" w:type="dxa"/>
            <w:vAlign w:val="bottom"/>
            <w:shd w:val="clear" w:color="auto" w:fill="D2EDFE"/>
          </w:tcPr>
          <w:p>
            <w:pPr>
              <w:spacing w:after="0"/>
              <w:rPr>
                <w:sz w:val="18"/>
                <w:szCs w:val="18"/>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b w:val="1"/>
                <w:bCs w:val="1"/>
                <w:color w:val="auto"/>
              </w:rPr>
              <w:t>11.5 %</w:t>
            </w:r>
          </w:p>
        </w:tc>
        <w:tc>
          <w:tcPr>
            <w:tcW w:w="80" w:type="dxa"/>
            <w:vAlign w:val="bottom"/>
            <w:shd w:val="clear" w:color="auto" w:fill="D2EDFE"/>
          </w:tcPr>
          <w:p>
            <w:pPr>
              <w:spacing w:after="0"/>
              <w:rPr>
                <w:sz w:val="18"/>
                <w:szCs w:val="18"/>
                <w:color w:val="auto"/>
              </w:rPr>
            </w:pPr>
          </w:p>
        </w:tc>
        <w:tc>
          <w:tcPr>
            <w:tcW w:w="140" w:type="dxa"/>
            <w:vAlign w:val="bottom"/>
            <w:shd w:val="clear" w:color="auto" w:fill="D2EDFE"/>
          </w:tcPr>
          <w:p>
            <w:pPr>
              <w:spacing w:after="0"/>
              <w:rPr>
                <w:sz w:val="18"/>
                <w:szCs w:val="18"/>
                <w:color w:val="auto"/>
              </w:rPr>
            </w:pPr>
          </w:p>
        </w:tc>
        <w:tc>
          <w:tcPr>
            <w:tcW w:w="14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b w:val="1"/>
                <w:bCs w:val="1"/>
                <w:color w:val="auto"/>
              </w:rPr>
              <w:t>22.1 %</w:t>
            </w:r>
          </w:p>
        </w:tc>
        <w:tc>
          <w:tcPr>
            <w:tcW w:w="80" w:type="dxa"/>
            <w:vAlign w:val="bottom"/>
            <w:shd w:val="clear" w:color="auto" w:fill="D2EDFE"/>
          </w:tcPr>
          <w:p>
            <w:pPr>
              <w:spacing w:after="0"/>
              <w:rPr>
                <w:sz w:val="18"/>
                <w:szCs w:val="18"/>
                <w:color w:val="auto"/>
              </w:rPr>
            </w:pPr>
          </w:p>
        </w:tc>
        <w:tc>
          <w:tcPr>
            <w:tcW w:w="380" w:type="dxa"/>
            <w:vAlign w:val="bottom"/>
            <w:shd w:val="clear" w:color="auto" w:fill="D2EDFE"/>
          </w:tcPr>
          <w:p>
            <w:pPr>
              <w:spacing w:after="0"/>
              <w:rPr>
                <w:sz w:val="18"/>
                <w:szCs w:val="18"/>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b w:val="1"/>
                <w:bCs w:val="1"/>
                <w:color w:val="auto"/>
              </w:rPr>
              <w:t>23.0 %</w:t>
            </w:r>
          </w:p>
        </w:tc>
      </w:tr>
    </w:tbl>
    <w:p>
      <w:pPr>
        <w:spacing w:after="0" w:line="264" w:lineRule="exact"/>
        <w:rPr>
          <w:sz w:val="20"/>
          <w:szCs w:val="20"/>
          <w:color w:val="auto"/>
        </w:rPr>
      </w:pPr>
    </w:p>
    <w:p>
      <w:pPr>
        <w:ind w:left="620" w:hanging="616"/>
        <w:spacing w:after="0" w:line="267" w:lineRule="auto"/>
        <w:tabs>
          <w:tab w:leader="none" w:pos="33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consolidated financial statements included in this Annual Report on Form 10-K for further discussion.</w:t>
      </w:r>
    </w:p>
    <w:p>
      <w:pPr>
        <w:spacing w:after="0" w:line="179"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relates to settlement costs for non-recurring litigation of $0.9 million for the twelve months ended December 31, 2024.</w:t>
      </w:r>
    </w:p>
    <w:p>
      <w:pPr>
        <w:spacing w:after="0" w:line="14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For the twelve months ended December 31, 2024, 2023, and 2022 pre-opening de novo and relocation costs were $1.0 million, $3.3 million, and $4.3 million,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Adjusted Net Income and Adjusted Net Income per Share to net loss, the most directly comparable GAAP financial measure: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0"/>
        </w:trPr>
        <w:tc>
          <w:tcPr>
            <w:tcW w:w="668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2EDFE"/>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D2EDFE"/>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0"/>
        </w:trPr>
        <w:tc>
          <w:tcPr>
            <w:tcW w:w="66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40" w:type="dxa"/>
            <w:vAlign w:val="bottom"/>
            <w:shd w:val="clear" w:color="auto" w:fill="D2EDFE"/>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80" w:type="dxa"/>
            <w:vAlign w:val="bottom"/>
            <w:shd w:val="clear" w:color="auto" w:fill="D2EDFE"/>
          </w:tcPr>
          <w:p>
            <w:pPr>
              <w:spacing w:after="0"/>
              <w:rPr>
                <w:sz w:val="19"/>
                <w:szCs w:val="19"/>
                <w:color w:val="auto"/>
              </w:rPr>
            </w:pPr>
          </w:p>
        </w:tc>
        <w:tc>
          <w:tcPr>
            <w:tcW w:w="220" w:type="dxa"/>
            <w:vAlign w:val="bottom"/>
            <w:shd w:val="clear" w:color="auto" w:fill="D2EDFE"/>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(4,479)</w:t>
            </w:r>
          </w:p>
        </w:tc>
        <w:tc>
          <w:tcPr>
            <w:tcW w:w="100" w:type="dxa"/>
            <w:vAlign w:val="bottom"/>
            <w:shd w:val="clear" w:color="auto" w:fill="D2EDFE"/>
          </w:tcPr>
          <w:p>
            <w:pPr>
              <w:spacing w:after="0"/>
              <w:rPr>
                <w:sz w:val="19"/>
                <w:szCs w:val="19"/>
                <w:color w:val="auto"/>
              </w:rPr>
            </w:pPr>
          </w:p>
        </w:tc>
        <w:tc>
          <w:tcPr>
            <w:tcW w:w="360" w:type="dxa"/>
            <w:vAlign w:val="bottom"/>
            <w:shd w:val="clear" w:color="auto" w:fill="D2EDFE"/>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(14,679)</w:t>
            </w:r>
          </w:p>
        </w:tc>
      </w:tr>
      <w:tr>
        <w:trPr>
          <w:trHeight w:val="221"/>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Plus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1"/>
        </w:trPr>
        <w:tc>
          <w:tcPr>
            <w:tcW w:w="6680" w:type="dxa"/>
            <w:vAlign w:val="bottom"/>
            <w:shd w:val="clear" w:color="auto" w:fill="D2EDFE"/>
          </w:tcPr>
          <w:p>
            <w:pPr>
              <w:ind w:left="120"/>
              <w:spacing w:after="0" w:line="222" w:lineRule="exact"/>
              <w:rPr>
                <w:sz w:val="20"/>
                <w:szCs w:val="20"/>
                <w:color w:val="auto"/>
              </w:rPr>
            </w:pPr>
            <w:r>
              <w:rPr>
                <w:rFonts w:ascii="Times New Roman" w:cs="Times New Roman" w:eastAsia="Times New Roman" w:hAnsi="Times New Roman"/>
                <w:sz w:val="17"/>
                <w:szCs w:val="17"/>
                <w:color w:val="auto"/>
              </w:rPr>
              <w:t>Equity-based compensation</w:t>
            </w:r>
            <w:r>
              <w:rPr>
                <w:rFonts w:ascii="Times New Roman" w:cs="Times New Roman" w:eastAsia="Times New Roman" w:hAnsi="Times New Roman"/>
                <w:sz w:val="22"/>
                <w:szCs w:val="22"/>
                <w:color w:val="auto"/>
                <w:vertAlign w:val="superscript"/>
              </w:rPr>
              <w:t>(1)</w:t>
            </w:r>
          </w:p>
        </w:tc>
        <w:tc>
          <w:tcPr>
            <w:tcW w:w="34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3,762</w:t>
            </w:r>
          </w:p>
        </w:tc>
        <w:tc>
          <w:tcPr>
            <w:tcW w:w="8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18,224</w:t>
            </w:r>
          </w:p>
        </w:tc>
        <w:tc>
          <w:tcPr>
            <w:tcW w:w="100" w:type="dxa"/>
            <w:vAlign w:val="bottom"/>
            <w:shd w:val="clear" w:color="auto" w:fill="D2EDFE"/>
          </w:tcPr>
          <w:p>
            <w:pPr>
              <w:spacing w:after="0"/>
              <w:rPr>
                <w:sz w:val="19"/>
                <w:szCs w:val="19"/>
                <w:color w:val="auto"/>
              </w:rPr>
            </w:pP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29,457</w:t>
            </w:r>
          </w:p>
        </w:tc>
      </w:tr>
      <w:tr>
        <w:trPr>
          <w:trHeight w:val="221"/>
        </w:trPr>
        <w:tc>
          <w:tcPr>
            <w:tcW w:w="6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on debt modification</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w:t>
            </w:r>
          </w:p>
        </w:tc>
      </w:tr>
      <w:tr>
        <w:trPr>
          <w:trHeight w:val="221"/>
        </w:trPr>
        <w:tc>
          <w:tcPr>
            <w:tcW w:w="6680" w:type="dxa"/>
            <w:vAlign w:val="bottom"/>
            <w:shd w:val="clear" w:color="auto" w:fill="D2EDFE"/>
          </w:tcPr>
          <w:p>
            <w:pPr>
              <w:ind w:left="120"/>
              <w:spacing w:after="0"/>
              <w:rPr>
                <w:sz w:val="20"/>
                <w:szCs w:val="20"/>
                <w:color w:val="auto"/>
              </w:rPr>
            </w:pPr>
            <w:r>
              <w:rPr>
                <w:rFonts w:ascii="Times New Roman" w:cs="Times New Roman" w:eastAsia="Times New Roman" w:hAnsi="Times New Roman"/>
                <w:sz w:val="17"/>
                <w:szCs w:val="17"/>
                <w:color w:val="auto"/>
              </w:rPr>
              <w:t>IPO related costs</w:t>
            </w:r>
          </w:p>
        </w:tc>
        <w:tc>
          <w:tcPr>
            <w:tcW w:w="340" w:type="dxa"/>
            <w:vAlign w:val="bottom"/>
            <w:shd w:val="clear" w:color="auto" w:fill="D2EDFE"/>
          </w:tcPr>
          <w:p>
            <w:pPr>
              <w:spacing w:after="0"/>
              <w:rPr>
                <w:sz w:val="19"/>
                <w:szCs w:val="19"/>
                <w:color w:val="auto"/>
              </w:rPr>
            </w:pPr>
          </w:p>
        </w:tc>
        <w:tc>
          <w:tcPr>
            <w:tcW w:w="1200" w:type="dxa"/>
            <w:vAlign w:val="bottom"/>
            <w:gridSpan w:val="2"/>
            <w:shd w:val="clear" w:color="auto" w:fill="D2EDFE"/>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D2EDFE"/>
          </w:tcPr>
          <w:p>
            <w:pPr>
              <w:spacing w:after="0"/>
              <w:rPr>
                <w:sz w:val="19"/>
                <w:szCs w:val="19"/>
                <w:color w:val="auto"/>
              </w:rPr>
            </w:pPr>
          </w:p>
        </w:tc>
        <w:tc>
          <w:tcPr>
            <w:tcW w:w="1320" w:type="dxa"/>
            <w:vAlign w:val="bottom"/>
            <w:gridSpan w:val="2"/>
            <w:shd w:val="clear" w:color="auto" w:fill="D2EDFE"/>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731</w:t>
            </w:r>
          </w:p>
        </w:tc>
      </w:tr>
      <w:tr>
        <w:trPr>
          <w:trHeight w:val="221"/>
        </w:trPr>
        <w:tc>
          <w:tcPr>
            <w:tcW w:w="6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and related severance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4,111</w:t>
            </w:r>
          </w:p>
        </w:tc>
      </w:tr>
      <w:tr>
        <w:trPr>
          <w:trHeight w:val="221"/>
        </w:trPr>
        <w:tc>
          <w:tcPr>
            <w:tcW w:w="6680" w:type="dxa"/>
            <w:vAlign w:val="bottom"/>
            <w:shd w:val="clear" w:color="auto" w:fill="D2EDFE"/>
          </w:tcPr>
          <w:p>
            <w:pPr>
              <w:ind w:left="120"/>
              <w:spacing w:after="0"/>
              <w:rPr>
                <w:sz w:val="20"/>
                <w:szCs w:val="20"/>
                <w:color w:val="auto"/>
              </w:rPr>
            </w:pPr>
            <w:r>
              <w:rPr>
                <w:rFonts w:ascii="Times New Roman" w:cs="Times New Roman" w:eastAsia="Times New Roman" w:hAnsi="Times New Roman"/>
                <w:sz w:val="17"/>
                <w:szCs w:val="17"/>
                <w:color w:val="auto"/>
              </w:rPr>
              <w:t>Loss/(gain) on disposal of long-lived assets</w:t>
            </w:r>
          </w:p>
        </w:tc>
        <w:tc>
          <w:tcPr>
            <w:tcW w:w="34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D2EDFE"/>
          </w:tcPr>
          <w:p>
            <w:pPr>
              <w:spacing w:after="0"/>
              <w:rPr>
                <w:sz w:val="19"/>
                <w:szCs w:val="19"/>
                <w:color w:val="auto"/>
              </w:rPr>
            </w:pP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21"/>
        </w:trPr>
        <w:tc>
          <w:tcPr>
            <w:tcW w:w="6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Litigation settlements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680" w:type="dxa"/>
            <w:vAlign w:val="bottom"/>
            <w:shd w:val="clear" w:color="auto" w:fill="D2EDFE"/>
          </w:tcPr>
          <w:p>
            <w:pPr>
              <w:ind w:left="120"/>
              <w:spacing w:after="0"/>
              <w:rPr>
                <w:sz w:val="20"/>
                <w:szCs w:val="20"/>
                <w:color w:val="auto"/>
              </w:rPr>
            </w:pPr>
            <w:r>
              <w:rPr>
                <w:rFonts w:ascii="Times New Roman" w:cs="Times New Roman" w:eastAsia="Times New Roman" w:hAnsi="Times New Roman"/>
                <w:sz w:val="17"/>
                <w:szCs w:val="17"/>
                <w:color w:val="auto"/>
              </w:rPr>
              <w:t>Tax effect of adjustments</w:t>
            </w:r>
          </w:p>
        </w:tc>
        <w:tc>
          <w:tcPr>
            <w:tcW w:w="340" w:type="dxa"/>
            <w:vAlign w:val="bottom"/>
            <w:tcBorders>
              <w:bottom w:val="single" w:sz="8" w:color="auto"/>
            </w:tcBorders>
            <w:shd w:val="clear" w:color="auto" w:fill="D2EDFE"/>
          </w:tcPr>
          <w:p>
            <w:pPr>
              <w:spacing w:after="0"/>
              <w:rPr>
                <w:sz w:val="19"/>
                <w:szCs w:val="19"/>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80" w:type="dxa"/>
            <w:vAlign w:val="bottom"/>
            <w:shd w:val="clear" w:color="auto" w:fill="D2EDFE"/>
          </w:tcPr>
          <w:p>
            <w:pPr>
              <w:spacing w:after="0"/>
              <w:rPr>
                <w:sz w:val="19"/>
                <w:szCs w:val="19"/>
                <w:color w:val="auto"/>
              </w:rPr>
            </w:pPr>
          </w:p>
        </w:tc>
        <w:tc>
          <w:tcPr>
            <w:tcW w:w="220" w:type="dxa"/>
            <w:vAlign w:val="bottom"/>
            <w:tcBorders>
              <w:bottom w:val="single" w:sz="8" w:color="auto"/>
            </w:tcBorders>
            <w:shd w:val="clear" w:color="auto" w:fill="D2EDFE"/>
          </w:tcPr>
          <w:p>
            <w:pPr>
              <w:spacing w:after="0"/>
              <w:rPr>
                <w:sz w:val="19"/>
                <w:szCs w:val="19"/>
                <w:color w:val="auto"/>
              </w:rPr>
            </w:pPr>
          </w:p>
        </w:tc>
        <w:tc>
          <w:tcPr>
            <w:tcW w:w="12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(2,732)</w:t>
            </w:r>
          </w:p>
        </w:tc>
        <w:tc>
          <w:tcPr>
            <w:tcW w:w="100" w:type="dxa"/>
            <w:vAlign w:val="bottom"/>
            <w:shd w:val="clear" w:color="auto" w:fill="D2EDFE"/>
          </w:tcPr>
          <w:p>
            <w:pPr>
              <w:spacing w:after="0"/>
              <w:rPr>
                <w:sz w:val="19"/>
                <w:szCs w:val="19"/>
                <w:color w:val="auto"/>
              </w:rPr>
            </w:pPr>
          </w:p>
        </w:tc>
        <w:tc>
          <w:tcPr>
            <w:tcW w:w="360" w:type="dxa"/>
            <w:vAlign w:val="bottom"/>
            <w:tcBorders>
              <w:bottom w:val="single" w:sz="8" w:color="auto"/>
            </w:tcBorders>
            <w:shd w:val="clear" w:color="auto" w:fill="D2EDFE"/>
          </w:tcPr>
          <w:p>
            <w:pPr>
              <w:spacing w:after="0"/>
              <w:rPr>
                <w:sz w:val="19"/>
                <w:szCs w:val="19"/>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(2,195)</w:t>
            </w:r>
          </w:p>
        </w:tc>
      </w:tr>
      <w:tr>
        <w:trPr>
          <w:trHeight w:val="214"/>
        </w:trPr>
        <w:tc>
          <w:tcPr>
            <w:tcW w:w="668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(loss)/income</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1,132</w:t>
            </w:r>
          </w:p>
        </w:tc>
        <w:tc>
          <w:tcPr>
            <w:tcW w:w="80" w:type="dxa"/>
            <w:vAlign w:val="bottom"/>
            <w:tcBorders>
              <w:bottom w:val="single" w:sz="8" w:color="D2EDFE"/>
            </w:tcBorders>
          </w:tcPr>
          <w:p>
            <w:pPr>
              <w:spacing w:after="0"/>
              <w:rPr>
                <w:sz w:val="18"/>
                <w:szCs w:val="18"/>
                <w:color w:val="auto"/>
              </w:rPr>
            </w:pPr>
          </w:p>
        </w:tc>
        <w:tc>
          <w:tcPr>
            <w:tcW w:w="2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16,289</w:t>
            </w:r>
          </w:p>
        </w:tc>
        <w:tc>
          <w:tcPr>
            <w:tcW w:w="100" w:type="dxa"/>
            <w:vAlign w:val="bottom"/>
            <w:tcBorders>
              <w:bottom w:val="single" w:sz="8" w:color="D2EDFE"/>
            </w:tcBorders>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18,504</w:t>
            </w:r>
          </w:p>
        </w:tc>
      </w:tr>
      <w:tr>
        <w:trPr>
          <w:trHeight w:val="240"/>
        </w:trPr>
        <w:tc>
          <w:tcPr>
            <w:tcW w:w="6680" w:type="dxa"/>
            <w:vAlign w:val="bottom"/>
            <w:shd w:val="clear" w:color="auto" w:fill="D2EDFE"/>
          </w:tcPr>
          <w:p>
            <w:pPr>
              <w:spacing w:after="0"/>
              <w:rPr>
                <w:sz w:val="20"/>
                <w:szCs w:val="20"/>
                <w:color w:val="auto"/>
              </w:rPr>
            </w:pPr>
          </w:p>
        </w:tc>
        <w:tc>
          <w:tcPr>
            <w:tcW w:w="340" w:type="dxa"/>
            <w:vAlign w:val="bottom"/>
            <w:shd w:val="clear" w:color="auto" w:fill="D2EDFE"/>
          </w:tcPr>
          <w:p>
            <w:pPr>
              <w:spacing w:after="0"/>
              <w:rPr>
                <w:sz w:val="20"/>
                <w:szCs w:val="20"/>
                <w:color w:val="auto"/>
              </w:rPr>
            </w:pPr>
          </w:p>
        </w:tc>
        <w:tc>
          <w:tcPr>
            <w:tcW w:w="1120" w:type="dxa"/>
            <w:vAlign w:val="bottom"/>
            <w:shd w:val="clear" w:color="auto" w:fill="D2EDFE"/>
          </w:tcPr>
          <w:p>
            <w:pPr>
              <w:spacing w:after="0"/>
              <w:rPr>
                <w:sz w:val="20"/>
                <w:szCs w:val="20"/>
                <w:color w:val="auto"/>
              </w:rPr>
            </w:pPr>
          </w:p>
        </w:tc>
        <w:tc>
          <w:tcPr>
            <w:tcW w:w="80" w:type="dxa"/>
            <w:vAlign w:val="bottom"/>
            <w:shd w:val="clear" w:color="auto" w:fill="D2EDFE"/>
          </w:tcPr>
          <w:p>
            <w:pPr>
              <w:spacing w:after="0"/>
              <w:rPr>
                <w:sz w:val="20"/>
                <w:szCs w:val="20"/>
                <w:color w:val="auto"/>
              </w:rPr>
            </w:pPr>
          </w:p>
        </w:tc>
        <w:tc>
          <w:tcPr>
            <w:tcW w:w="220" w:type="dxa"/>
            <w:vAlign w:val="bottom"/>
            <w:shd w:val="clear" w:color="auto" w:fill="D2EDFE"/>
          </w:tcPr>
          <w:p>
            <w:pPr>
              <w:spacing w:after="0"/>
              <w:rPr>
                <w:sz w:val="20"/>
                <w:szCs w:val="20"/>
                <w:color w:val="auto"/>
              </w:rPr>
            </w:pPr>
          </w:p>
        </w:tc>
        <w:tc>
          <w:tcPr>
            <w:tcW w:w="1220" w:type="dxa"/>
            <w:vAlign w:val="bottom"/>
            <w:shd w:val="clear" w:color="auto" w:fill="D2EDFE"/>
          </w:tcPr>
          <w:p>
            <w:pPr>
              <w:spacing w:after="0"/>
              <w:rPr>
                <w:sz w:val="20"/>
                <w:szCs w:val="20"/>
                <w:color w:val="auto"/>
              </w:rPr>
            </w:pPr>
          </w:p>
        </w:tc>
        <w:tc>
          <w:tcPr>
            <w:tcW w:w="100" w:type="dxa"/>
            <w:vAlign w:val="bottom"/>
            <w:shd w:val="clear" w:color="auto" w:fill="D2EDFE"/>
          </w:tcPr>
          <w:p>
            <w:pPr>
              <w:spacing w:after="0"/>
              <w:rPr>
                <w:sz w:val="20"/>
                <w:szCs w:val="20"/>
                <w:color w:val="auto"/>
              </w:rPr>
            </w:pPr>
          </w:p>
        </w:tc>
        <w:tc>
          <w:tcPr>
            <w:tcW w:w="360" w:type="dxa"/>
            <w:vAlign w:val="bottom"/>
            <w:shd w:val="clear" w:color="auto" w:fill="D2EDFE"/>
          </w:tcPr>
          <w:p>
            <w:pPr>
              <w:spacing w:after="0"/>
              <w:rPr>
                <w:sz w:val="20"/>
                <w:szCs w:val="20"/>
                <w:color w:val="auto"/>
              </w:rPr>
            </w:pPr>
          </w:p>
        </w:tc>
        <w:tc>
          <w:tcPr>
            <w:tcW w:w="1120" w:type="dxa"/>
            <w:vAlign w:val="bottom"/>
            <w:shd w:val="clear" w:color="auto" w:fill="D2EDFE"/>
          </w:tcPr>
          <w:p>
            <w:pPr>
              <w:spacing w:after="0"/>
              <w:rPr>
                <w:sz w:val="20"/>
                <w:szCs w:val="20"/>
                <w:color w:val="auto"/>
              </w:rPr>
            </w:pPr>
          </w:p>
        </w:tc>
      </w:tr>
      <w:tr>
        <w:trPr>
          <w:trHeight w:val="260"/>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Adjusted net (loss)/income per share of common stock </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0"/>
        </w:trPr>
        <w:tc>
          <w:tcPr>
            <w:tcW w:w="6680" w:type="dxa"/>
            <w:vAlign w:val="bottom"/>
            <w:shd w:val="clear" w:color="auto" w:fill="D2EDFE"/>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shd w:val="clear" w:color="auto" w:fill="D2EDFE"/>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80" w:type="dxa"/>
            <w:vAlign w:val="bottom"/>
            <w:shd w:val="clear" w:color="auto" w:fill="D2EDFE"/>
          </w:tcPr>
          <w:p>
            <w:pPr>
              <w:spacing w:after="0"/>
              <w:rPr>
                <w:sz w:val="22"/>
                <w:szCs w:val="22"/>
                <w:color w:val="auto"/>
              </w:rPr>
            </w:pPr>
          </w:p>
        </w:tc>
        <w:tc>
          <w:tcPr>
            <w:tcW w:w="220" w:type="dxa"/>
            <w:vAlign w:val="bottom"/>
            <w:shd w:val="clear" w:color="auto" w:fill="D2EDFE"/>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shd w:val="clear" w:color="auto" w:fill="D2EDFE"/>
          </w:tcPr>
          <w:p>
            <w:pPr>
              <w:spacing w:after="0"/>
              <w:rPr>
                <w:sz w:val="22"/>
                <w:szCs w:val="22"/>
                <w:color w:val="auto"/>
              </w:rPr>
            </w:pPr>
          </w:p>
        </w:tc>
        <w:tc>
          <w:tcPr>
            <w:tcW w:w="360" w:type="dxa"/>
            <w:vAlign w:val="bottom"/>
            <w:shd w:val="clear" w:color="auto" w:fill="D2EDFE"/>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0.33</w:t>
            </w:r>
          </w:p>
        </w:tc>
      </w:tr>
      <w:tr>
        <w:trPr>
          <w:trHeight w:val="254"/>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80" w:type="dxa"/>
            <w:vAlign w:val="bottom"/>
          </w:tcPr>
          <w:p>
            <w:pPr>
              <w:spacing w:after="0"/>
              <w:rPr>
                <w:sz w:val="22"/>
                <w:szCs w:val="22"/>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00" w:type="dxa"/>
            <w:vAlign w:val="bottom"/>
          </w:tcPr>
          <w:p>
            <w:pPr>
              <w:spacing w:after="0"/>
              <w:rPr>
                <w:sz w:val="22"/>
                <w:szCs w:val="22"/>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0.32</w:t>
            </w:r>
          </w:p>
        </w:tc>
      </w:tr>
      <w:tr>
        <w:trPr>
          <w:trHeight w:val="247"/>
        </w:trPr>
        <w:tc>
          <w:tcPr>
            <w:tcW w:w="6680" w:type="dxa"/>
            <w:vAlign w:val="bottom"/>
            <w:tcBorders>
              <w:bottom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340" w:type="dxa"/>
            <w:vAlign w:val="bottom"/>
            <w:tcBorders>
              <w:bottom w:val="single" w:sz="8" w:color="D2EDFE"/>
            </w:tcBorders>
            <w:shd w:val="clear" w:color="auto" w:fill="D2EDFE"/>
          </w:tcPr>
          <w:p>
            <w:pPr>
              <w:spacing w:after="0"/>
              <w:rPr>
                <w:sz w:val="21"/>
                <w:szCs w:val="21"/>
                <w:color w:val="auto"/>
              </w:rPr>
            </w:pPr>
          </w:p>
        </w:tc>
        <w:tc>
          <w:tcPr>
            <w:tcW w:w="1120" w:type="dxa"/>
            <w:vAlign w:val="bottom"/>
            <w:tcBorders>
              <w:bottom w:val="single" w:sz="8" w:color="D2EDFE"/>
            </w:tcBorders>
            <w:shd w:val="clear" w:color="auto" w:fill="D2EDFE"/>
          </w:tcPr>
          <w:p>
            <w:pPr>
              <w:spacing w:after="0"/>
              <w:rPr>
                <w:sz w:val="21"/>
                <w:szCs w:val="21"/>
                <w:color w:val="auto"/>
              </w:rPr>
            </w:pPr>
          </w:p>
        </w:tc>
        <w:tc>
          <w:tcPr>
            <w:tcW w:w="80" w:type="dxa"/>
            <w:vAlign w:val="bottom"/>
            <w:tcBorders>
              <w:bottom w:val="single" w:sz="8" w:color="D2EDFE"/>
            </w:tcBorders>
            <w:shd w:val="clear" w:color="auto" w:fill="D2EDFE"/>
          </w:tcPr>
          <w:p>
            <w:pPr>
              <w:spacing w:after="0"/>
              <w:rPr>
                <w:sz w:val="21"/>
                <w:szCs w:val="21"/>
                <w:color w:val="auto"/>
              </w:rPr>
            </w:pPr>
          </w:p>
        </w:tc>
        <w:tc>
          <w:tcPr>
            <w:tcW w:w="220" w:type="dxa"/>
            <w:vAlign w:val="bottom"/>
            <w:tcBorders>
              <w:bottom w:val="single" w:sz="8" w:color="D2EDFE"/>
            </w:tcBorders>
            <w:shd w:val="clear" w:color="auto" w:fill="D2EDFE"/>
          </w:tcPr>
          <w:p>
            <w:pPr>
              <w:spacing w:after="0"/>
              <w:rPr>
                <w:sz w:val="21"/>
                <w:szCs w:val="21"/>
                <w:color w:val="auto"/>
              </w:rPr>
            </w:pPr>
          </w:p>
        </w:tc>
        <w:tc>
          <w:tcPr>
            <w:tcW w:w="1220" w:type="dxa"/>
            <w:vAlign w:val="bottom"/>
            <w:tcBorders>
              <w:bottom w:val="single" w:sz="8" w:color="D2EDFE"/>
            </w:tcBorders>
            <w:shd w:val="clear" w:color="auto" w:fill="D2EDFE"/>
          </w:tcPr>
          <w:p>
            <w:pPr>
              <w:spacing w:after="0"/>
              <w:rPr>
                <w:sz w:val="21"/>
                <w:szCs w:val="21"/>
                <w:color w:val="auto"/>
              </w:rPr>
            </w:pPr>
          </w:p>
        </w:tc>
        <w:tc>
          <w:tcPr>
            <w:tcW w:w="100" w:type="dxa"/>
            <w:vAlign w:val="bottom"/>
            <w:tcBorders>
              <w:bottom w:val="single" w:sz="8" w:color="D2EDFE"/>
            </w:tcBorders>
            <w:shd w:val="clear" w:color="auto" w:fill="D2EDFE"/>
          </w:tcPr>
          <w:p>
            <w:pPr>
              <w:spacing w:after="0"/>
              <w:rPr>
                <w:sz w:val="21"/>
                <w:szCs w:val="21"/>
                <w:color w:val="auto"/>
              </w:rPr>
            </w:pPr>
          </w:p>
        </w:tc>
        <w:tc>
          <w:tcPr>
            <w:tcW w:w="360" w:type="dxa"/>
            <w:vAlign w:val="bottom"/>
            <w:tcBorders>
              <w:bottom w:val="single" w:sz="8" w:color="D2EDFE"/>
            </w:tcBorders>
            <w:shd w:val="clear" w:color="auto" w:fill="D2EDFE"/>
          </w:tcPr>
          <w:p>
            <w:pPr>
              <w:spacing w:after="0"/>
              <w:rPr>
                <w:sz w:val="21"/>
                <w:szCs w:val="21"/>
                <w:color w:val="auto"/>
              </w:rPr>
            </w:pPr>
          </w:p>
        </w:tc>
        <w:tc>
          <w:tcPr>
            <w:tcW w:w="1120" w:type="dxa"/>
            <w:vAlign w:val="bottom"/>
            <w:tcBorders>
              <w:bottom w:val="single" w:sz="8" w:color="D2EDFE"/>
            </w:tcBorders>
            <w:shd w:val="clear" w:color="auto" w:fill="D2EDFE"/>
          </w:tcPr>
          <w:p>
            <w:pPr>
              <w:spacing w:after="0"/>
              <w:rPr>
                <w:sz w:val="21"/>
                <w:szCs w:val="21"/>
                <w:color w:val="auto"/>
              </w:rPr>
            </w:pPr>
          </w:p>
        </w:tc>
      </w:tr>
      <w:tr>
        <w:trPr>
          <w:trHeight w:val="254"/>
        </w:trPr>
        <w:tc>
          <w:tcPr>
            <w:tcW w:w="6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57,688,906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56,778,793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55,684,701</w:t>
            </w:r>
          </w:p>
        </w:tc>
      </w:tr>
      <w:tr>
        <w:trPr>
          <w:trHeight w:val="267"/>
        </w:trPr>
        <w:tc>
          <w:tcPr>
            <w:tcW w:w="6680" w:type="dxa"/>
            <w:vAlign w:val="bottom"/>
            <w:shd w:val="clear" w:color="auto" w:fill="D2EDFE"/>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shd w:val="clear" w:color="auto" w:fill="D2EDFE"/>
          </w:tcPr>
          <w:p>
            <w:pPr>
              <w:spacing w:after="0"/>
              <w:rPr>
                <w:sz w:val="23"/>
                <w:szCs w:val="23"/>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58,281,133</w:t>
            </w:r>
          </w:p>
        </w:tc>
        <w:tc>
          <w:tcPr>
            <w:tcW w:w="80" w:type="dxa"/>
            <w:vAlign w:val="bottom"/>
            <w:shd w:val="clear" w:color="auto" w:fill="D2EDFE"/>
          </w:tcPr>
          <w:p>
            <w:pPr>
              <w:spacing w:after="0"/>
              <w:rPr>
                <w:sz w:val="23"/>
                <w:szCs w:val="23"/>
                <w:color w:val="auto"/>
              </w:rPr>
            </w:pPr>
          </w:p>
        </w:tc>
        <w:tc>
          <w:tcPr>
            <w:tcW w:w="220" w:type="dxa"/>
            <w:vAlign w:val="bottom"/>
            <w:shd w:val="clear" w:color="auto" w:fill="D2EDFE"/>
          </w:tcPr>
          <w:p>
            <w:pPr>
              <w:spacing w:after="0"/>
              <w:rPr>
                <w:sz w:val="23"/>
                <w:szCs w:val="23"/>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57,611,469</w:t>
            </w:r>
          </w:p>
        </w:tc>
        <w:tc>
          <w:tcPr>
            <w:tcW w:w="100" w:type="dxa"/>
            <w:vAlign w:val="bottom"/>
            <w:shd w:val="clear" w:color="auto" w:fill="D2EDFE"/>
          </w:tcPr>
          <w:p>
            <w:pPr>
              <w:spacing w:after="0"/>
              <w:rPr>
                <w:sz w:val="23"/>
                <w:szCs w:val="23"/>
                <w:color w:val="auto"/>
              </w:rPr>
            </w:pPr>
          </w:p>
        </w:tc>
        <w:tc>
          <w:tcPr>
            <w:tcW w:w="360" w:type="dxa"/>
            <w:vAlign w:val="bottom"/>
            <w:shd w:val="clear" w:color="auto" w:fill="D2EDFE"/>
          </w:tcPr>
          <w:p>
            <w:pPr>
              <w:spacing w:after="0"/>
              <w:rPr>
                <w:sz w:val="23"/>
                <w:szCs w:val="23"/>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57,918,005</w:t>
            </w:r>
          </w:p>
        </w:tc>
      </w:tr>
    </w:tbl>
    <w:p>
      <w:pPr>
        <w:spacing w:after="0" w:line="277" w:lineRule="exact"/>
        <w:rPr>
          <w:sz w:val="20"/>
          <w:szCs w:val="20"/>
          <w:color w:val="auto"/>
        </w:rPr>
      </w:pPr>
    </w:p>
    <w:p>
      <w:pPr>
        <w:ind w:left="620" w:hanging="616"/>
        <w:spacing w:after="0" w:line="258" w:lineRule="auto"/>
        <w:tabs>
          <w:tab w:leader="none" w:pos="33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consolidated financial statements included in this Annual Report on Form 10-K for further discussion.</w:t>
      </w:r>
    </w:p>
    <w:p>
      <w:pPr>
        <w:spacing w:after="0" w:line="184" w:lineRule="exact"/>
        <w:rPr>
          <w:rFonts w:ascii="Times New Roman" w:cs="Times New Roman" w:eastAsia="Times New Roman" w:hAnsi="Times New Roman"/>
          <w:sz w:val="14"/>
          <w:szCs w:val="14"/>
          <w:color w:val="auto"/>
        </w:rPr>
      </w:pPr>
    </w:p>
    <w:p>
      <w:pPr>
        <w:ind w:left="620" w:hanging="616"/>
        <w:spacing w:after="0" w:line="283" w:lineRule="auto"/>
        <w:tabs>
          <w:tab w:leader="none" w:pos="30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Adjusted Net Income Per Share is computed by dividing adjusted net income by the weighted-average number of shares of common stock outstanding adjusted for the dilutive effect of all potential shares of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Operating Structure</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owns and operates non-clinical assets and provides Management Services, through its wholly-owned subsidiaries, to our affiliated Professional Associations located across the United States under the MSAs. The Management Services provide for the administration of the non-clinical aspects of the medical operations and include, but are not limited to, financial, administrative, technical, marketing and personnel services. We do not practice medicine. The Professional Associations, which are all owned by licensed surgeons, are responsible for all clinical aspects of the medical operations that take place in each of our centers.</w:t>
      </w:r>
    </w:p>
    <w:p>
      <w:pPr>
        <w:spacing w:after="0" w:line="30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Our consolidated financial statements present the results of operations and financial position of the Company, its wholly-owned subsidiaries and each of the Professional Associations that we manage under the MSAs.</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Even though we do not have voting control over the Professional Associations, we have a long-term and unilateral controlling financial interest over such Professional Associations’ assets and operations under the MSAs. As a result, GAAP require us to consolidate the results of the Professional Associations into our financial statements. All of our revenue is earned from services provided by the Professional Associations we manage. See “Critical Accounting Policies and Estimates.”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revenue is generated from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procedures performed on our patients. We are 100% self-pay and do not accept payments from the U.S. federal government or payer organizations. We assist patients, as needed, by providing third-party financing options to pay for procedures. We have arrangements with various financing companies to</w:t>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facilitate this option. There is a financing transaction fee based on a set percentage of the amount financed. We recognize revenue based on the expected transaction price which is reduced for financing fees.</w:t>
      </w:r>
    </w:p>
    <w:p>
      <w:pPr>
        <w:spacing w:after="0" w:line="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Our policy is to require full payment for services in advance of performing a procedure. Payments received for which services have yet to been performed for all reported periods are included in deferred revenue and patient deposits on our balance sheets.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Service (excluding depreciation and amortization)</w:t>
      </w:r>
    </w:p>
    <w:p>
      <w:pPr>
        <w:spacing w:after="0" w:line="1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Cost of service is comprised of all service and product costs related to the delivery of procedures, including but not limited to compensation to our physicians and clinical staff, medical supply costs, and facility-related rent expense.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Selling, general and administrative consists of marketing and advertising expenses we incur to market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procedures to potential patients and general and administrative costs, including rent for our corporate offices.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Selling Expenses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Selling expenses consist of advertising costs for social, digital and traditional marketing and sales and marketing personnel. Our advertising costs include both national and site-based advertising used to generate greater awareness and engagement among our current and potential patients. Our advertising costs include social media, digital marketing and traditional advertising. Selling expenses include salaries and commissions for employees engaged in marketing and sales. We define our customer acquisition costs as the total selling expenses per case.</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generally expect our selling expenses to increase as we continue to grow our brand and expand our national footprint. We evaluate our selling expense as compared to growth in our sales volume and will invest accordingly to the extent we believe we can position ourselves for future growth without materially negatively impacting our Adjusted EBITDA Margins.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General and Administrative</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 We expect our general and administrative expenses to increase over time due to the additional legal, accounting, insurance, investor relations and other costs that we will continue to incur as a public company.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net consists primarily of interest costs on our outstanding borrowings under our debt.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66" w:lineRule="exact"/>
        <w:rPr>
          <w:sz w:val="20"/>
          <w:szCs w:val="20"/>
          <w:color w:val="auto"/>
        </w:rPr>
      </w:pPr>
    </w:p>
    <w:p>
      <w:pPr>
        <w:jc w:val="center"/>
        <w:ind w:left="440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44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180" w:type="dxa"/>
            <w:vAlign w:val="bottom"/>
          </w:tcPr>
          <w:p>
            <w:pPr>
              <w:spacing w:after="0"/>
              <w:rPr>
                <w:sz w:val="11"/>
                <w:szCs w:val="11"/>
                <w:color w:val="auto"/>
              </w:rPr>
            </w:pPr>
          </w:p>
        </w:tc>
        <w:tc>
          <w:tcPr>
            <w:tcW w:w="11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center"/>
              <w:ind w:right="196"/>
              <w:spacing w:after="0" w:line="129"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jc w:val="center"/>
              <w:ind w:right="176"/>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ind w:right="356"/>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0"/>
        </w:trPr>
        <w:tc>
          <w:tcPr>
            <w:tcW w:w="4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Revenue</w:t>
            </w:r>
          </w:p>
        </w:tc>
        <w:tc>
          <w:tcPr>
            <w:tcW w:w="1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0"/>
        </w:trPr>
        <w:tc>
          <w:tcPr>
            <w:tcW w:w="442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180,350</w:t>
            </w:r>
          </w:p>
        </w:tc>
        <w:tc>
          <w:tcPr>
            <w:tcW w:w="10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tcBorders>
            <w:shd w:val="clear" w:color="auto" w:fill="D2EDFE"/>
          </w:tcPr>
          <w:p>
            <w:pPr>
              <w:spacing w:after="0"/>
              <w:rPr>
                <w:sz w:val="19"/>
                <w:szCs w:val="19"/>
                <w:color w:val="auto"/>
              </w:rPr>
            </w:pPr>
          </w:p>
        </w:tc>
        <w:tc>
          <w:tcPr>
            <w:tcW w:w="8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195,917</w:t>
            </w:r>
          </w:p>
        </w:tc>
        <w:tc>
          <w:tcPr>
            <w:tcW w:w="8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tcBorders>
            <w:shd w:val="clear" w:color="auto" w:fill="D2EDFE"/>
          </w:tcPr>
          <w:p>
            <w:pPr>
              <w:spacing w:after="0"/>
              <w:rPr>
                <w:sz w:val="19"/>
                <w:szCs w:val="19"/>
                <w:color w:val="auto"/>
              </w:rPr>
            </w:pPr>
          </w:p>
        </w:tc>
        <w:tc>
          <w:tcPr>
            <w:tcW w:w="8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168,794</w:t>
            </w:r>
          </w:p>
        </w:tc>
        <w:tc>
          <w:tcPr>
            <w:tcW w:w="100" w:type="dxa"/>
            <w:vAlign w:val="bottom"/>
            <w:tcBorders>
              <w:top w:val="single" w:sz="8" w:color="D2EDFE"/>
            </w:tcBorders>
            <w:shd w:val="clear" w:color="auto" w:fill="D2EDFE"/>
          </w:tcPr>
          <w:p>
            <w:pPr>
              <w:spacing w:after="0"/>
              <w:rPr>
                <w:sz w:val="19"/>
                <w:szCs w:val="19"/>
                <w:color w:val="auto"/>
              </w:rPr>
            </w:pPr>
          </w:p>
        </w:tc>
        <w:tc>
          <w:tcPr>
            <w:tcW w:w="220" w:type="dxa"/>
            <w:vAlign w:val="bottom"/>
            <w:tcBorders>
              <w:top w:val="single" w:sz="8" w:color="auto"/>
            </w:tcBorders>
            <w:shd w:val="clear" w:color="auto" w:fill="D2EDFE"/>
          </w:tcPr>
          <w:p>
            <w:pPr>
              <w:spacing w:after="0"/>
              <w:rPr>
                <w:sz w:val="19"/>
                <w:szCs w:val="19"/>
                <w:color w:val="auto"/>
              </w:rPr>
            </w:pPr>
          </w:p>
        </w:tc>
        <w:tc>
          <w:tcPr>
            <w:tcW w:w="9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21"/>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20" w:type="dxa"/>
            <w:vAlign w:val="bottom"/>
            <w:shd w:val="clear" w:color="auto" w:fill="D2EDFE"/>
          </w:tcPr>
          <w:p>
            <w:pPr>
              <w:ind w:left="120"/>
              <w:spacing w:after="0"/>
              <w:rPr>
                <w:sz w:val="20"/>
                <w:szCs w:val="20"/>
                <w:color w:val="auto"/>
              </w:rPr>
            </w:pPr>
            <w:r>
              <w:rPr>
                <w:rFonts w:ascii="Times New Roman" w:cs="Times New Roman" w:eastAsia="Times New Roman" w:hAnsi="Times New Roman"/>
                <w:sz w:val="17"/>
                <w:szCs w:val="17"/>
                <w:color w:val="auto"/>
              </w:rPr>
              <w:t>Cost of service</w:t>
            </w: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71,382</w:t>
            </w:r>
          </w:p>
        </w:tc>
        <w:tc>
          <w:tcPr>
            <w:tcW w:w="10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39.6 %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74,012</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37.8 %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62,781</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0" w:type="dxa"/>
            <w:vAlign w:val="bottom"/>
          </w:tcPr>
          <w:p>
            <w:pPr>
              <w:spacing w:after="0"/>
              <w:rPr>
                <w:sz w:val="1"/>
                <w:szCs w:val="1"/>
                <w:color w:val="auto"/>
              </w:rPr>
            </w:pPr>
          </w:p>
        </w:tc>
      </w:tr>
      <w:tr>
        <w:trPr>
          <w:trHeight w:val="221"/>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102,381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60.1 %</w:t>
            </w:r>
          </w:p>
        </w:tc>
        <w:tc>
          <w:tcPr>
            <w:tcW w:w="0" w:type="dxa"/>
            <w:vAlign w:val="bottom"/>
          </w:tcPr>
          <w:p>
            <w:pPr>
              <w:spacing w:after="0"/>
              <w:rPr>
                <w:sz w:val="1"/>
                <w:szCs w:val="1"/>
                <w:color w:val="auto"/>
              </w:rPr>
            </w:pPr>
          </w:p>
        </w:tc>
      </w:tr>
      <w:tr>
        <w:trPr>
          <w:trHeight w:val="221"/>
        </w:trPr>
        <w:tc>
          <w:tcPr>
            <w:tcW w:w="4420" w:type="dxa"/>
            <w:vAlign w:val="bottom"/>
            <w:shd w:val="clear" w:color="auto" w:fill="D2EDFE"/>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shd w:val="clear" w:color="auto" w:fill="D2EDFE"/>
          </w:tcPr>
          <w:p>
            <w:pPr>
              <w:spacing w:after="0"/>
              <w:rPr>
                <w:sz w:val="19"/>
                <w:szCs w:val="19"/>
                <w:color w:val="auto"/>
              </w:rPr>
            </w:pPr>
          </w:p>
        </w:tc>
        <w:tc>
          <w:tcPr>
            <w:tcW w:w="8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11,888</w:t>
            </w:r>
          </w:p>
        </w:tc>
        <w:tc>
          <w:tcPr>
            <w:tcW w:w="10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10,253</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88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8,061</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r>
        <w:trPr>
          <w:trHeight w:val="221"/>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Loss/(gain) on disposal of long-lived assets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0" w:type="dxa"/>
            <w:vAlign w:val="bottom"/>
          </w:tcPr>
          <w:p>
            <w:pPr>
              <w:spacing w:after="0"/>
              <w:rPr>
                <w:sz w:val="1"/>
                <w:szCs w:val="1"/>
                <w:color w:val="auto"/>
              </w:rPr>
            </w:pPr>
          </w:p>
        </w:tc>
      </w:tr>
      <w:tr>
        <w:trPr>
          <w:trHeight w:val="214"/>
        </w:trPr>
        <w:tc>
          <w:tcPr>
            <w:tcW w:w="4420" w:type="dxa"/>
            <w:vAlign w:val="bottom"/>
            <w:tcBorders>
              <w:top w:val="single" w:sz="8" w:color="D2EDFE"/>
            </w:tcBorders>
            <w:shd w:val="clear" w:color="auto" w:fill="D2EDFE"/>
          </w:tcPr>
          <w:p>
            <w:pPr>
              <w:ind w:left="1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top w:val="single" w:sz="8" w:color="auto"/>
              <w:bottom w:val="single" w:sz="8" w:color="auto"/>
            </w:tcBorders>
            <w:shd w:val="clear" w:color="auto" w:fill="D2EDFE"/>
          </w:tcPr>
          <w:p>
            <w:pPr>
              <w:spacing w:after="0"/>
              <w:rPr>
                <w:sz w:val="18"/>
                <w:szCs w:val="18"/>
                <w:color w:val="auto"/>
              </w:rPr>
            </w:pPr>
          </w:p>
        </w:tc>
        <w:tc>
          <w:tcPr>
            <w:tcW w:w="8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182,166</w:t>
            </w:r>
          </w:p>
        </w:tc>
        <w:tc>
          <w:tcPr>
            <w:tcW w:w="100" w:type="dxa"/>
            <w:vAlign w:val="bottom"/>
            <w:tcBorders>
              <w:top w:val="single" w:sz="8" w:color="D2EDFE"/>
            </w:tcBorders>
            <w:shd w:val="clear" w:color="auto" w:fill="D2EDFE"/>
          </w:tcPr>
          <w:p>
            <w:pPr>
              <w:spacing w:after="0"/>
              <w:rPr>
                <w:sz w:val="18"/>
                <w:szCs w:val="18"/>
                <w:color w:val="auto"/>
              </w:rPr>
            </w:pPr>
          </w:p>
        </w:tc>
        <w:tc>
          <w:tcPr>
            <w:tcW w:w="240" w:type="dxa"/>
            <w:vAlign w:val="bottom"/>
            <w:tcBorders>
              <w:top w:val="single" w:sz="8" w:color="auto"/>
              <w:bottom w:val="single" w:sz="8" w:color="auto"/>
            </w:tcBorders>
            <w:shd w:val="clear" w:color="auto" w:fill="D2EDFE"/>
          </w:tcPr>
          <w:p>
            <w:pPr>
              <w:spacing w:after="0"/>
              <w:rPr>
                <w:sz w:val="18"/>
                <w:szCs w:val="18"/>
                <w:color w:val="auto"/>
              </w:rPr>
            </w:pPr>
          </w:p>
        </w:tc>
        <w:tc>
          <w:tcPr>
            <w:tcW w:w="8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101.0 %</w:t>
            </w:r>
          </w:p>
        </w:tc>
        <w:tc>
          <w:tcPr>
            <w:tcW w:w="100" w:type="dxa"/>
            <w:vAlign w:val="bottom"/>
            <w:tcBorders>
              <w:top w:val="single" w:sz="8" w:color="D2EDFE"/>
            </w:tcBorders>
            <w:shd w:val="clear" w:color="auto" w:fill="D2EDFE"/>
          </w:tcPr>
          <w:p>
            <w:pPr>
              <w:spacing w:after="0"/>
              <w:rPr>
                <w:sz w:val="18"/>
                <w:szCs w:val="18"/>
                <w:color w:val="auto"/>
              </w:rPr>
            </w:pPr>
          </w:p>
        </w:tc>
        <w:tc>
          <w:tcPr>
            <w:tcW w:w="180" w:type="dxa"/>
            <w:vAlign w:val="bottom"/>
            <w:tcBorders>
              <w:top w:val="single" w:sz="8" w:color="auto"/>
              <w:bottom w:val="single" w:sz="8" w:color="auto"/>
            </w:tcBorders>
            <w:shd w:val="clear" w:color="auto" w:fill="D2EDFE"/>
          </w:tcPr>
          <w:p>
            <w:pPr>
              <w:spacing w:after="0"/>
              <w:rPr>
                <w:sz w:val="18"/>
                <w:szCs w:val="18"/>
                <w:color w:val="auto"/>
              </w:rPr>
            </w:pPr>
          </w:p>
        </w:tc>
        <w:tc>
          <w:tcPr>
            <w:tcW w:w="8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186,434</w:t>
            </w:r>
          </w:p>
        </w:tc>
        <w:tc>
          <w:tcPr>
            <w:tcW w:w="80" w:type="dxa"/>
            <w:vAlign w:val="bottom"/>
            <w:tcBorders>
              <w:top w:val="single" w:sz="8" w:color="D2EDFE"/>
            </w:tcBorders>
            <w:shd w:val="clear" w:color="auto" w:fill="D2EDFE"/>
          </w:tcPr>
          <w:p>
            <w:pPr>
              <w:spacing w:after="0"/>
              <w:rPr>
                <w:sz w:val="18"/>
                <w:szCs w:val="18"/>
                <w:color w:val="auto"/>
              </w:rPr>
            </w:pPr>
          </w:p>
        </w:tc>
        <w:tc>
          <w:tcPr>
            <w:tcW w:w="240" w:type="dxa"/>
            <w:vAlign w:val="bottom"/>
            <w:tcBorders>
              <w:top w:val="single" w:sz="8" w:color="auto"/>
              <w:bottom w:val="single" w:sz="8" w:color="auto"/>
            </w:tcBorders>
            <w:shd w:val="clear" w:color="auto" w:fill="D2EDFE"/>
          </w:tcPr>
          <w:p>
            <w:pPr>
              <w:spacing w:after="0"/>
              <w:rPr>
                <w:sz w:val="18"/>
                <w:szCs w:val="18"/>
                <w:color w:val="auto"/>
              </w:rPr>
            </w:pPr>
          </w:p>
        </w:tc>
        <w:tc>
          <w:tcPr>
            <w:tcW w:w="88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95.2 %</w:t>
            </w:r>
          </w:p>
        </w:tc>
        <w:tc>
          <w:tcPr>
            <w:tcW w:w="100" w:type="dxa"/>
            <w:vAlign w:val="bottom"/>
            <w:tcBorders>
              <w:top w:val="single" w:sz="8" w:color="D2EDFE"/>
            </w:tcBorders>
            <w:shd w:val="clear" w:color="auto" w:fill="D2EDFE"/>
          </w:tcPr>
          <w:p>
            <w:pPr>
              <w:spacing w:after="0"/>
              <w:rPr>
                <w:sz w:val="18"/>
                <w:szCs w:val="18"/>
                <w:color w:val="auto"/>
              </w:rPr>
            </w:pPr>
          </w:p>
        </w:tc>
        <w:tc>
          <w:tcPr>
            <w:tcW w:w="180" w:type="dxa"/>
            <w:vAlign w:val="bottom"/>
            <w:tcBorders>
              <w:top w:val="single" w:sz="8" w:color="auto"/>
              <w:bottom w:val="single" w:sz="8" w:color="auto"/>
            </w:tcBorders>
            <w:shd w:val="clear" w:color="auto" w:fill="D2EDFE"/>
          </w:tcPr>
          <w:p>
            <w:pPr>
              <w:spacing w:after="0"/>
              <w:rPr>
                <w:sz w:val="18"/>
                <w:szCs w:val="18"/>
                <w:color w:val="auto"/>
              </w:rPr>
            </w:pPr>
          </w:p>
        </w:tc>
        <w:tc>
          <w:tcPr>
            <w:tcW w:w="8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173,339</w:t>
            </w:r>
          </w:p>
        </w:tc>
        <w:tc>
          <w:tcPr>
            <w:tcW w:w="100" w:type="dxa"/>
            <w:vAlign w:val="bottom"/>
            <w:tcBorders>
              <w:top w:val="single" w:sz="8" w:color="D2EDFE"/>
            </w:tcBorders>
            <w:shd w:val="clear" w:color="auto" w:fill="D2EDFE"/>
          </w:tcPr>
          <w:p>
            <w:pPr>
              <w:spacing w:after="0"/>
              <w:rPr>
                <w:sz w:val="18"/>
                <w:szCs w:val="18"/>
                <w:color w:val="auto"/>
              </w:rPr>
            </w:pPr>
          </w:p>
        </w:tc>
        <w:tc>
          <w:tcPr>
            <w:tcW w:w="220" w:type="dxa"/>
            <w:vAlign w:val="bottom"/>
            <w:tcBorders>
              <w:top w:val="single" w:sz="8" w:color="auto"/>
              <w:bottom w:val="single" w:sz="8" w:color="auto"/>
            </w:tcBorders>
            <w:shd w:val="clear" w:color="auto" w:fill="D2EDFE"/>
          </w:tcPr>
          <w:p>
            <w:pPr>
              <w:spacing w:after="0"/>
              <w:rPr>
                <w:sz w:val="18"/>
                <w:szCs w:val="18"/>
                <w:color w:val="auto"/>
              </w:rPr>
            </w:pPr>
          </w:p>
        </w:tc>
        <w:tc>
          <w:tcPr>
            <w:tcW w:w="9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102.7 %</w:t>
            </w:r>
          </w:p>
        </w:tc>
        <w:tc>
          <w:tcPr>
            <w:tcW w:w="0" w:type="dxa"/>
            <w:vAlign w:val="bottom"/>
          </w:tcPr>
          <w:p>
            <w:pPr>
              <w:spacing w:after="0"/>
              <w:rPr>
                <w:sz w:val="1"/>
                <w:szCs w:val="1"/>
                <w:color w:val="auto"/>
              </w:rPr>
            </w:pPr>
          </w:p>
        </w:tc>
      </w:tr>
      <w:tr>
        <w:trPr>
          <w:trHeight w:val="214"/>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Loss/(income) from operations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1"/>
        </w:trPr>
        <w:tc>
          <w:tcPr>
            <w:tcW w:w="44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tcBorders>
              <w:bottom w:val="single" w:sz="8" w:color="auto"/>
            </w:tcBorders>
            <w:shd w:val="clear" w:color="auto" w:fill="D2EDFE"/>
          </w:tcPr>
          <w:p>
            <w:pPr>
              <w:spacing w:after="0"/>
              <w:rPr>
                <w:sz w:val="19"/>
                <w:szCs w:val="19"/>
                <w:color w:val="auto"/>
              </w:rPr>
            </w:pPr>
          </w:p>
        </w:tc>
        <w:tc>
          <w:tcPr>
            <w:tcW w:w="8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6,247</w:t>
            </w:r>
          </w:p>
        </w:tc>
        <w:tc>
          <w:tcPr>
            <w:tcW w:w="100" w:type="dxa"/>
            <w:vAlign w:val="bottom"/>
            <w:shd w:val="clear" w:color="auto" w:fill="D2EDFE"/>
          </w:tcPr>
          <w:p>
            <w:pPr>
              <w:spacing w:after="0"/>
              <w:rPr>
                <w:sz w:val="19"/>
                <w:szCs w:val="19"/>
                <w:color w:val="auto"/>
              </w:rPr>
            </w:pPr>
          </w:p>
        </w:tc>
        <w:tc>
          <w:tcPr>
            <w:tcW w:w="240" w:type="dxa"/>
            <w:vAlign w:val="bottom"/>
            <w:tcBorders>
              <w:bottom w:val="single" w:sz="8" w:color="auto"/>
            </w:tcBorders>
            <w:shd w:val="clear" w:color="auto" w:fill="D2EDFE"/>
          </w:tcPr>
          <w:p>
            <w:pPr>
              <w:spacing w:after="0"/>
              <w:rPr>
                <w:sz w:val="19"/>
                <w:szCs w:val="19"/>
                <w:color w:val="auto"/>
              </w:rPr>
            </w:pPr>
          </w:p>
        </w:tc>
        <w:tc>
          <w:tcPr>
            <w:tcW w:w="8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D2EDFE"/>
          </w:tcPr>
          <w:p>
            <w:pPr>
              <w:spacing w:after="0"/>
              <w:rPr>
                <w:sz w:val="19"/>
                <w:szCs w:val="19"/>
                <w:color w:val="auto"/>
              </w:rPr>
            </w:pPr>
          </w:p>
        </w:tc>
        <w:tc>
          <w:tcPr>
            <w:tcW w:w="180" w:type="dxa"/>
            <w:vAlign w:val="bottom"/>
            <w:tcBorders>
              <w:bottom w:val="single" w:sz="8" w:color="auto"/>
            </w:tcBorders>
            <w:shd w:val="clear" w:color="auto" w:fill="D2EDFE"/>
          </w:tcPr>
          <w:p>
            <w:pPr>
              <w:spacing w:after="0"/>
              <w:rPr>
                <w:sz w:val="19"/>
                <w:szCs w:val="19"/>
                <w:color w:val="auto"/>
              </w:rPr>
            </w:pPr>
          </w:p>
        </w:tc>
        <w:tc>
          <w:tcPr>
            <w:tcW w:w="8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6,485</w:t>
            </w:r>
          </w:p>
        </w:tc>
        <w:tc>
          <w:tcPr>
            <w:tcW w:w="80" w:type="dxa"/>
            <w:vAlign w:val="bottom"/>
            <w:shd w:val="clear" w:color="auto" w:fill="D2EDFE"/>
          </w:tcPr>
          <w:p>
            <w:pPr>
              <w:spacing w:after="0"/>
              <w:rPr>
                <w:sz w:val="19"/>
                <w:szCs w:val="19"/>
                <w:color w:val="auto"/>
              </w:rPr>
            </w:pPr>
          </w:p>
        </w:tc>
        <w:tc>
          <w:tcPr>
            <w:tcW w:w="240" w:type="dxa"/>
            <w:vAlign w:val="bottom"/>
            <w:tcBorders>
              <w:bottom w:val="single" w:sz="8" w:color="auto"/>
            </w:tcBorders>
            <w:shd w:val="clear" w:color="auto" w:fill="D2EDFE"/>
          </w:tcPr>
          <w:p>
            <w:pPr>
              <w:spacing w:after="0"/>
              <w:rPr>
                <w:sz w:val="19"/>
                <w:szCs w:val="19"/>
                <w:color w:val="auto"/>
              </w:rPr>
            </w:pPr>
          </w:p>
        </w:tc>
        <w:tc>
          <w:tcPr>
            <w:tcW w:w="8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00" w:type="dxa"/>
            <w:vAlign w:val="bottom"/>
            <w:shd w:val="clear" w:color="auto" w:fill="D2EDFE"/>
          </w:tcPr>
          <w:p>
            <w:pPr>
              <w:spacing w:after="0"/>
              <w:rPr>
                <w:sz w:val="19"/>
                <w:szCs w:val="19"/>
                <w:color w:val="auto"/>
              </w:rPr>
            </w:pPr>
          </w:p>
        </w:tc>
        <w:tc>
          <w:tcPr>
            <w:tcW w:w="180" w:type="dxa"/>
            <w:vAlign w:val="bottom"/>
            <w:tcBorders>
              <w:bottom w:val="single" w:sz="8" w:color="auto"/>
            </w:tcBorders>
            <w:shd w:val="clear" w:color="auto" w:fill="D2EDFE"/>
          </w:tcPr>
          <w:p>
            <w:pPr>
              <w:spacing w:after="0"/>
              <w:rPr>
                <w:sz w:val="19"/>
                <w:szCs w:val="19"/>
                <w:color w:val="auto"/>
              </w:rPr>
            </w:pPr>
          </w:p>
        </w:tc>
        <w:tc>
          <w:tcPr>
            <w:tcW w:w="8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6,751</w:t>
            </w:r>
          </w:p>
        </w:tc>
        <w:tc>
          <w:tcPr>
            <w:tcW w:w="100" w:type="dxa"/>
            <w:vAlign w:val="bottom"/>
            <w:shd w:val="clear" w:color="auto" w:fill="D2EDFE"/>
          </w:tcPr>
          <w:p>
            <w:pPr>
              <w:spacing w:after="0"/>
              <w:rPr>
                <w:sz w:val="19"/>
                <w:szCs w:val="19"/>
                <w:color w:val="auto"/>
              </w:rPr>
            </w:pPr>
          </w:p>
        </w:tc>
        <w:tc>
          <w:tcPr>
            <w:tcW w:w="220" w:type="dxa"/>
            <w:vAlign w:val="bottom"/>
            <w:tcBorders>
              <w:bottom w:val="single" w:sz="8" w:color="auto"/>
            </w:tcBorders>
            <w:shd w:val="clear" w:color="auto" w:fill="D2EDFE"/>
          </w:tcPr>
          <w:p>
            <w:pPr>
              <w:spacing w:after="0"/>
              <w:rPr>
                <w:sz w:val="19"/>
                <w:szCs w:val="19"/>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0" w:type="dxa"/>
            <w:vAlign w:val="bottom"/>
          </w:tcPr>
          <w:p>
            <w:pPr>
              <w:spacing w:after="0"/>
              <w:rPr>
                <w:sz w:val="1"/>
                <w:szCs w:val="1"/>
                <w:color w:val="auto"/>
              </w:rPr>
            </w:pPr>
          </w:p>
        </w:tc>
      </w:tr>
      <w:tr>
        <w:trPr>
          <w:trHeight w:val="214"/>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Pre-tax net (loss)/income</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1"/>
        </w:trPr>
        <w:tc>
          <w:tcPr>
            <w:tcW w:w="44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color w:val="auto"/>
              </w:rPr>
              <w:t>Income tax (benefit)/expense</w:t>
            </w:r>
          </w:p>
        </w:tc>
        <w:tc>
          <w:tcPr>
            <w:tcW w:w="180" w:type="dxa"/>
            <w:vAlign w:val="bottom"/>
            <w:tcBorders>
              <w:bottom w:val="single" w:sz="8" w:color="auto"/>
            </w:tcBorders>
            <w:shd w:val="clear" w:color="auto" w:fill="D2EDFE"/>
          </w:tcPr>
          <w:p>
            <w:pPr>
              <w:spacing w:after="0"/>
              <w:rPr>
                <w:sz w:val="19"/>
                <w:szCs w:val="19"/>
                <w:color w:val="auto"/>
              </w:rPr>
            </w:pPr>
          </w:p>
        </w:tc>
        <w:tc>
          <w:tcPr>
            <w:tcW w:w="8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D2EDFE"/>
          </w:tcPr>
          <w:p>
            <w:pPr>
              <w:spacing w:after="0"/>
              <w:rPr>
                <w:sz w:val="19"/>
                <w:szCs w:val="19"/>
                <w:color w:val="auto"/>
              </w:rPr>
            </w:pPr>
          </w:p>
        </w:tc>
        <w:tc>
          <w:tcPr>
            <w:tcW w:w="240" w:type="dxa"/>
            <w:vAlign w:val="bottom"/>
            <w:tcBorders>
              <w:bottom w:val="single" w:sz="8" w:color="auto"/>
            </w:tcBorders>
            <w:shd w:val="clear" w:color="auto" w:fill="D2EDFE"/>
          </w:tcPr>
          <w:p>
            <w:pPr>
              <w:spacing w:after="0"/>
              <w:rPr>
                <w:sz w:val="19"/>
                <w:szCs w:val="19"/>
                <w:color w:val="auto"/>
              </w:rPr>
            </w:pPr>
          </w:p>
        </w:tc>
        <w:tc>
          <w:tcPr>
            <w:tcW w:w="8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shd w:val="clear" w:color="auto" w:fill="D2EDFE"/>
          </w:tcPr>
          <w:p>
            <w:pPr>
              <w:spacing w:after="0"/>
              <w:rPr>
                <w:sz w:val="19"/>
                <w:szCs w:val="19"/>
                <w:color w:val="auto"/>
              </w:rPr>
            </w:pPr>
          </w:p>
        </w:tc>
        <w:tc>
          <w:tcPr>
            <w:tcW w:w="180" w:type="dxa"/>
            <w:vAlign w:val="bottom"/>
            <w:tcBorders>
              <w:bottom w:val="single" w:sz="8" w:color="auto"/>
            </w:tcBorders>
            <w:shd w:val="clear" w:color="auto" w:fill="D2EDFE"/>
          </w:tcPr>
          <w:p>
            <w:pPr>
              <w:spacing w:after="0"/>
              <w:rPr>
                <w:sz w:val="19"/>
                <w:szCs w:val="19"/>
                <w:color w:val="auto"/>
              </w:rPr>
            </w:pPr>
          </w:p>
        </w:tc>
        <w:tc>
          <w:tcPr>
            <w:tcW w:w="8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7,477</w:t>
            </w:r>
          </w:p>
        </w:tc>
        <w:tc>
          <w:tcPr>
            <w:tcW w:w="80" w:type="dxa"/>
            <w:vAlign w:val="bottom"/>
            <w:shd w:val="clear" w:color="auto" w:fill="D2EDFE"/>
          </w:tcPr>
          <w:p>
            <w:pPr>
              <w:spacing w:after="0"/>
              <w:rPr>
                <w:sz w:val="19"/>
                <w:szCs w:val="19"/>
                <w:color w:val="auto"/>
              </w:rPr>
            </w:pPr>
          </w:p>
        </w:tc>
        <w:tc>
          <w:tcPr>
            <w:tcW w:w="240" w:type="dxa"/>
            <w:vAlign w:val="bottom"/>
            <w:tcBorders>
              <w:bottom w:val="single" w:sz="8" w:color="auto"/>
            </w:tcBorders>
            <w:shd w:val="clear" w:color="auto" w:fill="D2EDFE"/>
          </w:tcPr>
          <w:p>
            <w:pPr>
              <w:spacing w:after="0"/>
              <w:rPr>
                <w:sz w:val="19"/>
                <w:szCs w:val="19"/>
                <w:color w:val="auto"/>
              </w:rPr>
            </w:pPr>
          </w:p>
        </w:tc>
        <w:tc>
          <w:tcPr>
            <w:tcW w:w="8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shd w:val="clear" w:color="auto" w:fill="D2EDFE"/>
          </w:tcPr>
          <w:p>
            <w:pPr>
              <w:spacing w:after="0"/>
              <w:rPr>
                <w:sz w:val="19"/>
                <w:szCs w:val="19"/>
                <w:color w:val="auto"/>
              </w:rPr>
            </w:pPr>
          </w:p>
        </w:tc>
        <w:tc>
          <w:tcPr>
            <w:tcW w:w="180" w:type="dxa"/>
            <w:vAlign w:val="bottom"/>
            <w:tcBorders>
              <w:bottom w:val="single" w:sz="8" w:color="auto"/>
            </w:tcBorders>
            <w:shd w:val="clear" w:color="auto" w:fill="D2EDFE"/>
          </w:tcPr>
          <w:p>
            <w:pPr>
              <w:spacing w:after="0"/>
              <w:rPr>
                <w:sz w:val="19"/>
                <w:szCs w:val="19"/>
                <w:color w:val="auto"/>
              </w:rPr>
            </w:pPr>
          </w:p>
        </w:tc>
        <w:tc>
          <w:tcPr>
            <w:tcW w:w="8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3,383</w:t>
            </w:r>
          </w:p>
        </w:tc>
        <w:tc>
          <w:tcPr>
            <w:tcW w:w="100" w:type="dxa"/>
            <w:vAlign w:val="bottom"/>
            <w:shd w:val="clear" w:color="auto" w:fill="D2EDFE"/>
          </w:tcPr>
          <w:p>
            <w:pPr>
              <w:spacing w:after="0"/>
              <w:rPr>
                <w:sz w:val="19"/>
                <w:szCs w:val="19"/>
                <w:color w:val="auto"/>
              </w:rPr>
            </w:pPr>
          </w:p>
        </w:tc>
        <w:tc>
          <w:tcPr>
            <w:tcW w:w="220" w:type="dxa"/>
            <w:vAlign w:val="bottom"/>
            <w:tcBorders>
              <w:bottom w:val="single" w:sz="8" w:color="auto"/>
            </w:tcBorders>
            <w:shd w:val="clear" w:color="auto" w:fill="D2EDFE"/>
          </w:tcPr>
          <w:p>
            <w:pPr>
              <w:spacing w:after="0"/>
              <w:rPr>
                <w:sz w:val="19"/>
                <w:szCs w:val="19"/>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14"/>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(4,479)</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(14,679)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Twelve Months Ended December 31, 2024 Compared to Twelve Months Ended December 31, 2023</w:t>
      </w:r>
    </w:p>
    <w:p>
      <w:pPr>
        <w:spacing w:after="0" w:line="22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Our financial results for the twelve months ended December 31, 2024 compared to the twelve months ended December 31, 2023 reflect the addition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five de novo centers which increased procedure rooms by ten.</w:t>
      </w:r>
    </w:p>
    <w:p>
      <w:pPr>
        <w:spacing w:after="0" w:line="1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Our revenue decreased $15.6 million, or 7.9%, compared to the same period in 2023. The decrease is primarily attributed to weaker than expected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across the broader aesthetics and high-end retail industries.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Cost of Service—</w:t>
      </w:r>
      <w:r>
        <w:rPr>
          <w:rFonts w:ascii="Times New Roman" w:cs="Times New Roman" w:eastAsia="Times New Roman" w:hAnsi="Times New Roman"/>
          <w:sz w:val="17"/>
          <w:szCs w:val="17"/>
          <w:color w:val="auto"/>
        </w:rPr>
        <w:t>Our cost of service decreased $2.6 million, or 3.6%, compared to the twelve months ended December 31, 2023. The percentage decrease in cost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service is driven by the decrease in cases compared to the 2023 period and partially offset by increases in nursing and rent costs related to our new facility openings during the 2024 period. Cost of service was 39.6% and 37.8% as a percentage of revenue for the twelve months ended December 31, 2024 and 2023, respectively. The percentage increase is primarily due to the decline in revenue and not being able to leverage certain fixed costs within cost of service such as rent and certain nursing costs.</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Selling, General and Administrative Expenses—</w:t>
      </w:r>
      <w:r>
        <w:rPr>
          <w:rFonts w:ascii="Times New Roman" w:cs="Times New Roman" w:eastAsia="Times New Roman" w:hAnsi="Times New Roman"/>
          <w:sz w:val="17"/>
          <w:szCs w:val="17"/>
          <w:color w:val="auto"/>
        </w:rPr>
        <w:t>Selling, general and administrative expenses decreased $3.5 million, or 3.4%, for the twelve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2024 compared to the same period in 2023. This decrease is related to a decrease in our equity-based compensation expense (see Note 6 to the consolidated financial statements included in this Annual Report on Form 10-K for further discussion) partially offset by additional expenses we incurred for marketing and corporate support as we grow our center count through de novo expansion and providing support for our centers. We expect our marketing and corporate support costs to continue to increase on an absolute dollar basis as we open de novo centers. Selling, general and administrative expenses as a percent of revenue were 54.8% and 52.3% for the twelve months ended December 31, 2024 and 2023, respectively.</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Selling expenses consist of advertising costs for social, digital and traditional marketing and sales and marketing personnel. Total selling expenses were approximately $43.9 million and $36.8 million for the twelve months ended December 31, 2024 and 2023, respectively. Our customer acquisition costs were approximately $3,130 and $2,465 per customer in the twelve months ended December 31, 2024 and 2023, respectively. We intend to continue investing in our sales and marketing capabilities as we add new centers. Additionally, selling expenses as a percentage of revenue may fluctuate from quarter to quarter based on the timing and scope of our initiatives and the related impact to our revenue.</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$54.9 million and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$65.6 million for the twelve months ended December 31, 2024 and 2023, respectively. This reduction is due to a decrease in equity-based compensation (see Note 6 to the consolidated financial statements included in this Annual Report on Form 10-K for further discussion).</w:t>
      </w:r>
    </w:p>
    <w:p>
      <w:pPr>
        <w:spacing w:after="0" w:line="14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Depreciation and amortization increased to approximately $11.9 million for the twelve months ended December 31,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$10.3 million for the same period in 2023. This increase is the result of having five additional de novo centers during the twelve months ended December 31, 2024 as compared to the 2023 period.</w:t>
      </w:r>
    </w:p>
    <w:p>
      <w:pPr>
        <w:spacing w:after="0" w:line="1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i w:val="1"/>
          <w:iCs w:val="1"/>
          <w:color w:val="auto"/>
        </w:rPr>
        <w:t>Interest Expense, net—</w:t>
      </w:r>
      <w:r>
        <w:rPr>
          <w:rFonts w:ascii="Times New Roman" w:cs="Times New Roman" w:eastAsia="Times New Roman" w:hAnsi="Times New Roman"/>
          <w:sz w:val="17"/>
          <w:szCs w:val="17"/>
          <w:color w:val="auto"/>
        </w:rPr>
        <w:t>Interest expense decreased to $6.2 million from $6.5 million for the twelve months ended December 31, 2024 and 2023, respectively.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is due to the lower principal balance resulting from the Company's voluntary $10 million prepayment made in 2023.</w:t>
      </w:r>
    </w:p>
    <w:p>
      <w:pPr>
        <w:spacing w:after="0" w:line="1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i w:val="1"/>
          <w:iCs w:val="1"/>
          <w:color w:val="auto"/>
        </w:rPr>
        <w:t xml:space="preserve">Income Tax Expense— </w:t>
      </w:r>
      <w:r>
        <w:rPr>
          <w:rFonts w:ascii="Times New Roman" w:cs="Times New Roman" w:eastAsia="Times New Roman" w:hAnsi="Times New Roman"/>
          <w:sz w:val="17"/>
          <w:szCs w:val="17"/>
          <w:color w:val="auto"/>
        </w:rPr>
        <w:t>Our effective tax rate is (2.3)% and 249.4% for the twelve months ended December 31, 2024 and 2023, respectively. The main driver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difference between the effective and statutory rate is non-deductible executive compensation under Section 162(m) of the Internal Revenue Code.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Twelve Months Ended December 31, 2023 Compared to Twelve Months Ended December 31, 2022</w:t>
      </w:r>
    </w:p>
    <w:p>
      <w:pPr>
        <w:spacing w:after="0" w:line="22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i w:val="1"/>
          <w:iCs w:val="1"/>
          <w:color w:val="auto"/>
        </w:rPr>
        <w:t>Overview</w:t>
      </w:r>
      <w:r>
        <w:rPr>
          <w:rFonts w:ascii="Times New Roman" w:cs="Times New Roman" w:eastAsia="Times New Roman" w:hAnsi="Times New Roman"/>
          <w:sz w:val="17"/>
          <w:szCs w:val="17"/>
          <w:color w:val="auto"/>
        </w:rPr>
        <w:t>— Our financial results for the twelve months ended December 31, 2023 compared to the twelve months ended December 31, 2022 reflect the addition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five de novo centers which increased procedure rooms by 10.</w:t>
      </w:r>
    </w:p>
    <w:p>
      <w:pPr>
        <w:spacing w:after="0" w:line="1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—Our revenue increased $27.1 million, or 16.1%, compared to the same period in 2022. The increase is the result of adding five de novo centers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increased our footprint from 22 centers to 27 centers as of December 31, 2023.</w:t>
      </w:r>
    </w:p>
    <w:p>
      <w:pPr>
        <w:spacing w:after="0" w:line="1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i w:val="1"/>
          <w:iCs w:val="1"/>
          <w:color w:val="auto"/>
        </w:rPr>
        <w:t>Cost of Service</w:t>
      </w:r>
      <w:r>
        <w:rPr>
          <w:rFonts w:ascii="Times New Roman" w:cs="Times New Roman" w:eastAsia="Times New Roman" w:hAnsi="Times New Roman"/>
          <w:sz w:val="17"/>
          <w:szCs w:val="17"/>
          <w:color w:val="auto"/>
        </w:rPr>
        <w:t>—Our cost of service increased $11.2 million, or 17.9%, compared to the twelve months ended December 31, 2022. This increase is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attributable to opening five de novo centers since the 2022 period. Cost of service was 37.8% and 37.2% as a percentage of revenue for the twelve months ended December 31, 2023 and 2022, respectively.</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Selling, General and Administrative Expenses</w:t>
      </w:r>
      <w:r>
        <w:rPr>
          <w:rFonts w:ascii="Times New Roman" w:cs="Times New Roman" w:eastAsia="Times New Roman" w:hAnsi="Times New Roman"/>
          <w:sz w:val="17"/>
          <w:szCs w:val="17"/>
          <w:color w:val="auto"/>
        </w:rPr>
        <w:t>—Selling, general and administrative expenses increased $1.0 million, or 0.9%, for the twelve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2023 compared to the same period in 2022. This increase is related to additional expenses we incurred for marketing and corporate support as we grow our center count through de novo expansion and providing support for our centers, offset by a decrease in our equity-based compensation expense. Selling, general and administrative expenses as a percent of revenue were 52.3% and 60.1% for the twelve months ended December 31, 2023 and 2022, respectively.</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Selling expenses consist of advertising costs for social, digital and traditional marketing and sales and marketing personnel. Total selling expenses were approximately $36.8 million and $30.1 million for the twelve months ended December 31, 2023 and 2022, respectively. Our customer acquisition costs were approximately $2,465 and $2,300 per customer in the twelve months ended December 31, 2023 and 2022,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$65.6 million and $71.3 million for the twelve months ended December 31, 2023 and 2022, respectively. This reduction is due to a decrease in equity-based compensation.</w:t>
      </w:r>
    </w:p>
    <w:p>
      <w:pPr>
        <w:spacing w:after="0" w:line="1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—Depreciation and amortization increased to approximately $10.3 million for the twelve months ended December 31, 2023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$8.1 million for the same period in 2022. This increase is the result of having five additional de novo centers during the twelve months ended December 31, 2023 as compared to the 2022 period.</w:t>
      </w:r>
    </w:p>
    <w:p>
      <w:pPr>
        <w:spacing w:after="0" w:line="1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i w:val="1"/>
          <w:iCs w:val="1"/>
          <w:color w:val="auto"/>
        </w:rPr>
        <w:t>(Gain)/loss on disposal of long-lived assets</w:t>
      </w:r>
      <w:r>
        <w:rPr>
          <w:rFonts w:ascii="Times New Roman" w:cs="Times New Roman" w:eastAsia="Times New Roman" w:hAnsi="Times New Roman"/>
          <w:sz w:val="17"/>
          <w:szCs w:val="17"/>
          <w:color w:val="auto"/>
        </w:rPr>
        <w:t>—For the twelve months ended December 31, 2023, we recognized a $212,000 gain related to the disposal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previous property, plant, and equipment as a result of relocation to expand certain centers.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i w:val="1"/>
          <w:iCs w:val="1"/>
          <w:color w:val="auto"/>
        </w:rPr>
        <w:t>Interest Expense, net</w:t>
      </w:r>
      <w:r>
        <w:rPr>
          <w:rFonts w:ascii="Times New Roman" w:cs="Times New Roman" w:eastAsia="Times New Roman" w:hAnsi="Times New Roman"/>
          <w:sz w:val="17"/>
          <w:szCs w:val="17"/>
          <w:color w:val="auto"/>
        </w:rPr>
        <w:t>—Interest expense decreased to $6.5 million from $6.8 million for the twelve months ended December 31, 2023 and 2022, respectively.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is due to the lower principal balance resulting from the Company's voluntary $10 million prepayment made in 2023.</w:t>
      </w:r>
    </w:p>
    <w:p>
      <w:pPr>
        <w:spacing w:after="0" w:line="1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i w:val="1"/>
          <w:iCs w:val="1"/>
          <w:color w:val="auto"/>
        </w:rPr>
        <w:t>Income Tax Expense</w:t>
      </w:r>
      <w:r>
        <w:rPr>
          <w:rFonts w:ascii="Times New Roman" w:cs="Times New Roman" w:eastAsia="Times New Roman" w:hAnsi="Times New Roman"/>
          <w:sz w:val="17"/>
          <w:szCs w:val="17"/>
          <w:color w:val="auto"/>
        </w:rPr>
        <w:t>— Our effective tax rate is 249.4% and (29.9)% for the twelve months ended December 31, 2023 and 2022, respectively. The main driver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difference between the effective and statutory rate is non-deductible executive compensation under Section 162(m) of the Internal Revenue Code.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principally rely on cash flows from operations as our primary source of liquidity and, if needed, up to $5.0 million in revolving loans under our revolving credit facility. Our primary cash needs are for payroll, marketing and advertisements, rent, debt service, as well as information technology and infrastructure, including our corporate office. As we have experienced revenue declines in the most recent year, we have implemented a cost reduction program that is estimated to eliminate approximately $3 million in annual overhead costs and contracted expenses. These initiatives may not realize anticipated savings or benefits from one or more of the various strategies and cost-savings initiatives undertaken as part of these efforts in full or in part or within the time periods expected. We also may not realize the increase in sales related to these initiatives. Our ability to improve operating results depends upon a significant number of factors, some of which are beyond our control. If we are unable to realize the anticipated savings or benefits, or otherwise fail to implement the growth strategies, the business operating results and liquidity may be adversely affected.</w:t>
      </w:r>
    </w:p>
    <w:p>
      <w:pPr>
        <w:spacing w:after="0" w:line="1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We believe that the cash expected to be generated from operations will be sufficient for our working capital requirements, liquidity obligations, and payments due under our existing credit facilities for at least the next 12 months.</w:t>
      </w:r>
    </w:p>
    <w:p>
      <w:pPr>
        <w:spacing w:after="0" w:line="14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As of December 31, 2024, we had $8.2 million in cash and cash equivalents with no availability under our revolving credit facility. We do not have any letters of credit outstanding as of December 31, 2024.</w:t>
      </w:r>
    </w:p>
    <w:p>
      <w:pPr>
        <w:spacing w:after="0" w:line="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As of December 31, 2023, we had $10.3 million in cash and cash equivalents and an available amount of $5.0 million under our revolving credit facility. We did not have any letters of credit outstanding as of December 31,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net cash provided by (used for) operating activities, investing activities and financing activities for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0"/>
        </w:trPr>
        <w:tc>
          <w:tcPr>
            <w:tcW w:w="658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D2EDFE"/>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D2EDFE"/>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7"/>
        </w:trPr>
        <w:tc>
          <w:tcPr>
            <w:tcW w:w="65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Provided By (Used For):</w:t>
            </w:r>
          </w:p>
        </w:tc>
        <w:tc>
          <w:tcPr>
            <w:tcW w:w="360" w:type="dxa"/>
            <w:vAlign w:val="bottom"/>
            <w:shd w:val="clear" w:color="auto" w:fill="D2EDFE"/>
          </w:tcPr>
          <w:p>
            <w:pPr>
              <w:spacing w:after="0"/>
              <w:rPr>
                <w:sz w:val="18"/>
                <w:szCs w:val="18"/>
                <w:color w:val="auto"/>
              </w:rPr>
            </w:pPr>
          </w:p>
        </w:tc>
        <w:tc>
          <w:tcPr>
            <w:tcW w:w="1120" w:type="dxa"/>
            <w:vAlign w:val="bottom"/>
            <w:shd w:val="clear" w:color="auto" w:fill="D2EDFE"/>
          </w:tcPr>
          <w:p>
            <w:pPr>
              <w:spacing w:after="0"/>
              <w:rPr>
                <w:sz w:val="18"/>
                <w:szCs w:val="18"/>
                <w:color w:val="auto"/>
              </w:rPr>
            </w:pPr>
          </w:p>
        </w:tc>
        <w:tc>
          <w:tcPr>
            <w:tcW w:w="120" w:type="dxa"/>
            <w:vAlign w:val="bottom"/>
            <w:shd w:val="clear" w:color="auto" w:fill="D2EDFE"/>
          </w:tcPr>
          <w:p>
            <w:pPr>
              <w:spacing w:after="0"/>
              <w:rPr>
                <w:sz w:val="18"/>
                <w:szCs w:val="18"/>
                <w:color w:val="auto"/>
              </w:rPr>
            </w:pPr>
          </w:p>
        </w:tc>
        <w:tc>
          <w:tcPr>
            <w:tcW w:w="220" w:type="dxa"/>
            <w:vAlign w:val="bottom"/>
            <w:shd w:val="clear" w:color="auto" w:fill="D2EDFE"/>
          </w:tcPr>
          <w:p>
            <w:pPr>
              <w:spacing w:after="0"/>
              <w:rPr>
                <w:sz w:val="18"/>
                <w:szCs w:val="18"/>
                <w:color w:val="auto"/>
              </w:rPr>
            </w:pPr>
          </w:p>
        </w:tc>
        <w:tc>
          <w:tcPr>
            <w:tcW w:w="1260" w:type="dxa"/>
            <w:vAlign w:val="bottom"/>
            <w:shd w:val="clear" w:color="auto" w:fill="D2EDFE"/>
          </w:tcPr>
          <w:p>
            <w:pPr>
              <w:spacing w:after="0"/>
              <w:rPr>
                <w:sz w:val="18"/>
                <w:szCs w:val="18"/>
                <w:color w:val="auto"/>
              </w:rPr>
            </w:pPr>
          </w:p>
        </w:tc>
        <w:tc>
          <w:tcPr>
            <w:tcW w:w="100" w:type="dxa"/>
            <w:vAlign w:val="bottom"/>
            <w:shd w:val="clear" w:color="auto" w:fill="D2EDFE"/>
          </w:tcPr>
          <w:p>
            <w:pPr>
              <w:spacing w:after="0"/>
              <w:rPr>
                <w:sz w:val="18"/>
                <w:szCs w:val="18"/>
                <w:color w:val="auto"/>
              </w:rPr>
            </w:pPr>
          </w:p>
        </w:tc>
        <w:tc>
          <w:tcPr>
            <w:tcW w:w="360" w:type="dxa"/>
            <w:vAlign w:val="bottom"/>
            <w:shd w:val="clear" w:color="auto" w:fill="D2EDFE"/>
          </w:tcPr>
          <w:p>
            <w:pPr>
              <w:spacing w:after="0"/>
              <w:rPr>
                <w:sz w:val="18"/>
                <w:szCs w:val="18"/>
                <w:color w:val="auto"/>
              </w:rPr>
            </w:pPr>
          </w:p>
        </w:tc>
        <w:tc>
          <w:tcPr>
            <w:tcW w:w="1120" w:type="dxa"/>
            <w:vAlign w:val="bottom"/>
            <w:shd w:val="clear" w:color="auto" w:fill="D2EDFE"/>
          </w:tcPr>
          <w:p>
            <w:pPr>
              <w:spacing w:after="0"/>
              <w:rPr>
                <w:sz w:val="18"/>
                <w:szCs w:val="18"/>
                <w:color w:val="auto"/>
              </w:rPr>
            </w:pPr>
          </w:p>
        </w:tc>
      </w:tr>
      <w:tr>
        <w:trPr>
          <w:trHeight w:val="221"/>
        </w:trPr>
        <w:tc>
          <w:tcPr>
            <w:tcW w:w="6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activities</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11,350</w:t>
            </w:r>
          </w:p>
        </w:tc>
        <w:tc>
          <w:tcPr>
            <w:tcW w:w="12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23,956</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center"/>
              <w:ind w:left="437"/>
              <w:spacing w:after="0"/>
              <w:rPr>
                <w:sz w:val="20"/>
                <w:szCs w:val="20"/>
                <w:color w:val="auto"/>
              </w:rPr>
            </w:pPr>
            <w:r>
              <w:rPr>
                <w:rFonts w:ascii="Times New Roman" w:cs="Times New Roman" w:eastAsia="Times New Roman" w:hAnsi="Times New Roman"/>
                <w:sz w:val="17"/>
                <w:szCs w:val="17"/>
                <w:color w:val="auto"/>
              </w:rPr>
              <w:t>24,447</w:t>
            </w:r>
          </w:p>
        </w:tc>
      </w:tr>
      <w:tr>
        <w:trPr>
          <w:trHeight w:val="221"/>
        </w:trPr>
        <w:tc>
          <w:tcPr>
            <w:tcW w:w="6580" w:type="dxa"/>
            <w:vAlign w:val="bottom"/>
            <w:shd w:val="clear" w:color="auto" w:fill="D2EDFE"/>
          </w:tcPr>
          <w:p>
            <w:pPr>
              <w:ind w:left="120"/>
              <w:spacing w:after="0"/>
              <w:rPr>
                <w:sz w:val="20"/>
                <w:szCs w:val="20"/>
                <w:color w:val="auto"/>
              </w:rPr>
            </w:pPr>
            <w:r>
              <w:rPr>
                <w:rFonts w:ascii="Times New Roman" w:cs="Times New Roman" w:eastAsia="Times New Roman" w:hAnsi="Times New Roman"/>
                <w:sz w:val="17"/>
                <w:szCs w:val="17"/>
                <w:color w:val="auto"/>
              </w:rPr>
              <w:t>Investing activities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(14,007)</w:t>
            </w:r>
          </w:p>
        </w:tc>
        <w:tc>
          <w:tcPr>
            <w:tcW w:w="12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(9,919)</w:t>
            </w:r>
          </w:p>
        </w:tc>
        <w:tc>
          <w:tcPr>
            <w:tcW w:w="100" w:type="dxa"/>
            <w:vAlign w:val="bottom"/>
            <w:shd w:val="clear" w:color="auto" w:fill="D2EDFE"/>
          </w:tcPr>
          <w:p>
            <w:pPr>
              <w:spacing w:after="0"/>
              <w:rPr>
                <w:sz w:val="19"/>
                <w:szCs w:val="19"/>
                <w:color w:val="auto"/>
              </w:rPr>
            </w:pP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center"/>
              <w:ind w:left="397"/>
              <w:spacing w:after="0"/>
              <w:rPr>
                <w:sz w:val="20"/>
                <w:szCs w:val="20"/>
                <w:color w:val="auto"/>
              </w:rPr>
            </w:pPr>
            <w:r>
              <w:rPr>
                <w:rFonts w:ascii="Times New Roman" w:cs="Times New Roman" w:eastAsia="Times New Roman" w:hAnsi="Times New Roman"/>
                <w:sz w:val="17"/>
                <w:szCs w:val="17"/>
                <w:color w:val="auto"/>
              </w:rPr>
              <w:t>(12,921)</w:t>
            </w:r>
          </w:p>
        </w:tc>
      </w:tr>
      <w:tr>
        <w:trPr>
          <w:trHeight w:val="221"/>
        </w:trPr>
        <w:tc>
          <w:tcPr>
            <w:tcW w:w="6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center"/>
              <w:ind w:left="397"/>
              <w:spacing w:after="0"/>
              <w:rPr>
                <w:sz w:val="20"/>
                <w:szCs w:val="20"/>
                <w:color w:val="auto"/>
              </w:rPr>
            </w:pPr>
            <w:r>
              <w:rPr>
                <w:rFonts w:ascii="Times New Roman" w:cs="Times New Roman" w:eastAsia="Times New Roman" w:hAnsi="Times New Roman"/>
                <w:sz w:val="17"/>
                <w:szCs w:val="17"/>
                <w:color w:val="auto"/>
              </w:rPr>
              <w:t>(27,257)</w:t>
            </w:r>
          </w:p>
        </w:tc>
      </w:tr>
      <w:tr>
        <w:trPr>
          <w:trHeight w:val="221"/>
        </w:trPr>
        <w:tc>
          <w:tcPr>
            <w:tcW w:w="6580" w:type="dxa"/>
            <w:vAlign w:val="bottom"/>
            <w:shd w:val="clear" w:color="auto" w:fill="D2EDFE"/>
          </w:tcPr>
          <w:p>
            <w:pPr>
              <w:ind w:left="120"/>
              <w:spacing w:after="0"/>
              <w:rPr>
                <w:sz w:val="20"/>
                <w:szCs w:val="20"/>
                <w:color w:val="auto"/>
              </w:rPr>
            </w:pPr>
            <w:r>
              <w:rPr>
                <w:rFonts w:ascii="Times New Roman" w:cs="Times New Roman" w:eastAsia="Times New Roman" w:hAnsi="Times New Roman"/>
                <w:sz w:val="17"/>
                <w:szCs w:val="17"/>
                <w:color w:val="auto"/>
              </w:rPr>
              <w:t>Net (decrease)/increase in cash and cash equivalents</w:t>
            </w: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shd w:val="clear" w:color="auto" w:fill="D2EDFE"/>
          </w:tcPr>
          <w:p>
            <w:pPr>
              <w:spacing w:after="0"/>
              <w:rPr>
                <w:sz w:val="19"/>
                <w:szCs w:val="19"/>
                <w:color w:val="auto"/>
              </w:rPr>
            </w:pPr>
          </w:p>
        </w:tc>
        <w:tc>
          <w:tcPr>
            <w:tcW w:w="360" w:type="dxa"/>
            <w:vAlign w:val="bottom"/>
            <w:shd w:val="clear" w:color="auto" w:fill="D2EDFE"/>
          </w:tcPr>
          <w:p>
            <w:pPr>
              <w:spacing w:after="0"/>
              <w:rPr>
                <w:sz w:val="19"/>
                <w:szCs w:val="19"/>
                <w:color w:val="auto"/>
              </w:rPr>
            </w:pPr>
          </w:p>
        </w:tc>
        <w:tc>
          <w:tcPr>
            <w:tcW w:w="1120" w:type="dxa"/>
            <w:vAlign w:val="bottom"/>
            <w:shd w:val="clear" w:color="auto" w:fill="D2EDFE"/>
          </w:tcPr>
          <w:p>
            <w:pPr>
              <w:jc w:val="center"/>
              <w:ind w:left="397"/>
              <w:spacing w:after="0"/>
              <w:rPr>
                <w:sz w:val="20"/>
                <w:szCs w:val="20"/>
                <w:color w:val="auto"/>
              </w:rPr>
            </w:pPr>
            <w:r>
              <w:rPr>
                <w:rFonts w:ascii="Times New Roman" w:cs="Times New Roman" w:eastAsia="Times New Roman" w:hAnsi="Times New Roman"/>
                <w:sz w:val="17"/>
                <w:szCs w:val="17"/>
                <w:color w:val="auto"/>
              </w:rPr>
              <w:t>(15,731)</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primary source of our operating cash flow is the collection of patient payments received prior to performing surgical procedures. For the twelve months ended December 31, 2024, our operating cash flow decreased by $12.6 million compared to the same period in 2023. The decrease is primarily attributed to weaker than expected revenue performance and an increase in our marketing investments during the twelve months ended December 31, 2024 as compared to the prior year period. At December 31, 2024, we had working capital of $(11.5) million compared to $(4.4) million at December 31, 2023.</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the twelve months ended December 31, 2023, our operating cash flow decreased by $0.5 million compared to the same period in 2022. The decrease is related to having more restructuring and related severance costs and the timing of working capital payments primarily related to lease deposits on upcoming de novo projects. At December 31, 2023, we had working capital of $(4.4) million compared to $(5.6) million at December 31, 2022.</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Net cash used in investing activities for the twelve months ended December 31, 2024, 2023, and 2022 was $14.0 million, $9.9 million, and $12.9 million, respectively. Investing activities during all three periods were attributable to the preparation for the opening of de novo locations and the relocation of multiple existing facilities.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Net cash used in financing activities during the twelve months ended December 31, 2024 was $0.6 million. During the twelve months ended December 31, 2024, we made principal payments on our debt of $2.1 million, borrowed $5.0 million on our revolving credit facility, and made payments of taxes withheld through vested equity-based compensation of $0.9 million.</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Net cash used in financing activities for the twelve months ended December 31, 2023 was $13.4 million. For the twelve months ended December 31, 2023, we paid cash dividends to stockholders of $0.4 million and made principal payments on our debt of $12.1 million.</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Net cash used in financing activities for the twelve months ended December 31, 2022 was $27.3 million. For the twelve months ended December 31, 2022, we made distributions to our former member of $1.2 million, paid cash dividends to stockholders of $23.2 million, and made payments of taxes withheld through vested equity-based compensation of $2.0 million. Finally, we made principal payments on our debt of $84.3 million offset by borrowings of new debt of $83.5 million.</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Material Cash Requirements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material cash requirements as of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0" w:type="dxa"/>
            <w:vAlign w:val="bottom"/>
            <w:vMerge w:val="restart"/>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1140" w:type="dxa"/>
            <w:vAlign w:val="bottom"/>
            <w:tcBorders>
              <w:bottom w:val="single" w:sz="8" w:color="3D5588"/>
            </w:tcBorders>
            <w:gridSpan w:val="2"/>
          </w:tcPr>
          <w:p>
            <w:pPr>
              <w:spacing w:after="0"/>
              <w:rPr>
                <w:sz w:val="2"/>
                <w:szCs w:val="2"/>
                <w:color w:val="auto"/>
              </w:rPr>
            </w:pPr>
          </w:p>
        </w:tc>
        <w:tc>
          <w:tcPr>
            <w:tcW w:w="16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00" w:type="dxa"/>
            <w:vAlign w:val="bottom"/>
            <w:tcBorders>
              <w:bottom w:val="single" w:sz="8" w:color="3D5588"/>
            </w:tcBorders>
          </w:tcPr>
          <w:p>
            <w:pPr>
              <w:spacing w:after="0"/>
              <w:rPr>
                <w:sz w:val="2"/>
                <w:szCs w:val="2"/>
                <w:color w:val="auto"/>
              </w:rPr>
            </w:pPr>
          </w:p>
        </w:tc>
        <w:tc>
          <w:tcPr>
            <w:tcW w:w="2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gridSpan w:val="2"/>
          </w:tcPr>
          <w:p>
            <w:pPr>
              <w:spacing w:after="0"/>
              <w:rPr>
                <w:sz w:val="2"/>
                <w:szCs w:val="2"/>
                <w:color w:val="auto"/>
              </w:rPr>
            </w:pPr>
          </w:p>
        </w:tc>
        <w:tc>
          <w:tcPr>
            <w:tcW w:w="24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gridSpan w:val="2"/>
          </w:tcPr>
          <w:p>
            <w:pPr>
              <w:spacing w:after="0"/>
              <w:rPr>
                <w:sz w:val="2"/>
                <w:szCs w:val="2"/>
                <w:color w:val="auto"/>
              </w:rPr>
            </w:pPr>
          </w:p>
        </w:tc>
        <w:tc>
          <w:tcPr>
            <w:tcW w:w="120" w:type="dxa"/>
            <w:vAlign w:val="bottom"/>
            <w:tcBorders>
              <w:bottom w:val="single" w:sz="8" w:color="3D5588"/>
            </w:tcBorders>
          </w:tcPr>
          <w:p>
            <w:pPr>
              <w:spacing w:after="0"/>
              <w:rPr>
                <w:sz w:val="2"/>
                <w:szCs w:val="2"/>
                <w:color w:val="auto"/>
              </w:rPr>
            </w:pPr>
          </w:p>
        </w:tc>
        <w:tc>
          <w:tcPr>
            <w:tcW w:w="124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980" w:type="dxa"/>
            <w:vAlign w:val="bottom"/>
            <w:tcBorders>
              <w:bottom w:val="single" w:sz="8" w:color="3D5588"/>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3D5588"/>
            </w:tcBorders>
          </w:tcPr>
          <w:p>
            <w:pPr>
              <w:spacing w:after="0"/>
              <w:rPr>
                <w:sz w:val="15"/>
                <w:szCs w:val="15"/>
                <w:color w:val="auto"/>
              </w:rPr>
            </w:pPr>
          </w:p>
        </w:tc>
        <w:tc>
          <w:tcPr>
            <w:tcW w:w="1060" w:type="dxa"/>
            <w:vAlign w:val="bottom"/>
            <w:tcBorders>
              <w:bottom w:val="single" w:sz="8" w:color="3D5588"/>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3D5588"/>
            </w:tcBorders>
          </w:tcPr>
          <w:p>
            <w:pPr>
              <w:spacing w:after="0"/>
              <w:rPr>
                <w:sz w:val="15"/>
                <w:szCs w:val="15"/>
                <w:color w:val="auto"/>
              </w:rPr>
            </w:pPr>
          </w:p>
        </w:tc>
        <w:tc>
          <w:tcPr>
            <w:tcW w:w="1200" w:type="dxa"/>
            <w:vAlign w:val="bottom"/>
            <w:tcBorders>
              <w:bottom w:val="single" w:sz="8" w:color="3D5588"/>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w w:val="99"/>
              </w:rPr>
              <w:t>Less than 1 Year</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3D5588"/>
            </w:tcBorders>
          </w:tcPr>
          <w:p>
            <w:pPr>
              <w:spacing w:after="0"/>
              <w:rPr>
                <w:sz w:val="15"/>
                <w:szCs w:val="15"/>
                <w:color w:val="auto"/>
              </w:rPr>
            </w:pPr>
          </w:p>
        </w:tc>
        <w:tc>
          <w:tcPr>
            <w:tcW w:w="1120" w:type="dxa"/>
            <w:vAlign w:val="bottom"/>
            <w:tcBorders>
              <w:bottom w:val="single" w:sz="8" w:color="3D5588"/>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3D5588"/>
            </w:tcBorders>
          </w:tcPr>
          <w:p>
            <w:pPr>
              <w:spacing w:after="0"/>
              <w:rPr>
                <w:sz w:val="15"/>
                <w:szCs w:val="15"/>
                <w:color w:val="auto"/>
              </w:rPr>
            </w:pPr>
          </w:p>
        </w:tc>
        <w:tc>
          <w:tcPr>
            <w:tcW w:w="1100" w:type="dxa"/>
            <w:vAlign w:val="bottom"/>
            <w:tcBorders>
              <w:bottom w:val="single" w:sz="8" w:color="3D5588"/>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3D5588"/>
            </w:tcBorders>
          </w:tcPr>
          <w:p>
            <w:pPr>
              <w:spacing w:after="0"/>
              <w:rPr>
                <w:sz w:val="15"/>
                <w:szCs w:val="15"/>
                <w:color w:val="auto"/>
              </w:rPr>
            </w:pPr>
          </w:p>
        </w:tc>
        <w:tc>
          <w:tcPr>
            <w:tcW w:w="1240" w:type="dxa"/>
            <w:vAlign w:val="bottom"/>
            <w:tcBorders>
              <w:bottom w:val="single" w:sz="8" w:color="3D5588"/>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6"/>
              </w:rPr>
              <w:t>More than 5 Years</w:t>
            </w:r>
          </w:p>
        </w:tc>
        <w:tc>
          <w:tcPr>
            <w:tcW w:w="0" w:type="dxa"/>
            <w:vAlign w:val="bottom"/>
          </w:tcPr>
          <w:p>
            <w:pPr>
              <w:spacing w:after="0"/>
              <w:rPr>
                <w:sz w:val="1"/>
                <w:szCs w:val="1"/>
                <w:color w:val="auto"/>
              </w:rPr>
            </w:pPr>
          </w:p>
        </w:tc>
      </w:tr>
      <w:tr>
        <w:trPr>
          <w:trHeight w:val="44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 principal and revolver</w:t>
            </w:r>
            <w:r>
              <w:rPr>
                <w:rFonts w:ascii="Times New Roman" w:cs="Times New Roman" w:eastAsia="Times New Roman" w:hAnsi="Times New Roman"/>
                <w:sz w:val="22"/>
                <w:szCs w:val="22"/>
                <w:color w:val="auto"/>
                <w:vertAlign w:val="superscript"/>
              </w:rPr>
              <w:t>(1)</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75,750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3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3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expense</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agreements</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3D5588"/>
            </w:tcBorders>
            <w:shd w:val="clear" w:color="auto" w:fill="CCEEFF"/>
          </w:tcPr>
          <w:p>
            <w:pPr>
              <w:spacing w:after="0"/>
              <w:rPr>
                <w:sz w:val="20"/>
                <w:szCs w:val="20"/>
                <w:color w:val="auto"/>
              </w:rPr>
            </w:pPr>
          </w:p>
        </w:tc>
        <w:tc>
          <w:tcPr>
            <w:tcW w:w="1060" w:type="dxa"/>
            <w:vAlign w:val="bottom"/>
            <w:tcBorders>
              <w:bottom w:val="single" w:sz="8" w:color="3D5588"/>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43,933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8,595</w:t>
            </w:r>
          </w:p>
        </w:tc>
        <w:tc>
          <w:tcPr>
            <w:tcW w:w="0" w:type="dxa"/>
            <w:vAlign w:val="bottom"/>
          </w:tcPr>
          <w:p>
            <w:pPr>
              <w:spacing w:after="0"/>
              <w:rPr>
                <w:sz w:val="1"/>
                <w:szCs w:val="1"/>
                <w:color w:val="auto"/>
              </w:rPr>
            </w:pPr>
          </w:p>
        </w:tc>
      </w:tr>
      <w:tr>
        <w:trPr>
          <w:trHeight w:val="214"/>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0" w:type="dxa"/>
            <w:vAlign w:val="bottom"/>
          </w:tcPr>
          <w:p>
            <w:pPr>
              <w:spacing w:after="0"/>
              <w:rPr>
                <w:sz w:val="18"/>
                <w:szCs w:val="18"/>
                <w:color w:val="auto"/>
              </w:rPr>
            </w:pPr>
          </w:p>
        </w:tc>
        <w:tc>
          <w:tcPr>
            <w:tcW w:w="320" w:type="dxa"/>
            <w:vAlign w:val="bottom"/>
            <w:tcBorders>
              <w:bottom w:val="single" w:sz="8" w:color="3D5588"/>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7"/>
                <w:szCs w:val="17"/>
                <w:color w:val="auto"/>
              </w:rPr>
              <w:t>134,319</w:t>
            </w:r>
          </w:p>
        </w:tc>
        <w:tc>
          <w:tcPr>
            <w:tcW w:w="80" w:type="dxa"/>
            <w:vAlign w:val="bottom"/>
          </w:tcPr>
          <w:p>
            <w:pPr>
              <w:spacing w:after="0"/>
              <w:rPr>
                <w:sz w:val="18"/>
                <w:szCs w:val="18"/>
                <w:color w:val="auto"/>
              </w:rPr>
            </w:pPr>
          </w:p>
        </w:tc>
        <w:tc>
          <w:tcPr>
            <w:tcW w:w="16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7"/>
                <w:szCs w:val="17"/>
                <w:color w:val="auto"/>
              </w:rPr>
              <w:t>17,216</w:t>
            </w:r>
          </w:p>
        </w:tc>
        <w:tc>
          <w:tcPr>
            <w:tcW w:w="100" w:type="dxa"/>
            <w:vAlign w:val="bottom"/>
          </w:tcPr>
          <w:p>
            <w:pPr>
              <w:spacing w:after="0"/>
              <w:rPr>
                <w:sz w:val="18"/>
                <w:szCs w:val="18"/>
                <w:color w:val="auto"/>
              </w:rPr>
            </w:pPr>
          </w:p>
        </w:tc>
        <w:tc>
          <w:tcPr>
            <w:tcW w:w="240" w:type="dxa"/>
            <w:vAlign w:val="bottom"/>
            <w:tcBorders>
              <w:bottom w:val="single" w:sz="8" w:color="3D5588"/>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7"/>
                <w:szCs w:val="17"/>
                <w:color w:val="auto"/>
              </w:rPr>
              <w:t>100,515</w:t>
            </w:r>
          </w:p>
        </w:tc>
        <w:tc>
          <w:tcPr>
            <w:tcW w:w="100" w:type="dxa"/>
            <w:vAlign w:val="bottom"/>
          </w:tcPr>
          <w:p>
            <w:pPr>
              <w:spacing w:after="0"/>
              <w:rPr>
                <w:sz w:val="18"/>
                <w:szCs w:val="18"/>
                <w:color w:val="auto"/>
              </w:rPr>
            </w:pPr>
          </w:p>
        </w:tc>
        <w:tc>
          <w:tcPr>
            <w:tcW w:w="240" w:type="dxa"/>
            <w:vAlign w:val="bottom"/>
            <w:tcBorders>
              <w:bottom w:val="single" w:sz="8" w:color="3D5588"/>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7"/>
                <w:szCs w:val="17"/>
                <w:color w:val="auto"/>
              </w:rPr>
              <w:t>7,993</w:t>
            </w:r>
          </w:p>
        </w:tc>
        <w:tc>
          <w:tcPr>
            <w:tcW w:w="100" w:type="dxa"/>
            <w:vAlign w:val="bottom"/>
          </w:tcPr>
          <w:p>
            <w:pPr>
              <w:spacing w:after="0"/>
              <w:rPr>
                <w:sz w:val="18"/>
                <w:szCs w:val="18"/>
                <w:color w:val="auto"/>
              </w:rPr>
            </w:pPr>
          </w:p>
        </w:tc>
        <w:tc>
          <w:tcPr>
            <w:tcW w:w="12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7"/>
                <w:szCs w:val="17"/>
                <w:color w:val="auto"/>
              </w:rPr>
              <w:t>8,595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-305435</wp:posOffset>
            </wp:positionV>
            <wp:extent cx="36302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30295"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___________</w:t>
      </w:r>
    </w:p>
    <w:p>
      <w:pPr>
        <w:spacing w:after="0" w:line="114" w:lineRule="exact"/>
        <w:rPr>
          <w:sz w:val="20"/>
          <w:szCs w:val="20"/>
          <w:color w:val="auto"/>
        </w:rPr>
      </w:pPr>
    </w:p>
    <w:p>
      <w:pPr>
        <w:ind w:left="300" w:hanging="296"/>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1-3 includes both the principal of the Term Loan as well as the revolving credit facility. This amount does not reflect any prepayments.</w:t>
      </w:r>
    </w:p>
    <w:p>
      <w:pPr>
        <w:spacing w:after="0" w:line="11" w:lineRule="exact"/>
        <w:rPr>
          <w:rFonts w:ascii="Times New Roman" w:cs="Times New Roman" w:eastAsia="Times New Roman" w:hAnsi="Times New Roman"/>
          <w:sz w:val="14"/>
          <w:szCs w:val="14"/>
          <w:color w:val="auto"/>
        </w:rPr>
      </w:pPr>
    </w:p>
    <w:p>
      <w:pPr>
        <w:ind w:left="320" w:hanging="316"/>
        <w:spacing w:after="0"/>
        <w:tabs>
          <w:tab w:leader="none" w:pos="31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table reflect the contractually required interest payable pursuant to borrowings under our debt related to our Credit Agreement. Interest payments in the table above were calculated using an interest rate of 7.86% for the debt which was the interest rate applicable to the borrowing as of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Debt</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carrying value of our total indebtedness was $74.7 million and $71.6 million, which includes unamortized deferred financing costs and issuance discount of $1.0 million and $1.2 million, and funds drawn on the revolving credit facility of $5.0 million and $—, as of December 31, 2024 and December 31, 2023, respectively.</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November 7, 2022, the Company entered into the Term Loan and Revolving Credit Facility pursuant to the Credit Agreement with a syndicate of lenders, originally maturing November 7, 2027. Pursuant to the Credit Agreement, there is (i) an $85.0 million original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September 13, 2024, the Company amended the Credit Agreement to modify certain financial condition covenants and the applicable margins. As such, for the period of September 13, 2024 through June 30, 2025, the applicable per annum margin is 2.5% or 3.5% for base rate or SOFR, respectively, if the Company's total leverage ratio is equal to or greater than 2.0x. If the Company's total leverage ratio is equal to or greater than 1.0x and less than 2.0x, the applicable per annum margin is 2.0% or 3.0% for base rate or SOFR, respectively. If the Company's total leverage ratio is below 1.0x, the applicable per annum margin is 1.5% or 2.5% for base rate or SOFR, respectively. As of December 31, 2024, the interest rate was 7.86%.</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March 12, 2025, the Company entered the Third Amendment. Under the terms of the Third Amendment, the parties thereto agreed to modify certain financial condition covenants made by the Company under the Term Loan and Revolving Credit Facility,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$3,000,000.00 as of the last day of the month ending March 31, 2025, (B) $5,000,000 as of the last day of the month ending April 30, 2025, and (C) $7,500,000.00 as of the last day of the months ending May 31, 2025 and thereafter (or the last day of each fiscal quarter thereafter upon the satisfaction of certain financial tests described therein); and (iv) new liquidity and financial reporting requirements have been added.</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to revising the covenants listed above, the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and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Sponsor. In consideration of the Third Amendment, the Company paid a fee equal to 0.15% of the outstanding loans to consenting Lenders, and a $125,000 arrangement fee to SVB. On March 12, 2025, in connection with the Third Amendment, the Company, SVB and our Sponsor (through certain affiliated entities) entered into the Limited Guarantee, pursuant to which our Sponsor agreed to provide a $10.0 million limited guaranty of the Company’s obligations under the Credit Agreement. The Limited Guarantee is callable on June 15, 2025 (or upon the earlier occurrence of certain defaults described therein) if the Company has not prepaid the Term Loan (excluding regularly scheduled amortization) by $10.0 million as of such date. Under the terms of the Limited Guarantee, if Sponsor is required to make any payment under the Limited Guarantee (other than as a result of a bankruptcy event), then Sponsor will be deemed to have purchased shares of common stock of the Company having an aggregate value equal to the amount of such payment. The Company has agreed to issue a subordinated note to Sponsor if a payment occurs under the Limited Guarantee, to the extent such payment does not result from the issuance of shares of common stock by the Company to Sponsor.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JOBS Act Accounting Election</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IPO or until we are no longer an “emerging growth company,” whichever is earlier.</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4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Our management’s discussion and analysis of financial condition and results of operations is based on our consolidated financial statements, which have been prepared in accordance with GAAP. The preparation of our consolidated financial statements and related disclosures requires us to make estimates and assumptions that affect the reported amounts of assets and liabilities, revenue, costs and expenses and the disclosure of contingent assets and liabilities, if applicable,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While our significant accounting policies are described in greater detail in </w:t>
      </w:r>
      <w:r>
        <w:rPr>
          <w:rFonts w:ascii="Times New Roman" w:cs="Times New Roman" w:eastAsia="Times New Roman" w:hAnsi="Times New Roman"/>
          <w:sz w:val="17"/>
          <w:szCs w:val="17"/>
          <w:i w:val="1"/>
          <w:iCs w:val="1"/>
          <w:color w:val="auto"/>
        </w:rPr>
        <w:t>Note 1—“Organization and 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Key Accounting Policies</w:t>
      </w:r>
      <w:r>
        <w:rPr>
          <w:rFonts w:ascii="Times New Roman" w:cs="Times New Roman" w:eastAsia="Times New Roman" w:hAnsi="Times New Roman"/>
          <w:sz w:val="17"/>
          <w:szCs w:val="17"/>
          <w:color w:val="auto"/>
        </w:rPr>
        <w:t>,” to our consolidated financial statements included elsewhere in this Annual Report on Form 10-K, we believe that the following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accounting policies are those most critical to the judgments and estimates used in the preparation of our consolidated financial statements. In addition, refer to </w:t>
      </w:r>
      <w:r>
        <w:rPr>
          <w:rFonts w:ascii="Times New Roman" w:cs="Times New Roman" w:eastAsia="Times New Roman" w:hAnsi="Times New Roman"/>
          <w:sz w:val="17"/>
          <w:szCs w:val="17"/>
          <w:i w:val="1"/>
          <w:iCs w:val="1"/>
          <w:color w:val="auto"/>
        </w:rPr>
        <w:t>Note 1—“Organization and Summary of Key Accounting Policies,</w:t>
      </w:r>
      <w:r>
        <w:rPr>
          <w:rFonts w:ascii="Times New Roman" w:cs="Times New Roman" w:eastAsia="Times New Roman" w:hAnsi="Times New Roman"/>
          <w:sz w:val="17"/>
          <w:szCs w:val="17"/>
          <w:color w:val="auto"/>
        </w:rPr>
        <w:t>” in our consolidated financial statements for a summary of recent and pending accounting standards.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We have adopted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w:t>
      </w:r>
    </w:p>
    <w:p>
      <w:pPr>
        <w:spacing w:after="0" w:line="50" w:lineRule="exact"/>
        <w:rPr>
          <w:sz w:val="20"/>
          <w:szCs w:val="20"/>
          <w:color w:val="auto"/>
        </w:rPr>
      </w:pPr>
    </w:p>
    <w:p>
      <w:pPr>
        <w:ind w:left="620" w:hanging="303"/>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contract(s) with a customer;</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in the contract; and</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as the entity satisfies a performance obligation.</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revenue consists primarily of revenue earned for the provision of the Company’s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Our performance obligations are delivery of specialty, minimally invasive liposuction services.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for services is recognized over time as the service is delivered, typically over a single day. Payment is typically rendered in advance of the service.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Customer contracts generally do not include more than one performance obligation.</w:t>
      </w:r>
    </w:p>
    <w:p>
      <w:pPr>
        <w:spacing w:after="0" w:line="1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Our policy is to require payment for services in advance of performing any procedure. Payments received for which services have yet to been performed were $1.2 million as of December 31, 2024 and $1.5 million as of December 31, 2023, respectively and are included in deferred revenue and patient deposits on our balance sheets.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Some states have laws that prohibit business entities with non-physician owners from practicing medicine, which are generally referred to as the corporate practice of medicine. States that have corporate practice of medicine laws require only physicians to practice medicine, exercise control over medical decisions or engage in certain arrangements with other physicians, such as fee-splitting. Therefore, we mainly operate by maintaining MSAs with our affiliated Professional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Associations, which are owned, directly or indirectly, and operated by a licensed surgeon, and which contract with individual surgeons to provide medical services. Under the MSAs, we provide and perform non-medical Management Services for which we are paid a management fee by each Professional Association. See “Business—Surgeon Practice Structure—Management Services Agreements.”</w:t>
      </w:r>
    </w:p>
    <w:p>
      <w:pPr>
        <w:spacing w:after="0" w:line="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surgeons contracted by the Professional Associations are exclusively in control of, and responsible for, all aspects of the practice of medicine. Each surgeon owner of a Professional Association (each a “Surgeon Owner,” and collectively, the “Surgeon Owners”) is also party to a continuity agreement (each, a “Continuity Agreement,” and collectively, the “Continuity Agreements”), which (i) prohibits the applicable surgeons from freely transferring or selling their interests in the Professional Associations, (ii) provides for the ability to add a second surgeon equity holder to help ensure continuity of the Professional Association, and (iii) provides for the automatic transfer of ownership upon the occurrence of certain events, save that, due to limitations under New York law, there is no Continuity Agreement in place with respect to the New York Professional Association. See “Business—Surgeon Practice Structure—Continuity Agreements.”</w:t>
      </w:r>
    </w:p>
    <w:p>
      <w:pPr>
        <w:spacing w:after="0" w:line="3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accordance with relevant accounting guidance, each of these Professional Associations is determined to be a variable interest entity. AirSculpt has the ability, through the Management Services and (with the exception of New York) Continuity Agreements to direct the activities (excluding clinical decisions) that most significantly affect the Professional Associations’ economic performance. Accordingly, we are the primary beneficiary of the Professional Associations, and, in accordance with GAAP, we consolidate the Professional Associations into our financial statements. All management fee revenue and related expenses are eliminated in consolidation, and all of the revenue reflected in our financial statements is revenue from services provided by the affiliated Professional Associations to patients.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Indefinite-lived, non-amortizing intangible assets include goodwill. Goodwill represents the excess of the fair value of the consideration conveyed in the acquisition over the fair value of net assets acquired. Goodwill is not amortized but is evaluated annually for impairment or sooner if factors occur that would trigger an impairment review. Our judgments regarding the existence of impairment indicators are based on market conditions and operational performance.</w:t>
      </w:r>
    </w:p>
    <w:p>
      <w:pPr>
        <w:spacing w:after="0" w:line="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Definite-lived, amortizing intangible assets primarily consist of trademarks and tradenames, patents and other intellectual property. We amortize definite-lived identifiable intangible assets on a straight-line basis over their estimated useful life of 15 years.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of goodwill</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the business climate, unanticipated competition, a loss of key personnel, or the strategy for our overall business, significant industry or economic trends, or significant underperformance relevant to expected historical or projected future results of operations.</w:t>
      </w:r>
    </w:p>
    <w:p>
      <w:pPr>
        <w:spacing w:after="0" w:line="1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Goodwill is assessed for possible impairment by performing a qualitative analysis to determine if it is more likely than not that the fair value of a reporting unit is less than its carrying amount. If, after assessing the events or circumstances, we determine it is not more likely than not that the fair value of a reporting unit is less than its carrying amount, then additional impairment testing is not required. However, if we were to believe our fair value was more likely lower than our carrying value, then we are required to perform a quantitative analysis.</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quantitative analysis involves comparing the estimated fair value of a reporting unit with its respective book value, including goodwill. If the estimated fair value exceeds book value, goodwill is considered not to be impaired and no additional steps are necessary. If, however, the fair value of the reporting unit is less than its book value, then the carrying amount of the goodwill is reduced by recording an impairment loss in an amount equal to the excess. We review goodwill for impairment annually in the month of October.</w:t>
      </w:r>
    </w:p>
    <w:p>
      <w:pPr>
        <w:spacing w:after="0" w:line="1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performed our annual review of goodwill impairment in October 2024 and 2023 using a qualitative analysis and determined that a quantitative analysis was not required. There were no triggering events during the twelve months ended December 31, 2024 and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Equity-Based Compensation</w:t>
      </w:r>
    </w:p>
    <w:p>
      <w:pPr>
        <w:spacing w:after="0" w:line="1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We recognize equity-based compensation expense for employees and non-employees based on the grant-date fair value of awards over the applicable service period. See “Note 6 - Stockholders' Equity and Equity-based Compensation” for further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discussion of the awards outstanding. The grant date fair value of awards that contain market-based conditions are estimated using a Monte Carlo simulation model.</w:t>
      </w:r>
    </w:p>
    <w:p>
      <w:pPr>
        <w:spacing w:after="0" w:line="32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Determining the fair value of market-based awards requires judgment. The assumptions used in a Monte Carlo simulation model requires the input of subjective assumptions and are as follows:</w:t>
      </w:r>
    </w:p>
    <w:p>
      <w:pPr>
        <w:spacing w:after="0" w:line="55" w:lineRule="exact"/>
        <w:rPr>
          <w:sz w:val="20"/>
          <w:szCs w:val="20"/>
          <w:color w:val="auto"/>
        </w:rPr>
      </w:pPr>
    </w:p>
    <w:p>
      <w:pPr>
        <w:ind w:left="480" w:hanging="163"/>
        <w:spacing w:after="0" w:line="278" w:lineRule="auto"/>
        <w:tabs>
          <w:tab w:leader="none" w:pos="47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volatility—Expected volatility is based on historical volatilities of a publicly traded peer group based on daily price observations over a period equivalent to the expected term of the market-based PSU awards.</w:t>
      </w:r>
    </w:p>
    <w:p>
      <w:pPr>
        <w:spacing w:after="0" w:line="42"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term—The term is estimated in consideration of the time period expected to achieve the market condition.</w:t>
      </w:r>
    </w:p>
    <w:p>
      <w:pPr>
        <w:spacing w:after="0" w:line="117" w:lineRule="exact"/>
        <w:rPr>
          <w:rFonts w:ascii="Times New Roman" w:cs="Times New Roman" w:eastAsia="Times New Roman" w:hAnsi="Times New Roman"/>
          <w:sz w:val="17"/>
          <w:szCs w:val="17"/>
          <w:color w:val="auto"/>
        </w:rPr>
      </w:pPr>
    </w:p>
    <w:p>
      <w:pPr>
        <w:ind w:left="480" w:hanging="163"/>
        <w:spacing w:after="0" w:line="278" w:lineRule="auto"/>
        <w:tabs>
          <w:tab w:leader="none" w:pos="47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Risk-free interest rate—The risk-free interest rate is based on the U.S. Treasury yield of treasury bonds with a maturity that approximates the expected term of the market-based PSU awards.</w:t>
      </w:r>
    </w:p>
    <w:p>
      <w:pPr>
        <w:spacing w:after="0" w:line="42" w:lineRule="exact"/>
        <w:rPr>
          <w:rFonts w:ascii="Times New Roman" w:cs="Times New Roman" w:eastAsia="Times New Roman" w:hAnsi="Times New Roman"/>
          <w:sz w:val="17"/>
          <w:szCs w:val="17"/>
          <w:color w:val="auto"/>
        </w:rPr>
      </w:pPr>
    </w:p>
    <w:p>
      <w:pPr>
        <w:ind w:left="480" w:hanging="163"/>
        <w:spacing w:after="0" w:line="294" w:lineRule="auto"/>
        <w:tabs>
          <w:tab w:leader="none" w:pos="47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dividend yield—The dividend yield is based on the current expectations of dividend payouts. The Company does not anticipate paying any cash dividends in the foreseeable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6 - Stockholders' Equity and Equity-based Compensation” for further discussion on the valuation of these awards.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23" w:lineRule="exact"/>
        <w:rPr>
          <w:sz w:val="20"/>
          <w:szCs w:val="20"/>
          <w:color w:val="auto"/>
        </w:rPr>
      </w:pPr>
    </w:p>
    <w:p>
      <w:pPr>
        <w:ind w:right="2700"/>
        <w:spacing w:after="0" w:line="294" w:lineRule="auto"/>
        <w:rPr>
          <w:sz w:val="20"/>
          <w:szCs w:val="20"/>
          <w:color w:val="auto"/>
        </w:rPr>
      </w:pPr>
      <w:r>
        <w:rPr>
          <w:rFonts w:ascii="Times New Roman" w:cs="Times New Roman" w:eastAsia="Times New Roman" w:hAnsi="Times New Roman"/>
          <w:sz w:val="17"/>
          <w:szCs w:val="17"/>
          <w:color w:val="auto"/>
        </w:rPr>
        <w:t>The Company is a smaller reporting company as defined by Rule 12b-2 of the Exchange Act and is not required to provide the information required under Item 7A.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primary market risk exposure is changing interest rates. Interest rate risk is highly sensitive due to many factors, including United States monetary and tax policies, United States and international economic factors and other factors beyond our control. 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2x. If the Company's total leverage ratio is equal to or greater than 1x and less than 2x, the applicable per annum margin is 1.5% or 2.5% for base rate or SOFR, respectively. If the Company's total leverage ratio is below 1x, the applicable per annum margin is 1.0% or 2.0% for base rate or SOFR, respectively.</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September 13, 2024, the Company amended the Credit Agreement to modify certain financial condition covenants and the applicable margins. As such, for the period of September 13, 2024 through June 30, 2025, the applicable per annum margin is 2.5% or 3.5% for base rate or SOFR, respectively, if the Company's total leverage ratio is equal to or greater than 2.0x. If the Company's total leverage ratio is equal to or greater than 1.0x and less than 2.0x, the applicable per annum margin is 2.0% or 3.0% for base rate or SOFR, respectively. If the Company's total leverage ratio is below 1.0x, the applicable per annum margin is 1.5% or 2.5% for base rate or SOFR, respectively.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of March 12, 2025, the Company entered into the Third Amendment to the Credit Agreement which changed the applicable per annum margin, beginning on or about July 1, 2025,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December 31, 2024, we had term loan borrowings of $70.8 million in principal amount under the Loan Agreement and $5.0 million drawn on the revolving credit facility. Based on the amount outstanding, a 100 basis point increase or decrease in market interest rates over a twelve-month period would result in a change to interest expense of approximately $0.8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 Risk</w:t>
      </w:r>
    </w:p>
    <w:p>
      <w:pPr>
        <w:spacing w:after="0" w:line="1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7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Number 248)</w:t>
            </w:r>
          </w:p>
        </w:tc>
        <w:tc>
          <w:tcPr>
            <w:tcW w:w="14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740" w:type="dxa"/>
            <w:vAlign w:val="bottom"/>
            <w:gridSpan w:val="8"/>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66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2060" w:type="dxa"/>
            <w:vAlign w:val="bottom"/>
            <w:tcBorders>
              <w:top w:val="single" w:sz="8" w:color="auto"/>
            </w:tcBorders>
            <w:gridSpan w:val="5"/>
          </w:tcPr>
          <w:p>
            <w:pPr>
              <w:spacing w:after="0"/>
              <w:rPr>
                <w:sz w:val="17"/>
                <w:szCs w:val="17"/>
                <w:color w:val="auto"/>
              </w:rPr>
            </w:pPr>
          </w:p>
        </w:tc>
        <w:tc>
          <w:tcPr>
            <w:tcW w:w="5660" w:type="dxa"/>
            <w:vAlign w:val="bottom"/>
            <w:gridSpan w:val="2"/>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Consolidated Statements of Operations</w:t>
            </w:r>
          </w:p>
        </w:tc>
        <w:tc>
          <w:tcPr>
            <w:tcW w:w="7020" w:type="dxa"/>
            <w:vAlign w:val="bottom"/>
            <w:gridSpan w:val="6"/>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Consolidated Statements of Other Comprehensive Loss</w:t>
            </w:r>
          </w:p>
        </w:tc>
        <w:tc>
          <w:tcPr>
            <w:tcW w:w="5880" w:type="dxa"/>
            <w:vAlign w:val="bottom"/>
            <w:gridSpan w:val="3"/>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Consolidated Statements of Changes in Stockholders’ Equity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55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0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6700" w:type="dxa"/>
            <w:vAlign w:val="bottom"/>
            <w:gridSpan w:val="4"/>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c>
          <w:tcPr>
            <w:tcW w:w="0" w:type="dxa"/>
            <w:vAlign w:val="bottom"/>
          </w:tcPr>
          <w:p>
            <w:pPr>
              <w:spacing w:after="0"/>
              <w:rPr>
                <w:sz w:val="1"/>
                <w:szCs w:val="1"/>
                <w:color w:val="auto"/>
              </w:rPr>
            </w:pPr>
          </w:p>
        </w:tc>
      </w:tr>
      <w:tr>
        <w:trPr>
          <w:trHeight w:val="892"/>
        </w:trPr>
        <w:tc>
          <w:tcPr>
            <w:tcW w:w="9760" w:type="dxa"/>
            <w:vAlign w:val="bottom"/>
            <w:gridSpan w:val="9"/>
          </w:tcPr>
          <w:p>
            <w:pPr>
              <w:jc w:val="right"/>
              <w:ind w:right="4040"/>
              <w:spacing w:after="0"/>
              <w:rPr>
                <w:sz w:val="20"/>
                <w:szCs w:val="20"/>
                <w:color w:val="auto"/>
              </w:rPr>
            </w:pPr>
            <w:r>
              <w:rPr>
                <w:rFonts w:ascii="Times New Roman" w:cs="Times New Roman" w:eastAsia="Times New Roman" w:hAnsi="Times New Roman"/>
                <w:sz w:val="17"/>
                <w:szCs w:val="17"/>
                <w:color w:val="auto"/>
              </w:rPr>
              <w:t>65</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5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 and Stockholders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AirSculpt Technologies, Inc.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AirSculpt Technologies, Inc. (a Delaware corporation) and subsidiaries (the “Company”) as of December 31, 2024 and 2023, the related consolidated statements of operations, other comprehensive loss,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GRANT THORNTON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2018.</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Tampa, Florida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2025</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AirSculpt Technologies, Inc. and Subsidiaries</w:t>
      </w:r>
    </w:p>
    <w:p>
      <w:pPr>
        <w:spacing w:after="0" w:line="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7"/>
          <w:szCs w:val="17"/>
          <w:b w:val="1"/>
          <w:bCs w:val="1"/>
          <w:color w:val="auto"/>
        </w:rPr>
        <w:t>December 31, 2024 and 2023</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 except for shares)</w:t>
            </w: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8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10,262</w:t>
            </w:r>
          </w:p>
        </w:tc>
        <w:tc>
          <w:tcPr>
            <w:tcW w:w="0" w:type="dxa"/>
            <w:vAlign w:val="bottom"/>
          </w:tcPr>
          <w:p>
            <w:pPr>
              <w:spacing w:after="0"/>
              <w:rPr>
                <w:sz w:val="1"/>
                <w:szCs w:val="1"/>
                <w:color w:val="auto"/>
              </w:rPr>
            </w:pPr>
          </w:p>
        </w:tc>
      </w:tr>
      <w:tr>
        <w:trPr>
          <w:trHeight w:val="241"/>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Taxes receivable</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1,941</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w:t>
            </w:r>
          </w:p>
        </w:tc>
        <w:tc>
          <w:tcPr>
            <w:tcW w:w="0" w:type="dxa"/>
            <w:vAlign w:val="bottom"/>
          </w:tcPr>
          <w:p>
            <w:pPr>
              <w:spacing w:after="0"/>
              <w:rPr>
                <w:sz w:val="1"/>
                <w:szCs w:val="1"/>
                <w:color w:val="auto"/>
              </w:rPr>
            </w:pPr>
          </w:p>
        </w:tc>
      </w:tr>
      <w:tr>
        <w:trPr>
          <w:trHeight w:val="240"/>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15,961</w:t>
            </w:r>
          </w:p>
        </w:tc>
        <w:tc>
          <w:tcPr>
            <w:tcW w:w="0" w:type="dxa"/>
            <w:vAlign w:val="bottom"/>
          </w:tcPr>
          <w:p>
            <w:pPr>
              <w:spacing w:after="0"/>
              <w:rPr>
                <w:sz w:val="1"/>
                <w:szCs w:val="1"/>
                <w:color w:val="auto"/>
              </w:rPr>
            </w:pPr>
          </w:p>
        </w:tc>
      </w:tr>
      <w:tr>
        <w:trPr>
          <w:trHeight w:val="25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28,908</w:t>
            </w:r>
          </w:p>
        </w:tc>
        <w:tc>
          <w:tcPr>
            <w:tcW w:w="0" w:type="dxa"/>
            <w:vAlign w:val="bottom"/>
          </w:tcPr>
          <w:p>
            <w:pPr>
              <w:spacing w:after="0"/>
              <w:rPr>
                <w:sz w:val="1"/>
                <w:szCs w:val="1"/>
                <w:color w:val="auto"/>
              </w:rPr>
            </w:pP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5,657</w:t>
            </w:r>
          </w:p>
        </w:tc>
        <w:tc>
          <w:tcPr>
            <w:tcW w:w="0" w:type="dxa"/>
            <w:vAlign w:val="bottom"/>
          </w:tcPr>
          <w:p>
            <w:pPr>
              <w:spacing w:after="0"/>
              <w:rPr>
                <w:sz w:val="1"/>
                <w:szCs w:val="1"/>
                <w:color w:val="auto"/>
              </w:rPr>
            </w:pPr>
          </w:p>
        </w:tc>
      </w:tr>
      <w:tr>
        <w:trPr>
          <w:trHeight w:val="25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 of use operating lease assets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25,413</w:t>
            </w:r>
          </w:p>
        </w:tc>
        <w:tc>
          <w:tcPr>
            <w:tcW w:w="0" w:type="dxa"/>
            <w:vAlign w:val="bottom"/>
          </w:tcPr>
          <w:p>
            <w:pPr>
              <w:spacing w:after="0"/>
              <w:rPr>
                <w:sz w:val="1"/>
                <w:szCs w:val="1"/>
                <w:color w:val="auto"/>
              </w:rPr>
            </w:pPr>
          </w:p>
        </w:tc>
      </w:tr>
      <w:tr>
        <w:trPr>
          <w:trHeight w:val="25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46,346</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81,734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81,734</w:t>
            </w:r>
          </w:p>
        </w:tc>
        <w:tc>
          <w:tcPr>
            <w:tcW w:w="0" w:type="dxa"/>
            <w:vAlign w:val="bottom"/>
          </w:tcPr>
          <w:p>
            <w:pPr>
              <w:spacing w:after="0"/>
              <w:rPr>
                <w:sz w:val="1"/>
                <w:szCs w:val="1"/>
                <w:color w:val="auto"/>
              </w:rPr>
            </w:pPr>
          </w:p>
        </w:tc>
      </w:tr>
      <w:tr>
        <w:trPr>
          <w:trHeight w:val="247"/>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209,996</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204,019</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3,922</w:t>
            </w:r>
          </w:p>
        </w:tc>
        <w:tc>
          <w:tcPr>
            <w:tcW w:w="0" w:type="dxa"/>
            <w:vAlign w:val="bottom"/>
          </w:tcPr>
          <w:p>
            <w:pPr>
              <w:spacing w:after="0"/>
              <w:rPr>
                <w:sz w:val="1"/>
                <w:szCs w:val="1"/>
                <w:color w:val="auto"/>
              </w:rPr>
            </w:pPr>
          </w:p>
        </w:tc>
      </w:tr>
      <w:tr>
        <w:trPr>
          <w:trHeight w:val="241"/>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payroll and benefits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4,127</w:t>
            </w:r>
          </w:p>
        </w:tc>
        <w:tc>
          <w:tcPr>
            <w:tcW w:w="0" w:type="dxa"/>
            <w:vAlign w:val="bottom"/>
          </w:tcPr>
          <w:p>
            <w:pPr>
              <w:spacing w:after="0"/>
              <w:rPr>
                <w:sz w:val="1"/>
                <w:szCs w:val="1"/>
                <w:color w:val="auto"/>
              </w:rPr>
            </w:pPr>
          </w:p>
        </w:tc>
      </w:tr>
      <w:tr>
        <w:trPr>
          <w:trHeight w:val="254"/>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0" w:type="dxa"/>
            <w:vAlign w:val="bottom"/>
          </w:tcPr>
          <w:p>
            <w:pPr>
              <w:spacing w:after="0"/>
              <w:rPr>
                <w:sz w:val="1"/>
                <w:szCs w:val="1"/>
                <w:color w:val="auto"/>
              </w:rPr>
            </w:pPr>
          </w:p>
        </w:tc>
      </w:tr>
      <w:tr>
        <w:trPr>
          <w:trHeight w:val="241"/>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revenue and patient deposits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0" w:type="dxa"/>
            <w:vAlign w:val="bottom"/>
          </w:tcPr>
          <w:p>
            <w:pPr>
              <w:spacing w:after="0"/>
              <w:rPr>
                <w:sz w:val="1"/>
                <w:szCs w:val="1"/>
                <w:color w:val="auto"/>
              </w:rPr>
            </w:pPr>
          </w:p>
        </w:tc>
      </w:tr>
      <w:tr>
        <w:trPr>
          <w:trHeight w:val="254"/>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3,303</w:t>
            </w: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5,375</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28,609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20,315</w:t>
            </w:r>
          </w:p>
        </w:tc>
        <w:tc>
          <w:tcPr>
            <w:tcW w:w="0" w:type="dxa"/>
            <w:vAlign w:val="bottom"/>
          </w:tcPr>
          <w:p>
            <w:pPr>
              <w:spacing w:after="0"/>
              <w:rPr>
                <w:sz w:val="1"/>
                <w:szCs w:val="1"/>
                <w:color w:val="auto"/>
              </w:rPr>
            </w:pPr>
          </w:p>
        </w:tc>
      </w:tr>
      <w:tr>
        <w:trPr>
          <w:trHeight w:val="24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69,503</w:t>
            </w:r>
          </w:p>
        </w:tc>
        <w:tc>
          <w:tcPr>
            <w:tcW w:w="0" w:type="dxa"/>
            <w:vAlign w:val="bottom"/>
          </w:tcPr>
          <w:p>
            <w:pPr>
              <w:spacing w:after="0"/>
              <w:rPr>
                <w:sz w:val="1"/>
                <w:szCs w:val="1"/>
                <w:color w:val="auto"/>
              </w:rPr>
            </w:pPr>
          </w:p>
        </w:tc>
      </w:tr>
      <w:tr>
        <w:trPr>
          <w:trHeight w:val="25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6,828</w:t>
            </w:r>
          </w:p>
        </w:tc>
        <w:tc>
          <w:tcPr>
            <w:tcW w:w="0" w:type="dxa"/>
            <w:vAlign w:val="bottom"/>
          </w:tcPr>
          <w:p>
            <w:pPr>
              <w:spacing w:after="0"/>
              <w:rPr>
                <w:sz w:val="1"/>
                <w:szCs w:val="1"/>
                <w:color w:val="auto"/>
              </w:rPr>
            </w:pPr>
          </w:p>
        </w:tc>
      </w:tr>
      <w:tr>
        <w:trPr>
          <w:trHeight w:val="24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22,665</w:t>
            </w:r>
          </w:p>
        </w:tc>
        <w:tc>
          <w:tcPr>
            <w:tcW w:w="0" w:type="dxa"/>
            <w:vAlign w:val="bottom"/>
          </w:tcPr>
          <w:p>
            <w:pPr>
              <w:spacing w:after="0"/>
              <w:rPr>
                <w:sz w:val="1"/>
                <w:szCs w:val="1"/>
                <w:color w:val="auto"/>
              </w:rPr>
            </w:pPr>
          </w:p>
        </w:tc>
      </w:tr>
      <w:tr>
        <w:trPr>
          <w:trHeight w:val="25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Revolving credit funds payable</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120,027</w:t>
            </w:r>
          </w:p>
        </w:tc>
        <w:tc>
          <w:tcPr>
            <w:tcW w:w="0" w:type="dxa"/>
            <w:vAlign w:val="bottom"/>
          </w:tcPr>
          <w:p>
            <w:pPr>
              <w:spacing w:after="0"/>
              <w:rPr>
                <w:sz w:val="1"/>
                <w:szCs w:val="1"/>
                <w:color w:val="auto"/>
              </w:rPr>
            </w:pPr>
          </w:p>
        </w:tc>
      </w:tr>
      <w:tr>
        <w:trPr>
          <w:trHeight w:val="24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contingent liabilities (Note 9)</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18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Common stock, $0.001 par value; shares authorized - 450,000,000; shares issued and outstanding - 58,369,138 and</w:t>
            </w:r>
          </w:p>
        </w:tc>
        <w:tc>
          <w:tcPr>
            <w:tcW w:w="2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3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57,355,676, respectively</w:t>
            </w: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103,898</w:t>
            </w:r>
          </w:p>
        </w:tc>
        <w:tc>
          <w:tcPr>
            <w:tcW w:w="0" w:type="dxa"/>
            <w:vAlign w:val="bottom"/>
          </w:tcPr>
          <w:p>
            <w:pPr>
              <w:spacing w:after="0"/>
              <w:rPr>
                <w:sz w:val="1"/>
                <w:szCs w:val="1"/>
                <w:color w:val="auto"/>
              </w:rPr>
            </w:pP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0" w:type="dxa"/>
            <w:vAlign w:val="bottom"/>
          </w:tcPr>
          <w:p>
            <w:pPr>
              <w:spacing w:after="0"/>
              <w:rPr>
                <w:sz w:val="1"/>
                <w:szCs w:val="1"/>
                <w:color w:val="auto"/>
              </w:rPr>
            </w:pPr>
          </w:p>
        </w:tc>
      </w:tr>
      <w:tr>
        <w:trPr>
          <w:trHeight w:val="24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(27,802)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(19,551)</w:t>
            </w:r>
          </w:p>
        </w:tc>
        <w:tc>
          <w:tcPr>
            <w:tcW w:w="0" w:type="dxa"/>
            <w:vAlign w:val="bottom"/>
          </w:tcPr>
          <w:p>
            <w:pPr>
              <w:spacing w:after="0"/>
              <w:rPr>
                <w:sz w:val="1"/>
                <w:szCs w:val="1"/>
                <w:color w:val="auto"/>
              </w:rPr>
            </w:pPr>
          </w:p>
        </w:tc>
      </w:tr>
      <w:tr>
        <w:trPr>
          <w:trHeight w:val="240"/>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79,290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83,992</w:t>
            </w:r>
          </w:p>
        </w:tc>
        <w:tc>
          <w:tcPr>
            <w:tcW w:w="0" w:type="dxa"/>
            <w:vAlign w:val="bottom"/>
          </w:tcPr>
          <w:p>
            <w:pPr>
              <w:spacing w:after="0"/>
              <w:rPr>
                <w:sz w:val="1"/>
                <w:szCs w:val="1"/>
                <w:color w:val="auto"/>
              </w:rPr>
            </w:pPr>
          </w:p>
        </w:tc>
      </w:tr>
      <w:tr>
        <w:trPr>
          <w:trHeight w:val="266"/>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204,019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AirSculpt Technologies,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$000s, except for shares and per share figures)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6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180,350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168,794</w:t>
            </w: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Cost of service (exclusive of depreciation and amortization)</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71,382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62,781</w:t>
            </w:r>
          </w:p>
        </w:tc>
        <w:tc>
          <w:tcPr>
            <w:tcW w:w="0" w:type="dxa"/>
            <w:vAlign w:val="bottom"/>
          </w:tcPr>
          <w:p>
            <w:pPr>
              <w:spacing w:after="0"/>
              <w:rPr>
                <w:sz w:val="1"/>
                <w:szCs w:val="1"/>
                <w:color w:val="auto"/>
              </w:rPr>
            </w:pPr>
          </w:p>
        </w:tc>
      </w:tr>
      <w:tr>
        <w:trPr>
          <w:trHeight w:val="260"/>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98,880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101,418</w:t>
            </w:r>
          </w:p>
        </w:tc>
        <w:tc>
          <w:tcPr>
            <w:tcW w:w="0" w:type="dxa"/>
            <w:vAlign w:val="bottom"/>
          </w:tcPr>
          <w:p>
            <w:pPr>
              <w:spacing w:after="0"/>
              <w:rPr>
                <w:sz w:val="1"/>
                <w:szCs w:val="1"/>
                <w:color w:val="auto"/>
              </w:rPr>
            </w:pPr>
          </w:p>
        </w:tc>
      </w:tr>
      <w:tr>
        <w:trPr>
          <w:trHeight w:val="26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Loss on debt modification</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0" w:type="dxa"/>
            <w:vAlign w:val="bottom"/>
          </w:tcPr>
          <w:p>
            <w:pPr>
              <w:spacing w:after="0"/>
              <w:rPr>
                <w:sz w:val="1"/>
                <w:szCs w:val="1"/>
                <w:color w:val="auto"/>
              </w:rPr>
            </w:pPr>
          </w:p>
        </w:tc>
      </w:tr>
      <w:tr>
        <w:trPr>
          <w:trHeight w:val="254"/>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8,061</w:t>
            </w:r>
          </w:p>
        </w:tc>
        <w:tc>
          <w:tcPr>
            <w:tcW w:w="0" w:type="dxa"/>
            <w:vAlign w:val="bottom"/>
          </w:tcPr>
          <w:p>
            <w:pPr>
              <w:spacing w:after="0"/>
              <w:rPr>
                <w:sz w:val="1"/>
                <w:szCs w:val="1"/>
                <w:color w:val="auto"/>
              </w:rPr>
            </w:pPr>
          </w:p>
        </w:tc>
      </w:tr>
      <w:tr>
        <w:trPr>
          <w:trHeight w:val="26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Loss/(gain) on disposal of long-lived assets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182,166</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186,434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173,339</w:t>
            </w:r>
          </w:p>
        </w:tc>
        <w:tc>
          <w:tcPr>
            <w:tcW w:w="0" w:type="dxa"/>
            <w:vAlign w:val="bottom"/>
          </w:tcPr>
          <w:p>
            <w:pPr>
              <w:spacing w:after="0"/>
              <w:rPr>
                <w:sz w:val="1"/>
                <w:szCs w:val="1"/>
                <w:color w:val="auto"/>
              </w:rPr>
            </w:pPr>
          </w:p>
        </w:tc>
      </w:tr>
      <w:tr>
        <w:trPr>
          <w:trHeight w:val="247"/>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(Loss)/income from operations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(4,545)</w:t>
            </w:r>
          </w:p>
        </w:tc>
        <w:tc>
          <w:tcPr>
            <w:tcW w:w="0" w:type="dxa"/>
            <w:vAlign w:val="bottom"/>
          </w:tcPr>
          <w:p>
            <w:pPr>
              <w:spacing w:after="0"/>
              <w:rPr>
                <w:sz w:val="1"/>
                <w:szCs w:val="1"/>
                <w:color w:val="auto"/>
              </w:rPr>
            </w:pPr>
          </w:p>
        </w:tc>
      </w:tr>
      <w:tr>
        <w:trPr>
          <w:trHeight w:val="254"/>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6,247</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6,751</w:t>
            </w:r>
          </w:p>
        </w:tc>
        <w:tc>
          <w:tcPr>
            <w:tcW w:w="0" w:type="dxa"/>
            <w:vAlign w:val="bottom"/>
          </w:tcPr>
          <w:p>
            <w:pPr>
              <w:spacing w:after="0"/>
              <w:rPr>
                <w:sz w:val="1"/>
                <w:szCs w:val="1"/>
                <w:color w:val="auto"/>
              </w:rPr>
            </w:pPr>
          </w:p>
        </w:tc>
      </w:tr>
      <w:tr>
        <w:trPr>
          <w:trHeight w:val="247"/>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Pre-tax net (loss)/income</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(11,296)</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3,383</w:t>
            </w:r>
          </w:p>
        </w:tc>
        <w:tc>
          <w:tcPr>
            <w:tcW w:w="0" w:type="dxa"/>
            <w:vAlign w:val="bottom"/>
          </w:tcPr>
          <w:p>
            <w:pPr>
              <w:spacing w:after="0"/>
              <w:rPr>
                <w:sz w:val="1"/>
                <w:szCs w:val="1"/>
                <w:color w:val="auto"/>
              </w:rPr>
            </w:pPr>
          </w:p>
        </w:tc>
      </w:tr>
      <w:tr>
        <w:trPr>
          <w:trHeight w:val="272"/>
        </w:trPr>
        <w:tc>
          <w:tcPr>
            <w:tcW w:w="6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per share of common stock</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tcPr>
          <w:p>
            <w:pPr>
              <w:spacing w:after="0"/>
              <w:rPr>
                <w:sz w:val="22"/>
                <w:szCs w:val="22"/>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00" w:type="dxa"/>
            <w:vAlign w:val="bottom"/>
          </w:tcPr>
          <w:p>
            <w:pPr>
              <w:spacing w:after="0"/>
              <w:rPr>
                <w:sz w:val="22"/>
                <w:szCs w:val="22"/>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0" w:type="dxa"/>
            <w:vAlign w:val="bottom"/>
          </w:tcPr>
          <w:p>
            <w:pPr>
              <w:spacing w:after="0"/>
              <w:rPr>
                <w:sz w:val="1"/>
                <w:szCs w:val="1"/>
                <w:color w:val="auto"/>
              </w:rPr>
            </w:pPr>
          </w:p>
        </w:tc>
      </w:tr>
      <w:tr>
        <w:trPr>
          <w:trHeight w:val="267"/>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57,688,906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56,778,793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55,684,701</w:t>
            </w:r>
          </w:p>
        </w:tc>
        <w:tc>
          <w:tcPr>
            <w:tcW w:w="0" w:type="dxa"/>
            <w:vAlign w:val="bottom"/>
          </w:tcPr>
          <w:p>
            <w:pPr>
              <w:spacing w:after="0"/>
              <w:rPr>
                <w:sz w:val="1"/>
                <w:szCs w:val="1"/>
                <w:color w:val="auto"/>
              </w:rPr>
            </w:pPr>
          </w:p>
        </w:tc>
      </w:tr>
      <w:tr>
        <w:trPr>
          <w:trHeight w:val="247"/>
        </w:trPr>
        <w:tc>
          <w:tcPr>
            <w:tcW w:w="6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57,688,906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56,778,793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55,684,701</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620" w:hanging="616"/>
        <w:spacing w:after="0" w:line="267" w:lineRule="auto"/>
        <w:tabs>
          <w:tab w:leader="none" w:pos="33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fiscal year 2024, the Company recorded a cumulative reversal of stock compensation expense of $10.4 million related to reassessing the probability of achieving the performance target on certain of the Company's performance-based stock units. See Note 6 to the consolidated financial statements included in this Annual Report on Form 10-K for further discussion.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AirSculpt Technologies,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Other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6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(14,679)</w:t>
            </w: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foreign currency translation adjustment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comprehensive loss: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7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AirSculpt Technologies, Inc. and Subsidiaries</w:t>
      </w:r>
    </w:p>
    <w:p>
      <w:pPr>
        <w:spacing w:after="0" w:line="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w:t>
      </w:r>
    </w:p>
    <w:p>
      <w:pPr>
        <w:spacing w:after="0" w:line="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3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29210</wp:posOffset>
            </wp:positionV>
            <wp:extent cx="13315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ectPr>
          <w:pgSz w:w="11900" w:h="16838" w:orient="portrait"/>
          <w:cols w:equalWidth="0" w:num="1">
            <w:col w:w="11100"/>
          </w:cols>
          <w:pgMar w:left="320" w:top="499" w:right="479" w:bottom="1440" w:gutter="0" w:footer="0" w:header="0"/>
        </w:sectPr>
      </w:pP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($000s, except for shares)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38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2021</w:t>
            </w: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55,640,154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 through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5"/>
        </w:trPr>
        <w:tc>
          <w:tcPr>
            <w:tcW w:w="3860" w:type="dxa"/>
            <w:vAlign w:val="bottom"/>
          </w:tcPr>
          <w:p>
            <w:pPr>
              <w:ind w:left="140"/>
              <w:spacing w:after="0" w:line="175" w:lineRule="exact"/>
              <w:rPr>
                <w:sz w:val="20"/>
                <w:szCs w:val="20"/>
                <w:color w:val="auto"/>
              </w:rPr>
            </w:pPr>
            <w:r>
              <w:rPr>
                <w:rFonts w:ascii="Times New Roman" w:cs="Times New Roman" w:eastAsia="Times New Roman" w:hAnsi="Times New Roman"/>
                <w:sz w:val="17"/>
                <w:szCs w:val="17"/>
                <w:color w:val="auto"/>
              </w:rPr>
              <w:t>Payment of taxes withheld through vested equity-</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56,181,689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 through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1,173,987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5"/>
        </w:trPr>
        <w:tc>
          <w:tcPr>
            <w:tcW w:w="3860" w:type="dxa"/>
            <w:vAlign w:val="bottom"/>
          </w:tcPr>
          <w:p>
            <w:pPr>
              <w:ind w:left="140"/>
              <w:spacing w:after="0" w:line="175" w:lineRule="exact"/>
              <w:rPr>
                <w:sz w:val="20"/>
                <w:szCs w:val="20"/>
                <w:color w:val="auto"/>
              </w:rPr>
            </w:pPr>
            <w:r>
              <w:rPr>
                <w:rFonts w:ascii="Times New Roman" w:cs="Times New Roman" w:eastAsia="Times New Roman" w:hAnsi="Times New Roman"/>
                <w:sz w:val="17"/>
                <w:szCs w:val="17"/>
                <w:color w:val="auto"/>
              </w:rPr>
              <w:t>Payment of taxes withheld through vested equity-</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57,355,676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 through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1,013,462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5"/>
        </w:trPr>
        <w:tc>
          <w:tcPr>
            <w:tcW w:w="3860" w:type="dxa"/>
            <w:vAlign w:val="bottom"/>
          </w:tcPr>
          <w:p>
            <w:pPr>
              <w:ind w:left="140"/>
              <w:spacing w:after="0" w:line="175" w:lineRule="exact"/>
              <w:rPr>
                <w:sz w:val="20"/>
                <w:szCs w:val="20"/>
                <w:color w:val="auto"/>
              </w:rPr>
            </w:pPr>
            <w:r>
              <w:rPr>
                <w:rFonts w:ascii="Times New Roman" w:cs="Times New Roman" w:eastAsia="Times New Roman" w:hAnsi="Times New Roman"/>
                <w:sz w:val="17"/>
                <w:szCs w:val="17"/>
                <w:color w:val="auto"/>
              </w:rPr>
              <w:t>Payment of taxes withheld through vested equity-</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3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58,369,138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-3787140</wp:posOffset>
            </wp:positionV>
            <wp:extent cx="6946900" cy="148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46900" cy="148590"/>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-3497580</wp:posOffset>
            </wp:positionV>
            <wp:extent cx="6946900" cy="140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46900" cy="140335"/>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-3216275</wp:posOffset>
            </wp:positionV>
            <wp:extent cx="6946900" cy="140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46900" cy="140335"/>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-2819400</wp:posOffset>
            </wp:positionV>
            <wp:extent cx="6946900" cy="140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46900" cy="140335"/>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-2538095</wp:posOffset>
            </wp:positionV>
            <wp:extent cx="6946900" cy="148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46900" cy="148590"/>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-2248535</wp:posOffset>
            </wp:positionV>
            <wp:extent cx="6946900" cy="140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46900" cy="140335"/>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-1967865</wp:posOffset>
            </wp:positionV>
            <wp:extent cx="6946900" cy="140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46900" cy="140335"/>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-1570990</wp:posOffset>
            </wp:positionV>
            <wp:extent cx="6946900" cy="140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46900" cy="140335"/>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-1289685</wp:posOffset>
            </wp:positionV>
            <wp:extent cx="6946900" cy="148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46900" cy="148590"/>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-1000125</wp:posOffset>
            </wp:positionV>
            <wp:extent cx="6946900" cy="140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46900" cy="140335"/>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-718820</wp:posOffset>
            </wp:positionV>
            <wp:extent cx="6946900" cy="2565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46900" cy="256540"/>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-321945</wp:posOffset>
            </wp:positionV>
            <wp:extent cx="6946900" cy="140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46900" cy="140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83,865</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83,528</w:t>
            </w:r>
          </w:p>
        </w:tc>
        <w:tc>
          <w:tcPr>
            <w:tcW w:w="0" w:type="dxa"/>
            <w:vAlign w:val="bottom"/>
          </w:tcPr>
          <w:p>
            <w:pPr>
              <w:spacing w:after="0"/>
              <w:rPr>
                <w:sz w:val="1"/>
                <w:szCs w:val="1"/>
                <w:color w:val="auto"/>
              </w:rPr>
            </w:pPr>
          </w:p>
        </w:tc>
      </w:tr>
      <w:tr>
        <w:trPr>
          <w:trHeight w:val="221"/>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0" w:type="dxa"/>
            <w:vAlign w:val="bottom"/>
          </w:tcPr>
          <w:p>
            <w:pPr>
              <w:spacing w:after="0"/>
              <w:rPr>
                <w:sz w:val="1"/>
                <w:szCs w:val="1"/>
                <w:color w:val="auto"/>
              </w:rPr>
            </w:pPr>
          </w:p>
        </w:tc>
      </w:tr>
      <w:tr>
        <w:trPr>
          <w:trHeight w:val="221"/>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(24,701)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(24,701)</w:t>
            </w:r>
          </w:p>
        </w:tc>
        <w:tc>
          <w:tcPr>
            <w:tcW w:w="0" w:type="dxa"/>
            <w:vAlign w:val="bottom"/>
          </w:tcPr>
          <w:p>
            <w:pPr>
              <w:spacing w:after="0"/>
              <w:rPr>
                <w:sz w:val="1"/>
                <w:szCs w:val="1"/>
                <w:color w:val="auto"/>
              </w:rPr>
            </w:pPr>
          </w:p>
        </w:tc>
      </w:tr>
      <w:tr>
        <w:trPr>
          <w:trHeight w:val="227"/>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29,457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29,457</w:t>
            </w:r>
          </w:p>
        </w:tc>
        <w:tc>
          <w:tcPr>
            <w:tcW w:w="0" w:type="dxa"/>
            <w:vAlign w:val="bottom"/>
          </w:tcPr>
          <w:p>
            <w:pPr>
              <w:spacing w:after="0"/>
              <w:rPr>
                <w:sz w:val="1"/>
                <w:szCs w:val="1"/>
                <w:color w:val="auto"/>
              </w:rPr>
            </w:pPr>
          </w:p>
        </w:tc>
      </w:tr>
      <w:tr>
        <w:trPr>
          <w:trHeight w:val="398"/>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0" w:type="dxa"/>
            <w:vAlign w:val="bottom"/>
          </w:tcPr>
          <w:p>
            <w:pPr>
              <w:spacing w:after="0"/>
              <w:rPr>
                <w:sz w:val="1"/>
                <w:szCs w:val="1"/>
                <w:color w:val="auto"/>
              </w:rPr>
            </w:pPr>
          </w:p>
        </w:tc>
      </w:tr>
      <w:tr>
        <w:trPr>
          <w:trHeight w:val="221"/>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(14,679)</w:t>
            </w:r>
          </w:p>
        </w:tc>
        <w:tc>
          <w:tcPr>
            <w:tcW w:w="0" w:type="dxa"/>
            <w:vAlign w:val="bottom"/>
          </w:tcPr>
          <w:p>
            <w:pPr>
              <w:spacing w:after="0"/>
              <w:rPr>
                <w:sz w:val="1"/>
                <w:szCs w:val="1"/>
                <w:color w:val="auto"/>
              </w:rPr>
            </w:pPr>
          </w:p>
        </w:tc>
      </w:tr>
      <w:tr>
        <w:trPr>
          <w:trHeight w:val="227"/>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09"/>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85,858</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(15,072)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70,766</w:t>
            </w:r>
          </w:p>
        </w:tc>
        <w:tc>
          <w:tcPr>
            <w:tcW w:w="0" w:type="dxa"/>
            <w:vAlign w:val="bottom"/>
          </w:tcPr>
          <w:p>
            <w:pPr>
              <w:spacing w:after="0"/>
              <w:rPr>
                <w:sz w:val="1"/>
                <w:szCs w:val="1"/>
                <w:color w:val="auto"/>
              </w:rPr>
            </w:pPr>
          </w:p>
        </w:tc>
      </w:tr>
      <w:tr>
        <w:trPr>
          <w:trHeight w:val="221"/>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1"/>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1"/>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27"/>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18,224</w:t>
            </w:r>
          </w:p>
        </w:tc>
        <w:tc>
          <w:tcPr>
            <w:tcW w:w="0" w:type="dxa"/>
            <w:vAlign w:val="bottom"/>
          </w:tcPr>
          <w:p>
            <w:pPr>
              <w:spacing w:after="0"/>
              <w:rPr>
                <w:sz w:val="1"/>
                <w:szCs w:val="1"/>
                <w:color w:val="auto"/>
              </w:rPr>
            </w:pPr>
          </w:p>
        </w:tc>
      </w:tr>
      <w:tr>
        <w:trPr>
          <w:trHeight w:val="398"/>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221"/>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(4,479)</w:t>
            </w:r>
          </w:p>
        </w:tc>
        <w:tc>
          <w:tcPr>
            <w:tcW w:w="0" w:type="dxa"/>
            <w:vAlign w:val="bottom"/>
          </w:tcPr>
          <w:p>
            <w:pPr>
              <w:spacing w:after="0"/>
              <w:rPr>
                <w:sz w:val="1"/>
                <w:szCs w:val="1"/>
                <w:color w:val="auto"/>
              </w:rPr>
            </w:pPr>
          </w:p>
        </w:tc>
      </w:tr>
      <w:tr>
        <w:trPr>
          <w:trHeight w:val="227"/>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0" w:type="dxa"/>
            <w:vAlign w:val="bottom"/>
          </w:tcPr>
          <w:p>
            <w:pPr>
              <w:spacing w:after="0"/>
              <w:rPr>
                <w:sz w:val="1"/>
                <w:szCs w:val="1"/>
                <w:color w:val="auto"/>
              </w:rPr>
            </w:pPr>
          </w:p>
        </w:tc>
      </w:tr>
      <w:tr>
        <w:trPr>
          <w:trHeight w:val="209"/>
        </w:trPr>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103,898</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(19,551)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83,992</w:t>
            </w:r>
          </w:p>
        </w:tc>
        <w:tc>
          <w:tcPr>
            <w:tcW w:w="0" w:type="dxa"/>
            <w:vAlign w:val="bottom"/>
          </w:tcPr>
          <w:p>
            <w:pPr>
              <w:spacing w:after="0"/>
              <w:rPr>
                <w:sz w:val="1"/>
                <w:szCs w:val="1"/>
                <w:color w:val="auto"/>
              </w:rPr>
            </w:pPr>
          </w:p>
        </w:tc>
      </w:tr>
      <w:tr>
        <w:trPr>
          <w:trHeight w:val="221"/>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1"/>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0" w:type="dxa"/>
            <w:vAlign w:val="bottom"/>
          </w:tcPr>
          <w:p>
            <w:pPr>
              <w:spacing w:after="0"/>
              <w:rPr>
                <w:sz w:val="1"/>
                <w:szCs w:val="1"/>
                <w:color w:val="auto"/>
              </w:rPr>
            </w:pPr>
          </w:p>
        </w:tc>
      </w:tr>
      <w:tr>
        <w:trPr>
          <w:trHeight w:val="227"/>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3,762</w:t>
            </w:r>
          </w:p>
        </w:tc>
        <w:tc>
          <w:tcPr>
            <w:tcW w:w="0" w:type="dxa"/>
            <w:vAlign w:val="bottom"/>
          </w:tcPr>
          <w:p>
            <w:pPr>
              <w:spacing w:after="0"/>
              <w:rPr>
                <w:sz w:val="1"/>
                <w:szCs w:val="1"/>
                <w:color w:val="auto"/>
              </w:rPr>
            </w:pPr>
          </w:p>
        </w:tc>
      </w:tr>
      <w:tr>
        <w:trPr>
          <w:trHeight w:val="398"/>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0" w:type="dxa"/>
            <w:vAlign w:val="bottom"/>
          </w:tcPr>
          <w:p>
            <w:pPr>
              <w:spacing w:after="0"/>
              <w:rPr>
                <w:sz w:val="1"/>
                <w:szCs w:val="1"/>
                <w:color w:val="auto"/>
              </w:rPr>
            </w:pPr>
          </w:p>
        </w:tc>
      </w:tr>
      <w:tr>
        <w:trPr>
          <w:trHeight w:val="221"/>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0" w:type="dxa"/>
            <w:vAlign w:val="bottom"/>
          </w:tcPr>
          <w:p>
            <w:pPr>
              <w:spacing w:after="0"/>
              <w:rPr>
                <w:sz w:val="1"/>
                <w:szCs w:val="1"/>
                <w:color w:val="auto"/>
              </w:rPr>
            </w:pPr>
          </w:p>
        </w:tc>
      </w:tr>
      <w:tr>
        <w:trPr>
          <w:trHeight w:val="227"/>
        </w:trPr>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0" w:type="dxa"/>
            <w:vAlign w:val="bottom"/>
          </w:tcPr>
          <w:p>
            <w:pPr>
              <w:spacing w:after="0"/>
              <w:rPr>
                <w:sz w:val="1"/>
                <w:szCs w:val="1"/>
                <w:color w:val="auto"/>
              </w:rPr>
            </w:pPr>
          </w:p>
        </w:tc>
      </w:tr>
      <w:tr>
        <w:trPr>
          <w:trHeight w:val="214"/>
        </w:trPr>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107,721</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(27,802)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79,290</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40" w:space="80"/>
            <w:col w:w="4880"/>
          </w:cols>
          <w:pgMar w:left="320" w:top="499" w:right="479" w:bottom="1440" w:gutter="0" w:footer="0" w:header="0"/>
          <w:type w:val="continuous"/>
        </w:sectPr>
      </w:pPr>
    </w:p>
    <w:p>
      <w:pPr>
        <w:spacing w:after="0" w:line="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00"/>
          </w:cols>
          <w:pgMar w:left="320" w:top="499" w:right="47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AirSculpt Technologies,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2023 and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6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8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(4,479)</w:t>
            </w:r>
          </w:p>
        </w:tc>
        <w:tc>
          <w:tcPr>
            <w:tcW w:w="10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(14,679)</w:t>
            </w:r>
          </w:p>
        </w:tc>
        <w:tc>
          <w:tcPr>
            <w:tcW w:w="0" w:type="dxa"/>
            <w:vAlign w:val="bottom"/>
          </w:tcPr>
          <w:p>
            <w:pPr>
              <w:spacing w:after="0"/>
              <w:rPr>
                <w:sz w:val="1"/>
                <w:szCs w:val="1"/>
                <w:color w:val="auto"/>
              </w:rPr>
            </w:pPr>
          </w:p>
        </w:tc>
      </w:tr>
      <w:tr>
        <w:trPr>
          <w:trHeight w:val="25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8,061</w:t>
            </w:r>
          </w:p>
        </w:tc>
        <w:tc>
          <w:tcPr>
            <w:tcW w:w="0" w:type="dxa"/>
            <w:vAlign w:val="bottom"/>
          </w:tcPr>
          <w:p>
            <w:pPr>
              <w:spacing w:after="0"/>
              <w:rPr>
                <w:sz w:val="1"/>
                <w:szCs w:val="1"/>
                <w:color w:val="auto"/>
              </w:rPr>
            </w:pPr>
          </w:p>
        </w:tc>
      </w:tr>
      <w:tr>
        <w:trPr>
          <w:trHeight w:val="254"/>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Equity-based compensation</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29,457</w:t>
            </w:r>
          </w:p>
        </w:tc>
        <w:tc>
          <w:tcPr>
            <w:tcW w:w="0" w:type="dxa"/>
            <w:vAlign w:val="bottom"/>
          </w:tcPr>
          <w:p>
            <w:pPr>
              <w:spacing w:after="0"/>
              <w:rPr>
                <w:sz w:val="1"/>
                <w:szCs w:val="1"/>
                <w:color w:val="auto"/>
              </w:rPr>
            </w:pPr>
          </w:p>
        </w:tc>
      </w:tr>
      <w:tr>
        <w:trPr>
          <w:trHeight w:val="241"/>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Non-cash interest expense; amortization of debt costs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0" w:type="dxa"/>
            <w:vAlign w:val="bottom"/>
          </w:tcPr>
          <w:p>
            <w:pPr>
              <w:spacing w:after="0"/>
              <w:rPr>
                <w:sz w:val="1"/>
                <w:szCs w:val="1"/>
                <w:color w:val="auto"/>
              </w:rPr>
            </w:pPr>
          </w:p>
        </w:tc>
      </w:tr>
      <w:tr>
        <w:trPr>
          <w:trHeight w:val="254"/>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Loss on debt modification</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0" w:type="dxa"/>
            <w:vAlign w:val="bottom"/>
          </w:tcPr>
          <w:p>
            <w:pPr>
              <w:spacing w:after="0"/>
              <w:rPr>
                <w:sz w:val="1"/>
                <w:szCs w:val="1"/>
                <w:color w:val="auto"/>
              </w:rPr>
            </w:pPr>
          </w:p>
        </w:tc>
      </w:tr>
      <w:tr>
        <w:trPr>
          <w:trHeight w:val="241"/>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0" w:type="dxa"/>
            <w:vAlign w:val="bottom"/>
          </w:tcPr>
          <w:p>
            <w:pPr>
              <w:spacing w:after="0"/>
              <w:rPr>
                <w:sz w:val="1"/>
                <w:szCs w:val="1"/>
                <w:color w:val="auto"/>
              </w:rPr>
            </w:pPr>
          </w:p>
        </w:tc>
      </w:tr>
      <w:tr>
        <w:trPr>
          <w:trHeight w:val="254"/>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Loss/(gain) on disposal of long-lived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41"/>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Taxes receivable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(2,831)</w:t>
            </w:r>
          </w:p>
        </w:tc>
        <w:tc>
          <w:tcPr>
            <w:tcW w:w="0" w:type="dxa"/>
            <w:vAlign w:val="bottom"/>
          </w:tcPr>
          <w:p>
            <w:pPr>
              <w:spacing w:after="0"/>
              <w:rPr>
                <w:sz w:val="1"/>
                <w:szCs w:val="1"/>
                <w:color w:val="auto"/>
              </w:rPr>
            </w:pPr>
          </w:p>
        </w:tc>
      </w:tr>
      <w:tr>
        <w:trPr>
          <w:trHeight w:val="241"/>
        </w:trPr>
        <w:tc>
          <w:tcPr>
            <w:tcW w:w="6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Prepaid expense and other current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54"/>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(7,274)</w:t>
            </w:r>
          </w:p>
        </w:tc>
        <w:tc>
          <w:tcPr>
            <w:tcW w:w="0" w:type="dxa"/>
            <w:vAlign w:val="bottom"/>
          </w:tcPr>
          <w:p>
            <w:pPr>
              <w:spacing w:after="0"/>
              <w:rPr>
                <w:sz w:val="1"/>
                <w:szCs w:val="1"/>
                <w:color w:val="auto"/>
              </w:rPr>
            </w:pPr>
          </w:p>
        </w:tc>
      </w:tr>
      <w:tr>
        <w:trPr>
          <w:trHeight w:val="241"/>
        </w:trPr>
        <w:tc>
          <w:tcPr>
            <w:tcW w:w="66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0" w:type="dxa"/>
            <w:vAlign w:val="bottom"/>
          </w:tcPr>
          <w:p>
            <w:pPr>
              <w:spacing w:after="0"/>
              <w:rPr>
                <w:sz w:val="1"/>
                <w:szCs w:val="1"/>
                <w:color w:val="auto"/>
              </w:rPr>
            </w:pPr>
          </w:p>
        </w:tc>
      </w:tr>
      <w:tr>
        <w:trPr>
          <w:trHeight w:val="254"/>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revenue and patient deposits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Accrued and other liabilities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8,171</w:t>
            </w:r>
          </w:p>
        </w:tc>
        <w:tc>
          <w:tcPr>
            <w:tcW w:w="0" w:type="dxa"/>
            <w:vAlign w:val="bottom"/>
          </w:tcPr>
          <w:p>
            <w:pPr>
              <w:spacing w:after="0"/>
              <w:rPr>
                <w:sz w:val="1"/>
                <w:szCs w:val="1"/>
                <w:color w:val="auto"/>
              </w:rPr>
            </w:pPr>
          </w:p>
        </w:tc>
      </w:tr>
      <w:tr>
        <w:trPr>
          <w:trHeight w:val="247"/>
        </w:trPr>
        <w:tc>
          <w:tcPr>
            <w:tcW w:w="6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24,447</w:t>
            </w:r>
          </w:p>
        </w:tc>
        <w:tc>
          <w:tcPr>
            <w:tcW w:w="0" w:type="dxa"/>
            <w:vAlign w:val="bottom"/>
          </w:tcPr>
          <w:p>
            <w:pPr>
              <w:spacing w:after="0"/>
              <w:rPr>
                <w:sz w:val="1"/>
                <w:szCs w:val="1"/>
                <w:color w:val="auto"/>
              </w:rPr>
            </w:pPr>
          </w:p>
        </w:tc>
      </w:tr>
      <w:tr>
        <w:trPr>
          <w:trHeight w:val="221"/>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 net</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(12,921)</w:t>
            </w:r>
          </w:p>
        </w:tc>
        <w:tc>
          <w:tcPr>
            <w:tcW w:w="0" w:type="dxa"/>
            <w:vAlign w:val="bottom"/>
          </w:tcPr>
          <w:p>
            <w:pPr>
              <w:spacing w:after="0"/>
              <w:rPr>
                <w:sz w:val="1"/>
                <w:szCs w:val="1"/>
                <w:color w:val="auto"/>
              </w:rPr>
            </w:pPr>
          </w:p>
        </w:tc>
      </w:tr>
      <w:tr>
        <w:trPr>
          <w:trHeight w:val="240"/>
        </w:trPr>
        <w:tc>
          <w:tcPr>
            <w:tcW w:w="66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(9,919)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(12,921)</w:t>
            </w:r>
          </w:p>
        </w:tc>
        <w:tc>
          <w:tcPr>
            <w:tcW w:w="0" w:type="dxa"/>
            <w:vAlign w:val="bottom"/>
          </w:tcPr>
          <w:p>
            <w:pPr>
              <w:spacing w:after="0"/>
              <w:rPr>
                <w:sz w:val="1"/>
                <w:szCs w:val="1"/>
                <w:color w:val="auto"/>
              </w:rPr>
            </w:pPr>
          </w:p>
        </w:tc>
      </w:tr>
      <w:tr>
        <w:trPr>
          <w:trHeight w:val="23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on term loan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(84,263)</w:t>
            </w:r>
          </w:p>
        </w:tc>
        <w:tc>
          <w:tcPr>
            <w:tcW w:w="0" w:type="dxa"/>
            <w:vAlign w:val="bottom"/>
          </w:tcPr>
          <w:p>
            <w:pPr>
              <w:spacing w:after="0"/>
              <w:rPr>
                <w:sz w:val="1"/>
                <w:szCs w:val="1"/>
                <w:color w:val="auto"/>
              </w:rPr>
            </w:pPr>
          </w:p>
        </w:tc>
      </w:tr>
      <w:tr>
        <w:trPr>
          <w:trHeight w:val="25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Borrowings on term loan, net</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83,503</w:t>
            </w: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for debt modification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revolving credit facility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to member</w:t>
            </w:r>
          </w:p>
        </w:tc>
        <w:tc>
          <w:tcPr>
            <w:tcW w:w="3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w:t>
            </w:r>
          </w:p>
        </w:tc>
        <w:tc>
          <w:tcPr>
            <w:tcW w:w="0" w:type="dxa"/>
            <w:vAlign w:val="bottom"/>
          </w:tcPr>
          <w:p>
            <w:pPr>
              <w:spacing w:after="0"/>
              <w:rPr>
                <w:sz w:val="1"/>
                <w:szCs w:val="1"/>
                <w:color w:val="auto"/>
              </w:rPr>
            </w:pPr>
          </w:p>
        </w:tc>
      </w:tr>
      <w:tr>
        <w:trPr>
          <w:trHeight w:val="25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paid to shareholders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(23,160)</w:t>
            </w: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 of taxes withheld through vested equity-based compensation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0" w:type="dxa"/>
            <w:vAlign w:val="bottom"/>
          </w:tcPr>
          <w:p>
            <w:pPr>
              <w:spacing w:after="0"/>
              <w:rPr>
                <w:sz w:val="1"/>
                <w:szCs w:val="1"/>
                <w:color w:val="auto"/>
              </w:rPr>
            </w:pPr>
          </w:p>
        </w:tc>
      </w:tr>
      <w:tr>
        <w:trPr>
          <w:trHeight w:val="24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activity</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40"/>
        </w:trPr>
        <w:tc>
          <w:tcPr>
            <w:tcW w:w="66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7"/>
                <w:szCs w:val="17"/>
                <w:color w:val="auto"/>
              </w:rPr>
              <w:t>Net cash provided by/(used in) financing activities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(13,391)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(27,257)</w:t>
            </w:r>
          </w:p>
        </w:tc>
        <w:tc>
          <w:tcPr>
            <w:tcW w:w="0" w:type="dxa"/>
            <w:vAlign w:val="bottom"/>
          </w:tcPr>
          <w:p>
            <w:pPr>
              <w:spacing w:after="0"/>
              <w:rPr>
                <w:sz w:val="1"/>
                <w:szCs w:val="1"/>
                <w:color w:val="auto"/>
              </w:rPr>
            </w:pPr>
          </w:p>
        </w:tc>
      </w:tr>
      <w:tr>
        <w:trPr>
          <w:trHeight w:val="247"/>
        </w:trPr>
        <w:tc>
          <w:tcPr>
            <w:tcW w:w="6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(15,731)</w:t>
            </w: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of period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25,347</w:t>
            </w:r>
          </w:p>
        </w:tc>
        <w:tc>
          <w:tcPr>
            <w:tcW w:w="0" w:type="dxa"/>
            <w:vAlign w:val="bottom"/>
          </w:tcPr>
          <w:p>
            <w:pPr>
              <w:spacing w:after="0"/>
              <w:rPr>
                <w:sz w:val="1"/>
                <w:szCs w:val="1"/>
                <w:color w:val="auto"/>
              </w:rPr>
            </w:pPr>
          </w:p>
        </w:tc>
      </w:tr>
      <w:tr>
        <w:trPr>
          <w:trHeight w:val="247"/>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 of period</w:t>
            </w: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8,235</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66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interest</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5,830</w:t>
            </w: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w:t>
            </w:r>
          </w:p>
        </w:tc>
        <w:tc>
          <w:tcPr>
            <w:tcW w:w="8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4,663</w:t>
            </w:r>
          </w:p>
        </w:tc>
        <w:tc>
          <w:tcPr>
            <w:tcW w:w="10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4,932</w:t>
            </w:r>
          </w:p>
        </w:tc>
        <w:tc>
          <w:tcPr>
            <w:tcW w:w="0" w:type="dxa"/>
            <w:vAlign w:val="bottom"/>
          </w:tcPr>
          <w:p>
            <w:pPr>
              <w:spacing w:after="0"/>
              <w:rPr>
                <w:sz w:val="1"/>
                <w:szCs w:val="1"/>
                <w:color w:val="auto"/>
              </w:rPr>
            </w:pPr>
          </w:p>
        </w:tc>
      </w:tr>
      <w:tr>
        <w:trPr>
          <w:trHeight w:val="111"/>
        </w:trPr>
        <w:tc>
          <w:tcPr>
            <w:tcW w:w="66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1"/>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information: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included in accounts payable and accrued expenses</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14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AirSculpt Technologies,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ORGANIZATION AND SUMMARY OF KEY ACCOUNTING POLICIES</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AirSculpt Technologies, Inc. (“AirSculpt” or the "Company"), was formed as a Delaware corporation on June 30, 2021. The Company's revenues are concentrated in the specialty, minimally invasive liposuction market. The Company and its consolidated subsidiaries are referred to collectively in these consolidated financial statements as “we,” “our,” and “us.” Solely for convenience, some of the copyrights, trade names and trademarks referred to in these consolidated financial statements are listed without their </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and ™ symbols, but we will assert, to the fullest extent under applicable law, our rights to our copyrights, trade names and trademarks.</w:t>
      </w:r>
    </w:p>
    <w:p>
      <w:pPr>
        <w:spacing w:after="0" w:line="1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through its wholly-owned subsidiaries, is a provider of practice management services to professional associations (“PAs”) located throughout the United States, Canada, and the United Kingdom.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Principles of Consolidation</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present the financial position and results of operations of the Company, its wholly-owned domestic and international subsidiaries, and its variable interest in the managed PAs in the United States ("Domestic PAs"), which are under the control of the Company and are considered variable interest entities in which the Company is the primary beneficiary.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intercompany accounts and transactions have been eliminated in consolidation.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Basis of Presentation</w:t>
      </w:r>
    </w:p>
    <w:p>
      <w:pPr>
        <w:spacing w:after="0" w:line="22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In the opinion of management, the accompanying consolidated financial statements and accompanying notes have been prepared in accordance with accounting principles generally accepted in the United States of America (“U.S. GAAP”).</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Variable Interest Entities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has a variable interest in the Domestic PAs where it has a long-term and unilateral controlling financial interest over their assets and operations. The Company has the ability to direct the activities that most significantly affect the Domestic PAs’ economic performance via the MSAs and related agreements. The Company is a practice management service organization and does not engage in the practice of medicine. These services are provided by licensed professionals at each of the Domestic PAs. Certain key features of the MSAs and related agreements enable the Company to assign the member interests of certain of the Domestic PAs to another member designated by the Company (i.e., “nominee shareholder”) for a nominal value in certain circumstances at the Company’s sole discretion. The MSA does not allow the Company to be involved in, or provide guidance on, the clinical operations of the Domestic PAs. The Company consolidates the Domestic PAs into the financial statements. All of the Company’s revenue is earned from services provided by the Domestic PAs and its wholly-owned foreign subsidiaries in the United Kingdom and Canada. The only assets and liabilities held by the Domestic PAs included in the accompanying consolidated balance sheets are clinical related. The clinical assets and liabilities are not material to the Company as a whole.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Accounting Estimates</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Cash and Concentration of Credit Risk</w:t>
      </w:r>
    </w:p>
    <w:p>
      <w:pPr>
        <w:spacing w:after="0" w:line="14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Company considers all highly liquid investments with original maturities of three months or less when purchased to be cash equivalents. The Company’s revenues are concentrated in the specialty, minimally invasive liposuction market.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maintains cash balances at financial institutions which may at times exceed the amount covered by the Federal Deposit Insurance Corporation.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not experienced any losses in such accounts.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Revenue Recognition</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are not contingent upon any criteria. The Company recognizes revenue based on the expected transaction price which is reduced for financing fees.</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Revenue for services is recognized when the service is performed. Payment is typically rendered in advance of the service. Customer contracts generally do not include more than one performance obligation.</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policy is to require payment for services in advance. Payments received for services that have yet to be performed are included in deferred revenue and patient deposits. All of the deferred revenue and patient deposits as of December 31, 2023 and 2022 were recognized in revenue during the twelve months ended December 31, 2024 and 2023.</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For the twelve months ended December 31, 2024, 2023, and 2022, revenue from international locations was $6.1 million, $5.2 million, and $0.3 million, respectively, and net loss from international operations was $1.5 million, $1.9 million, and $1.4 million,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Cost of Service</w:t>
      </w:r>
    </w:p>
    <w:p>
      <w:pPr>
        <w:spacing w:after="0" w:line="15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Cost of service is comprised of all service and product costs related to the delivery of procedures, including but not limited to compensation to doctors, nurses and clinical staff, supply costs, and facility rent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Deferred Financing Costs, Net</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consolidated balance sheets. Total amortization of deferred financing costs was approximately $0.3 million, $0.2 million, and $0.9 million for the twelve months ended December 31, 2024, 2023 and 2022, respectively. Amortization of loan costs and discounts is included as a component of interest expense.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Property and Equipment, Net</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Depreciation is computed using the straight-line method of accounting over the assets’ estimated useful lives, generally five years for medical equipment, five years for office and computer equipment, and seven years for furniture and fixtures. Depreciation of leasehold improvements is based on the shorter of the estimated useful life of the improvement or the remaining lease term. As of December 31, 2024 and 2023, the Company has $2.4 million and $1.7 million recorded, respectively, in other long-term assets related to a software as a service hosting arrangement that has not yet been implemented. The software will be used to enhance the sales and marketing process.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Leases</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determines if an arrangement is a lease at inception. Right-of-use assets represent the right to use the underlying assets for the lease term and the lease liabilities represent the obligation to make lease payments arising from the leases. Right-of-use assets and liabilities are recognized at commencement date based on the present value of future lease payments over the lease term, which includes only payments that are fixed or determinable at the time of commencement. When readily determinable, the Company uses the interest rate implicit in a lease to determine the present value of future lease payments. For leases where the implicit rate is not readily determinable, the Company’s incremental borrowing rate is used. The Company calculates its incremental borrowing rate on a periodic basis using a third-party financial model that estimates the rate of interest the Company would have to pay to borrow an amount equal to the total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lease payments on a collateralized basis over a term similar to the lease. The Company applies its incremental borrowing rate using a portfolio approach. The right-of-use assets also include any lease payments made prior to commencement and is recorded net of any lease incentives received. Lease terms may include options to extend or terminate the lease when it is reasonably certain that the Company will exercise such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Goodwill and Intangible Assets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Indefinite-lived, non-amortizing intangible assets include goodwill. Goodwill represents the excess of the fair value of the consideration conveyed in the acquisition over the fair value of net assets acquired. Goodwill is not amortized but is evaluated annually for impairment or sooner if factors occur that would trigger an impairment review. Judgments regarding the existence of impairment indicators are based on market conditions and operational performance.</w:t>
      </w:r>
    </w:p>
    <w:p>
      <w:pPr>
        <w:spacing w:after="0" w:line="9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Definite-lived, amortizing intangible assets primarily consist of patents, tradenames and other intellectual property. The Company amortizes definite-lived identifiable intangible assets on a straight-line basis over their estimated useful life of 15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of goodwill</w:t>
      </w:r>
    </w:p>
    <w:p>
      <w:pPr>
        <w:spacing w:after="0" w:line="1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the business climate, unanticipated competition, a loss of key personnel, or the strategy for the overall business, significant industry or economic trends, or significant underperformance relevant to expected historical or projected future results of operations.</w:t>
      </w:r>
    </w:p>
    <w:p>
      <w:pPr>
        <w:spacing w:after="0" w:line="1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Goodwill is assessed for possible impairment by performing a qualitative analysis to determine if it is more likely than not that the fair value of a reporting unit is less than its carrying amount. If, after assessing the events or circumstances, the Company determines it is not more likely than not that the fair value of a reporting unit is less than its carrying amount, then additional impairment testing is not required. However, if the Company were to believe the fair value was more likely than not lower than the carrying value, then the Company is required to perform a quantitative analysis.</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quantitative analysis involves comparing the estimated fair value of a reporting unit with its respective book value, including goodwill. If the estimated fair value exceeds book value, goodwill is considered not to be impaired and no additional steps are necessary. If, however, the fair value of the reporting unit is less than its book value, then the carrying amount of the goodwill is reduced by recording an impairment loss in an amount equal to the excess. The Company reviews goodwill for impairment annually on October 1.</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2—Goodwill and Intangibles, Net” for further discussion.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Long-Lived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accounts for impairment of long-lived assets in accordance with the provisions of the Financial Accounting Standards Board (“FASB”)</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Accounting Standards Codification (“ASC”) Topic 350, </w:t>
      </w:r>
      <w:r>
        <w:rPr>
          <w:rFonts w:ascii="Times New Roman" w:cs="Times New Roman" w:eastAsia="Times New Roman" w:hAnsi="Times New Roman"/>
          <w:sz w:val="17"/>
          <w:szCs w:val="17"/>
          <w:i w:val="1"/>
          <w:iCs w:val="1"/>
          <w:color w:val="auto"/>
        </w:rPr>
        <w:t>Intangibles – Goodwill and Other</w:t>
      </w:r>
      <w:r>
        <w:rPr>
          <w:rFonts w:ascii="Times New Roman" w:cs="Times New Roman" w:eastAsia="Times New Roman" w:hAnsi="Times New Roman"/>
          <w:sz w:val="17"/>
          <w:szCs w:val="17"/>
          <w:color w:val="auto"/>
        </w:rPr>
        <w:t xml:space="preserve"> and Topic 360, </w:t>
      </w:r>
      <w:r>
        <w:rPr>
          <w:rFonts w:ascii="Times New Roman" w:cs="Times New Roman" w:eastAsia="Times New Roman" w:hAnsi="Times New Roman"/>
          <w:sz w:val="17"/>
          <w:szCs w:val="17"/>
          <w:i w:val="1"/>
          <w:iCs w:val="1"/>
          <w:color w:val="auto"/>
        </w:rPr>
        <w:t>Impairment or Disposal of Long-Lived Assets</w:t>
      </w:r>
      <w:r>
        <w:rPr>
          <w:rFonts w:ascii="Times New Roman" w:cs="Times New Roman" w:eastAsia="Times New Roman" w:hAnsi="Times New Roman"/>
          <w:sz w:val="17"/>
          <w:szCs w:val="17"/>
          <w:color w:val="auto"/>
        </w:rPr>
        <w:t>. These standards require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twelve months ended December 31, 2024, 2023 and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Fair Value</w:t>
      </w:r>
    </w:p>
    <w:p>
      <w:pPr>
        <w:spacing w:after="0" w:line="2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 xml:space="preserve">ASC Topic 820, </w:t>
      </w:r>
      <w:r>
        <w:rPr>
          <w:rFonts w:ascii="Times New Roman" w:cs="Times New Roman" w:eastAsia="Times New Roman" w:hAnsi="Times New Roman"/>
          <w:sz w:val="17"/>
          <w:szCs w:val="17"/>
          <w:i w:val="1"/>
          <w:iCs w:val="1"/>
          <w:color w:val="auto"/>
        </w:rPr>
        <w:t>Fair Value Measurements and Disclosure</w:t>
      </w:r>
      <w:r>
        <w:rPr>
          <w:rFonts w:ascii="Times New Roman" w:cs="Times New Roman" w:eastAsia="Times New Roman" w:hAnsi="Times New Roman"/>
          <w:sz w:val="17"/>
          <w:szCs w:val="17"/>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ASC Topic 820 defines three categories for the classification and measurement of assets and liabilities carried at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1: Quoted market prices in active markets for identical assets or liabilities.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2: Observable market-based inputs or observable inputs that are corroborated by market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Level 3: Unobservable inputs reflecting the reporting entity’s own assumptions.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Earnings Per Share</w:t>
      </w:r>
    </w:p>
    <w:p>
      <w:pPr>
        <w:spacing w:after="0" w:line="2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Basic earnings per share of common stock is computed by dividing net loss attributable to AirSculpt Technologies, Inc. for the twelve months ended December 31, 2024, 2023 and 2022 by the weighted-average number of shares of common stock outstanding during the same period. Diluted earnings per share of common stock is computed by dividing net loss attributable to AirSculpt Technologies, Inc. for the twelve months ended December 31, 2024, 2023 and 2022 by the weighted-average number of shares of common stock adjusted to give effect to potentially dilutive securities. Where the inclusion of potentially dilutive shares would be antidilutive, diluted loss per share equals basic loss per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Advertising Costs</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Advertising costs are expensed in the period when the costs are incurred and are included as a component of selling, general and administrative expenses. Advertising expenses were approximately $33.4 million, $25.9 million and $20.6 million for the twelve months ended December 31, 2024, 2023 and 2022,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became subject to taxation as a C corporation for periods after October 28, 2021.</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The Company applies the provisions of ASC 740-10, </w:t>
      </w:r>
      <w:r>
        <w:rPr>
          <w:rFonts w:ascii="Times New Roman" w:cs="Times New Roman" w:eastAsia="Times New Roman" w:hAnsi="Times New Roman"/>
          <w:sz w:val="17"/>
          <w:szCs w:val="17"/>
          <w:i w:val="1"/>
          <w:iCs w:val="1"/>
          <w:color w:val="auto"/>
        </w:rPr>
        <w:t>Accounting for Uncertain Tax Positions</w:t>
      </w:r>
      <w:r>
        <w:rPr>
          <w:rFonts w:ascii="Times New Roman" w:cs="Times New Roman" w:eastAsia="Times New Roman" w:hAnsi="Times New Roman"/>
          <w:sz w:val="17"/>
          <w:szCs w:val="17"/>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December 31, 2024 or December 31, 2023. The Company is not subject to U.S. federal tax examination prior to 2021, when it was formed.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Company has effective tax rates of approximately (2.3)%, 249.4% and (29.9)% for the twelve months ended December 31, 2024, 2023 and 2022, respectively, inclusive of all applicable U.S. federal and state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Going Concern</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Management evaluates at each annual and interim period whether there are conditions or events, considered in the aggregate, that raise substantial doubt about our ability to continue as a going concern within one year after the date that the consolidated financial statements are issued. Management’s evaluation is based on relevant conditions and events that are known and reasonably knowable at the date that the consolidated financial statements are issued. Management has concluded that there are no conditions or events, considered in the aggregate, that raise substantial doubt about our ability to continue as a going concern within one year after the issuance of these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Recently Adopted Accounting Pronouncements</w:t>
      </w:r>
    </w:p>
    <w:p>
      <w:pPr>
        <w:spacing w:after="0" w:line="1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In November 2023, the FASB issued Accounting Standards Update ("ASU") 2023-07, </w:t>
      </w:r>
      <w:r>
        <w:rPr>
          <w:rFonts w:ascii="Times New Roman" w:cs="Times New Roman" w:eastAsia="Times New Roman" w:hAnsi="Times New Roman"/>
          <w:sz w:val="17"/>
          <w:szCs w:val="17"/>
          <w:i w:val="1"/>
          <w:iCs w:val="1"/>
          <w:color w:val="auto"/>
        </w:rPr>
        <w:t>Segment Reporting (Topic 280), Improvements to Reportable Segment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Disclosures</w:t>
      </w:r>
      <w:r>
        <w:rPr>
          <w:rFonts w:ascii="Times New Roman" w:cs="Times New Roman" w:eastAsia="Times New Roman" w:hAnsi="Times New Roman"/>
          <w:sz w:val="17"/>
          <w:szCs w:val="17"/>
          <w:color w:val="auto"/>
        </w:rPr>
        <w:t>, which requires enhanced disclosures of significant segment expenses. The ASU is effective for annual periods beginning after December 15, 2023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interim periods beginning after December 15, 2024. The amendments in this ASU must be applied retrospectively to all periods presented and early adoption is permitted. The Company adopted ASU 2023-07 for the fiscal year ended December 31,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Recent Accounting Pronouncements</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which establishes new requirements for the categorization and disaggregation of information in the rate reconciliation as well as for disaggregation of income taxes paid. The ASU is effective for annual periods beginning after December 15, 2024 and interim periods beginning after December 15, 2025. The amendments in this ASU may be applied prospectively or retrospectively to all periods presented and early adoption is permitted. The Company is evaluating the impact of this ASU on its consolidated financial statements.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GOODWILL AND INTANGIBLES, NET</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October 2, 2018, EBS Intermediate acquired a controlling interest in EBS Enterprises, LLC in exchange for total consideration of $151.0 million. The fair value of the net identifiable assets at transaction date was $69.3 million, comprised primarily of $17.7 million in intangible assets related to the AirSculpt and Elite trademarks and tradenames and $53.6 million in intangible assets related to the AirSculpt technology and know-how. The resulting excess consideration over fair value of identifiable net assets was recorded to goodwill in the amount of $81.7 million.</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annual review of goodwill impairment was performed in October 2024 using a qualitative analysis and the Company determined that a quantitative analysis was not required. There were no triggering events during the years ended December 31, 2024, 2023 and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had goodwill of $81.7 million at December 31, 2024 and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consisted of the following at December 31, 2024 and December 31, 2023 (in 000’s):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vMerge w:val="restart"/>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7"/>
              </w:rPr>
              <w:t>Useful Life</w:t>
            </w: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know-how</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53,600</w:t>
            </w:r>
          </w:p>
        </w:tc>
        <w:tc>
          <w:tcPr>
            <w:tcW w:w="158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7"/>
                <w:szCs w:val="17"/>
                <w:color w:val="auto"/>
              </w:rPr>
              <w:t>15 years</w:t>
            </w:r>
          </w:p>
        </w:tc>
        <w:tc>
          <w:tcPr>
            <w:tcW w:w="0" w:type="dxa"/>
            <w:vAlign w:val="bottom"/>
          </w:tcPr>
          <w:p>
            <w:pPr>
              <w:spacing w:after="0"/>
              <w:rPr>
                <w:sz w:val="1"/>
                <w:szCs w:val="1"/>
                <w:color w:val="auto"/>
              </w:rPr>
            </w:pPr>
          </w:p>
        </w:tc>
      </w:tr>
      <w:tr>
        <w:trPr>
          <w:trHeight w:val="241"/>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Trademarks and tradenames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17,700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17,700</w:t>
            </w:r>
          </w:p>
        </w:tc>
        <w:tc>
          <w:tcPr>
            <w:tcW w:w="1580" w:type="dxa"/>
            <w:vAlign w:val="bottom"/>
            <w:tcBorders>
              <w:bottom w:val="single" w:sz="8" w:color="CCEEFF"/>
            </w:tcBorders>
          </w:tcPr>
          <w:p>
            <w:pPr>
              <w:jc w:val="center"/>
              <w:ind w:left="19"/>
              <w:spacing w:after="0"/>
              <w:rPr>
                <w:sz w:val="20"/>
                <w:szCs w:val="20"/>
                <w:color w:val="auto"/>
              </w:rPr>
            </w:pPr>
            <w:r>
              <w:rPr>
                <w:rFonts w:ascii="Times New Roman" w:cs="Times New Roman" w:eastAsia="Times New Roman" w:hAnsi="Times New Roman"/>
                <w:sz w:val="17"/>
                <w:szCs w:val="17"/>
                <w:color w:val="auto"/>
              </w:rPr>
              <w:t>15 years</w:t>
            </w:r>
          </w:p>
        </w:tc>
        <w:tc>
          <w:tcPr>
            <w:tcW w:w="0" w:type="dxa"/>
            <w:vAlign w:val="bottom"/>
          </w:tcPr>
          <w:p>
            <w:pPr>
              <w:spacing w:after="0"/>
              <w:rPr>
                <w:sz w:val="1"/>
                <w:szCs w:val="1"/>
                <w:color w:val="auto"/>
              </w:rPr>
            </w:pPr>
          </w:p>
        </w:tc>
      </w:tr>
      <w:tr>
        <w:trPr>
          <w:trHeight w:val="247"/>
        </w:trPr>
        <w:tc>
          <w:tcPr>
            <w:tcW w:w="6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71,300</w:t>
            </w: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amortization of technology and know-how</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(22,333)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amortization of tradenames and trademarks</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(7,375)</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(6,195)</w:t>
            </w: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intangible assets</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41,592</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46,346</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amortization expense on intangible assets was approximately $4.8 million for each of the years ended December 31, 2024, 2023, and 2022.</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estimated aggregate amortization expense on intangible assets for each of the next five years and thereafter is estimated to be as follows (in 000’s):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tcBorders>
              <w:bottom w:val="single" w:sz="8" w:color="3D5588"/>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220" w:type="dxa"/>
            <w:vAlign w:val="bottom"/>
            <w:tcBorders>
              <w:bottom w:val="single" w:sz="8" w:color="3D5588"/>
            </w:tcBorders>
          </w:tcPr>
          <w:p>
            <w:pPr>
              <w:spacing w:after="0"/>
              <w:rPr>
                <w:sz w:val="19"/>
                <w:szCs w:val="19"/>
                <w:color w:val="auto"/>
              </w:rPr>
            </w:pPr>
          </w:p>
        </w:tc>
        <w:tc>
          <w:tcPr>
            <w:tcW w:w="1260" w:type="dxa"/>
            <w:vAlign w:val="bottom"/>
            <w:tcBorders>
              <w:bottom w:val="single" w:sz="8" w:color="3D5588"/>
            </w:tcBorders>
          </w:tcPr>
          <w:p>
            <w:pPr>
              <w:spacing w:after="0"/>
              <w:rPr>
                <w:sz w:val="19"/>
                <w:szCs w:val="19"/>
                <w:color w:val="auto"/>
              </w:rPr>
            </w:pPr>
          </w:p>
        </w:tc>
        <w:tc>
          <w:tcPr>
            <w:tcW w:w="100" w:type="dxa"/>
            <w:vAlign w:val="bottom"/>
            <w:tcBorders>
              <w:bottom w:val="single" w:sz="8" w:color="3D5588"/>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4,753</w:t>
            </w:r>
          </w:p>
        </w:tc>
        <w:tc>
          <w:tcPr>
            <w:tcW w:w="0" w:type="dxa"/>
            <w:vAlign w:val="bottom"/>
          </w:tcPr>
          <w:p>
            <w:pPr>
              <w:spacing w:after="0"/>
              <w:rPr>
                <w:sz w:val="1"/>
                <w:szCs w:val="1"/>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4,753</w:t>
            </w:r>
          </w:p>
        </w:tc>
        <w:tc>
          <w:tcPr>
            <w:tcW w:w="0" w:type="dxa"/>
            <w:vAlign w:val="bottom"/>
          </w:tcPr>
          <w:p>
            <w:pPr>
              <w:spacing w:after="0"/>
              <w:rPr>
                <w:sz w:val="1"/>
                <w:szCs w:val="1"/>
                <w:color w:val="auto"/>
              </w:rPr>
            </w:pPr>
          </w:p>
        </w:tc>
      </w:tr>
      <w:tr>
        <w:trPr>
          <w:trHeight w:val="22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4,753</w:t>
            </w:r>
          </w:p>
        </w:tc>
        <w:tc>
          <w:tcPr>
            <w:tcW w:w="0" w:type="dxa"/>
            <w:vAlign w:val="bottom"/>
          </w:tcPr>
          <w:p>
            <w:pPr>
              <w:spacing w:after="0"/>
              <w:rPr>
                <w:sz w:val="1"/>
                <w:szCs w:val="1"/>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4,753</w:t>
            </w:r>
          </w:p>
        </w:tc>
        <w:tc>
          <w:tcPr>
            <w:tcW w:w="0" w:type="dxa"/>
            <w:vAlign w:val="bottom"/>
          </w:tcPr>
          <w:p>
            <w:pPr>
              <w:spacing w:after="0"/>
              <w:rPr>
                <w:sz w:val="1"/>
                <w:szCs w:val="1"/>
                <w:color w:val="auto"/>
              </w:rPr>
            </w:pPr>
          </w:p>
        </w:tc>
      </w:tr>
      <w:tr>
        <w:trPr>
          <w:trHeight w:val="22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4,753</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3D5588"/>
            </w:tcBorders>
          </w:tcPr>
          <w:p>
            <w:pPr>
              <w:spacing w:after="0"/>
              <w:rPr>
                <w:sz w:val="19"/>
                <w:szCs w:val="19"/>
                <w:color w:val="auto"/>
              </w:rPr>
            </w:pPr>
          </w:p>
        </w:tc>
        <w:tc>
          <w:tcPr>
            <w:tcW w:w="126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7"/>
                <w:szCs w:val="17"/>
                <w:color w:val="auto"/>
              </w:rPr>
              <w:t>17,827</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3D5588"/>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3D5588"/>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41,592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3 – PROPERTY AND EQUIPMENT, NET</w:t>
            </w: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3D5588"/>
            </w:tcBorders>
          </w:tcPr>
          <w:p>
            <w:pPr>
              <w:spacing w:after="0" w:line="20" w:lineRule="exact"/>
              <w:rPr>
                <w:sz w:val="1"/>
                <w:szCs w:val="1"/>
                <w:color w:val="auto"/>
              </w:rPr>
            </w:pPr>
          </w:p>
        </w:tc>
        <w:tc>
          <w:tcPr>
            <w:tcW w:w="1260" w:type="dxa"/>
            <w:vAlign w:val="bottom"/>
            <w:tcBorders>
              <w:top w:val="single" w:sz="8" w:color="CCEEFF"/>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8180" w:type="dxa"/>
            <w:vAlign w:val="bottom"/>
          </w:tcPr>
          <w:p>
            <w:pPr>
              <w:spacing w:after="0"/>
              <w:rPr>
                <w:sz w:val="20"/>
                <w:szCs w:val="20"/>
                <w:color w:val="auto"/>
              </w:rPr>
            </w:pPr>
            <w:r>
              <w:rPr>
                <w:rFonts w:ascii="Times New Roman" w:cs="Times New Roman" w:eastAsia="Times New Roman" w:hAnsi="Times New Roman"/>
                <w:sz w:val="17"/>
                <w:szCs w:val="17"/>
                <w:color w:val="auto"/>
              </w:rPr>
              <w:t>As of December 31, 2024 and December 31, 2023 property and equipment consists of the following (in 000’s):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Medical equipment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11,576</w:t>
            </w:r>
          </w:p>
        </w:tc>
        <w:tc>
          <w:tcPr>
            <w:tcW w:w="0" w:type="dxa"/>
            <w:vAlign w:val="bottom"/>
          </w:tcPr>
          <w:p>
            <w:pPr>
              <w:spacing w:after="0"/>
              <w:rPr>
                <w:sz w:val="1"/>
                <w:szCs w:val="1"/>
                <w:color w:val="auto"/>
              </w:rPr>
            </w:pPr>
          </w:p>
        </w:tc>
      </w:tr>
      <w:tr>
        <w:trPr>
          <w:trHeight w:val="24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 and computer equipment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0" w:type="dxa"/>
            <w:vAlign w:val="bottom"/>
          </w:tcPr>
          <w:p>
            <w:pPr>
              <w:spacing w:after="0"/>
              <w:rPr>
                <w:sz w:val="1"/>
                <w:szCs w:val="1"/>
                <w:color w:val="auto"/>
              </w:rPr>
            </w:pPr>
          </w:p>
        </w:tc>
      </w:tr>
      <w:tr>
        <w:trPr>
          <w:trHeight w:val="25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0" w:type="dxa"/>
            <w:vAlign w:val="bottom"/>
          </w:tcPr>
          <w:p>
            <w:pPr>
              <w:spacing w:after="0"/>
              <w:rPr>
                <w:sz w:val="1"/>
                <w:szCs w:val="1"/>
                <w:color w:val="auto"/>
              </w:rPr>
            </w:pPr>
          </w:p>
        </w:tc>
      </w:tr>
      <w:tr>
        <w:trPr>
          <w:trHeight w:val="24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21,982</w:t>
            </w:r>
          </w:p>
        </w:tc>
        <w:tc>
          <w:tcPr>
            <w:tcW w:w="0" w:type="dxa"/>
            <w:vAlign w:val="bottom"/>
          </w:tcPr>
          <w:p>
            <w:pPr>
              <w:spacing w:after="0"/>
              <w:rPr>
                <w:sz w:val="1"/>
                <w:szCs w:val="1"/>
                <w:color w:val="auto"/>
              </w:rPr>
            </w:pPr>
          </w:p>
        </w:tc>
      </w:tr>
      <w:tr>
        <w:trPr>
          <w:trHeight w:val="25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w:t>
            </w: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(18,632)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(11,700)</w:t>
            </w:r>
          </w:p>
        </w:tc>
        <w:tc>
          <w:tcPr>
            <w:tcW w:w="0" w:type="dxa"/>
            <w:vAlign w:val="bottom"/>
          </w:tcPr>
          <w:p>
            <w:pPr>
              <w:spacing w:after="0"/>
              <w:rPr>
                <w:sz w:val="1"/>
                <w:szCs w:val="1"/>
                <w:color w:val="auto"/>
              </w:rPr>
            </w:pPr>
          </w:p>
        </w:tc>
      </w:tr>
      <w:tr>
        <w:trPr>
          <w:trHeight w:val="27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28,908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was approximately $7.1 million, $5.5 million, and $3.3 million for the years ended December 31, 2024, 2023, and 2022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DEBT</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On November 7, 2022, the Company entered into a credit agreement with a syndicate of lenders (the "Credit Agreement") originally maturing November 7, 2027. Pursuant to the Credit Agreement, there is (i) an $85.0 million original aggregate principal amount of term loans and (ii) a revolving loan facility in an aggregate principal amount of up to $5.0 million. On September 29, 2023, the Company voluntarily pre-paid $10.0 million of the principal balance of the term loans under the Credit Agreement using cash on hand.</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September 13, 2024, the Company amended the Credit Agreement to modify certain financial condition covenants. As such, for the period of September 13, 2024 through June 30, 2025, the applicable per annum margin is 2.5% or 3.5% for base rate or SOFR, respectively, if the Company's total leverage ratio is equal to or greater than 2.0x. If the Company's total leverage ratio is equal to or greater than 1.0x and less than 2.0x, the applicable per annum margin is 2.0% or 3.0% for base rate or SOFR, respectively. If the Company's total leverage ratio is below 1.0x, the applicable per annum margin is 1.5% or 2.5% for base rate or SOFR, respectively. As of December 31, 2024, the interest rate was 7.86%.</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borrowings as of December 31, 2024 and December 31, 2023 were as follows (in 000’s):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70,750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72,875</w:t>
            </w:r>
          </w:p>
        </w:tc>
      </w:tr>
      <w:tr>
        <w:trPr>
          <w:trHeight w:val="24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debt discounts and issuance costs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(1,044)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(1,247)</w:t>
            </w:r>
          </w:p>
        </w:tc>
      </w:tr>
      <w:tr>
        <w:trPr>
          <w:trHeight w:val="24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debt, net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69,706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71,628</w:t>
            </w:r>
          </w:p>
        </w:tc>
      </w:tr>
      <w:tr>
        <w:trPr>
          <w:trHeight w:val="24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(4,250)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(2,125)</w:t>
            </w:r>
          </w:p>
        </w:tc>
      </w:tr>
      <w:tr>
        <w:trPr>
          <w:trHeight w:val="27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65,456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69,503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color w:val="auto"/>
        </w:rPr>
        <w:t>As of December 31, 2024 and December 31, 2023, the Company had $0.0 million and $5.0 million available on the revolving credit facility. The Company had $5.0 million drawn on the revolving credit facility as of December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scheduled future maturities of long-term debt as of December 31, 2024 is as follows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7137400" cy="156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61944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9442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w:t>
            </w:r>
          </w:p>
        </w:tc>
      </w:tr>
      <w:tr>
        <w:trPr>
          <w:trHeight w:val="254"/>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6,375</w:t>
            </w:r>
          </w:p>
        </w:tc>
      </w:tr>
      <w:tr>
        <w:trPr>
          <w:trHeight w:val="241"/>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60,125</w:t>
            </w:r>
          </w:p>
        </w:tc>
      </w:tr>
      <w:tr>
        <w:trPr>
          <w:trHeight w:val="272"/>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maturities</w:t>
            </w: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70,750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borrowings under the Credit Agreement are cross collateralized by substantially all assets of the Company and are subject to certain restrictive covenants including quarterly total leverage ratio and fixed charge ratio requirements. The Company is in compliance with all covenants and has no letter of credit outstanding as of December 31, 2024 and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LEASES</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Company’s operating leases are primarily for real estate, including medical office suites and corporate offices. For the twelve months ended December 31, 2024, 2023, and 2022, the Company incurred rent expense of $6.7 million, $5.9 million, and $4.5 million, respectively, related to its medical office suites. The Company’s rent expense related to its medical office suites is classified in cost of services within the Company’s consolidated statements of operations. The Company incurred rent expense of $364,000, $364,000, and $323,000 for the twelve months ended December 31, 2024, 2023, and 2022, respectively, related to the corporate offices which is classified in selling, general and administrative expenses. The Company currently does not have any finance leases.</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weighted-average lease terms and discount rates at December 31, 2024, 2023, and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4"/>
        </w:trPr>
        <w:tc>
          <w:tcPr>
            <w:tcW w:w="4160" w:type="dxa"/>
            <w:vAlign w:val="bottom"/>
          </w:tcPr>
          <w:p>
            <w:pPr>
              <w:spacing w:after="0"/>
              <w:rPr>
                <w:sz w:val="15"/>
                <w:szCs w:val="15"/>
                <w:color w:val="auto"/>
              </w:rPr>
            </w:pPr>
          </w:p>
        </w:tc>
        <w:tc>
          <w:tcPr>
            <w:tcW w:w="3940" w:type="dxa"/>
            <w:vAlign w:val="bottom"/>
            <w:gridSpan w:val="2"/>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1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4"/>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w:t>
            </w:r>
          </w:p>
        </w:tc>
        <w:tc>
          <w:tcPr>
            <w:tcW w:w="24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 years</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 years</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 years</w:t>
            </w: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 average discount rate</w:t>
            </w:r>
          </w:p>
        </w:tc>
        <w:tc>
          <w:tcPr>
            <w:tcW w:w="3940" w:type="dxa"/>
            <w:vAlign w:val="bottom"/>
            <w:gridSpan w:val="2"/>
          </w:tcPr>
          <w:p>
            <w:pPr>
              <w:jc w:val="right"/>
              <w:ind w:right="482"/>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tcPr>
          <w:p>
            <w:pPr>
              <w:spacing w:after="0"/>
              <w:rPr>
                <w:sz w:val="19"/>
                <w:szCs w:val="19"/>
                <w:color w:val="auto"/>
              </w:rPr>
            </w:pPr>
          </w:p>
        </w:tc>
        <w:tc>
          <w:tcPr>
            <w:tcW w:w="1480" w:type="dxa"/>
            <w:vAlign w:val="bottom"/>
          </w:tcPr>
          <w:p>
            <w:pPr>
              <w:jc w:val="right"/>
              <w:ind w:right="482"/>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1480" w:type="dxa"/>
            <w:vAlign w:val="bottom"/>
          </w:tcPr>
          <w:p>
            <w:pPr>
              <w:jc w:val="right"/>
              <w:ind w:right="482"/>
              <w:spacing w:after="0"/>
              <w:rPr>
                <w:sz w:val="20"/>
                <w:szCs w:val="20"/>
                <w:color w:val="auto"/>
              </w:rPr>
            </w:pPr>
            <w:r>
              <w:rPr>
                <w:rFonts w:ascii="Times New Roman" w:cs="Times New Roman" w:eastAsia="Times New Roman" w:hAnsi="Times New Roman"/>
                <w:sz w:val="17"/>
                <w:szCs w:val="17"/>
                <w:color w:val="auto"/>
              </w:rPr>
              <w:t>5.1%</w:t>
            </w:r>
          </w:p>
        </w:tc>
      </w:tr>
      <w:tr>
        <w:trPr>
          <w:trHeight w:val="867"/>
        </w:trPr>
        <w:tc>
          <w:tcPr>
            <w:tcW w:w="4160" w:type="dxa"/>
            <w:vAlign w:val="bottom"/>
          </w:tcPr>
          <w:p>
            <w:pPr>
              <w:spacing w:after="0"/>
              <w:rPr>
                <w:sz w:val="24"/>
                <w:szCs w:val="24"/>
                <w:color w:val="auto"/>
              </w:rPr>
            </w:pPr>
          </w:p>
        </w:tc>
        <w:tc>
          <w:tcPr>
            <w:tcW w:w="2440" w:type="dxa"/>
            <w:vAlign w:val="bottom"/>
          </w:tcPr>
          <w:p>
            <w:pPr>
              <w:jc w:val="right"/>
              <w:ind w:right="799"/>
              <w:spacing w:after="0"/>
              <w:rPr>
                <w:sz w:val="20"/>
                <w:szCs w:val="20"/>
                <w:color w:val="auto"/>
              </w:rPr>
            </w:pPr>
            <w:r>
              <w:rPr>
                <w:rFonts w:ascii="Times New Roman" w:cs="Times New Roman" w:eastAsia="Times New Roman" w:hAnsi="Times New Roman"/>
                <w:sz w:val="17"/>
                <w:szCs w:val="17"/>
                <w:color w:val="auto"/>
              </w:rPr>
              <w:t>79</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97"/>
        </w:trPr>
        <w:tc>
          <w:tcPr>
            <w:tcW w:w="416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-917575</wp:posOffset>
            </wp:positionV>
            <wp:extent cx="41929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192905" cy="825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for the twelve months ended December 31, 2024 and 2023 (in 000’s):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1"/>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cash outflows from operating leases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6,656</w:t>
            </w:r>
          </w:p>
        </w:tc>
        <w:tc>
          <w:tcPr>
            <w:tcW w:w="10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w:t>
            </w:r>
          </w:p>
        </w:tc>
      </w:tr>
      <w:tr>
        <w:trPr>
          <w:trHeight w:val="25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34"/>
        </w:trPr>
        <w:tc>
          <w:tcPr>
            <w:tcW w:w="8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8,040</w:t>
            </w:r>
          </w:p>
        </w:tc>
        <w:tc>
          <w:tcPr>
            <w:tcW w:w="10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9,934</w:t>
            </w:r>
          </w:p>
        </w:tc>
      </w:tr>
    </w:tbl>
    <w:p>
      <w:pPr>
        <w:spacing w:after="0" w:line="28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Future minimum rental payments under all non-cancellable operating lease agreements for the succeeding five years are as follows, excluding common area maintenance charges that may be required by the agreements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7137400" cy="156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61944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9442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7,409</w:t>
            </w:r>
          </w:p>
        </w:tc>
      </w:tr>
      <w:tr>
        <w:trPr>
          <w:trHeight w:val="254"/>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7,299</w:t>
            </w:r>
          </w:p>
        </w:tc>
      </w:tr>
      <w:tr>
        <w:trPr>
          <w:trHeight w:val="241"/>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6,727</w:t>
            </w:r>
          </w:p>
        </w:tc>
      </w:tr>
      <w:tr>
        <w:trPr>
          <w:trHeight w:val="254"/>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5,910</w:t>
            </w:r>
          </w:p>
        </w:tc>
      </w:tr>
      <w:tr>
        <w:trPr>
          <w:trHeight w:val="241"/>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4,505</w:t>
            </w:r>
          </w:p>
        </w:tc>
      </w:tr>
      <w:tr>
        <w:trPr>
          <w:trHeight w:val="24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12,083</w:t>
            </w:r>
          </w:p>
        </w:tc>
      </w:tr>
      <w:tr>
        <w:trPr>
          <w:trHeight w:val="240"/>
        </w:trPr>
        <w:tc>
          <w:tcPr>
            <w:tcW w:w="9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lease payments</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43,933</w:t>
            </w:r>
          </w:p>
        </w:tc>
      </w:tr>
      <w:tr>
        <w:trPr>
          <w:trHeight w:val="24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(13,586)</w:t>
            </w:r>
          </w:p>
        </w:tc>
      </w:tr>
      <w:tr>
        <w:trPr>
          <w:trHeight w:val="247"/>
        </w:trPr>
        <w:tc>
          <w:tcPr>
            <w:tcW w:w="9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lease obligations</w:t>
            </w: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30,347</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STOCKHOLDERS' EQUITY AND EQUITY-BASED COMPENSATION</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may issue a maximum of 5,564,015 shares under the 2021 Equity Incentive Plan. This amount will automatically increase on January 1 of each year for a period of ten years starting on January 1, 2023, in an amount equal to the lesser of (i) four percent of the total Common Stock outstanding on December 31 of the preceding year and (ii) such smaller number of shares as determined by the Company’s board of directors.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During the twelve months ended December 31, 2024 and 2023, the Company granted 590,279 and 767,261 RSUs, respectively, to certain officers, employees and non-employee directors in accordance with the 2021 Plan. Vesting and payment of these RSUs are generally subject to continuing service of the employee or non-employee director over the ratable vesting periods beginning one year from the date of grant to one or three years after the date of grant. The fair values of these RSUs were determined based on the closing price of the Company’s common stock on the trading date immediately prior to the grant date. These RSUs are not considered outstanding until vested.</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During the twelve months ended December 31, 2024 and 2023, the Company granted 482,165 and 624,846 PSUs, respectively, subject to the achievement of market-based conditions ("market-based PSUs"). The vesting is based on achievement of a total shareholder return relative to a specified peer group (“rTSR”). Based on the rTSR, the awards can settle in shares in a range from 0% to 200%.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performance criteria is based on the Company’s actual performance condition results as compared to the targets. These PSUs are not considered outstanding until settled.</w:t>
      </w:r>
    </w:p>
    <w:p>
      <w:pPr>
        <w:spacing w:after="0" w:line="17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Determining the fair value of the market-based PSU awards requires judgment. The Company uses a Monte Carlo simulation model to estimate the fair value of the market-based PSU awards. The assumptions used in this pricing model requires the input of subjective assumptions and are as follows:</w:t>
      </w:r>
    </w:p>
    <w:p>
      <w:pPr>
        <w:spacing w:after="0" w:line="68" w:lineRule="exact"/>
        <w:rPr>
          <w:sz w:val="20"/>
          <w:szCs w:val="20"/>
          <w:color w:val="auto"/>
        </w:rPr>
      </w:pPr>
    </w:p>
    <w:p>
      <w:pPr>
        <w:ind w:left="480" w:hanging="163"/>
        <w:spacing w:after="0" w:line="294" w:lineRule="auto"/>
        <w:tabs>
          <w:tab w:leader="none" w:pos="47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volatility—Expected volatility is based on historical volatilities of a publicly traded peer group based on daily price observations over a period equivalent to the expected term of the market-based PSU awards.</w:t>
      </w:r>
    </w:p>
    <w:p>
      <w:pPr>
        <w:spacing w:after="0" w:line="28" w:lineRule="exact"/>
        <w:rPr>
          <w:rFonts w:ascii="Times New Roman" w:cs="Times New Roman" w:eastAsia="Times New Roman" w:hAnsi="Times New Roman"/>
          <w:sz w:val="17"/>
          <w:szCs w:val="17"/>
          <w:color w:val="auto"/>
        </w:rPr>
      </w:pPr>
    </w:p>
    <w:p>
      <w:pPr>
        <w:ind w:left="460" w:hanging="143"/>
        <w:spacing w:after="0"/>
        <w:tabs>
          <w:tab w:leader="none" w:pos="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term—The term is estimated in consideration of the time period expected to achieve the performance.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 w:hanging="163"/>
        <w:spacing w:after="0" w:line="278" w:lineRule="auto"/>
        <w:tabs>
          <w:tab w:leader="none" w:pos="47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Risk-free interest rate—The risk-free interest rate is based on the U.S. Treasury yield of treasury bonds with a maturity that approximates the expected term of the market-based PSU awards.</w:t>
      </w:r>
    </w:p>
    <w:p>
      <w:pPr>
        <w:spacing w:after="0" w:line="42" w:lineRule="exact"/>
        <w:rPr>
          <w:rFonts w:ascii="Times New Roman" w:cs="Times New Roman" w:eastAsia="Times New Roman" w:hAnsi="Times New Roman"/>
          <w:sz w:val="17"/>
          <w:szCs w:val="17"/>
          <w:color w:val="auto"/>
        </w:rPr>
      </w:pPr>
    </w:p>
    <w:p>
      <w:pPr>
        <w:ind w:left="480" w:hanging="163"/>
        <w:spacing w:after="0" w:line="294" w:lineRule="auto"/>
        <w:tabs>
          <w:tab w:leader="none" w:pos="47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dividend yield—The dividend yield is based on the current expectations of dividend payouts. The Company does not anticipate paying any cash dividends in the foreseeable future.</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following table sets forth the assumptions that were used to calculate the fair value of the market-based PSU awards granted during the twelve months ended December 31, 2024, 2023 and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gridSpan w:val="2"/>
          </w:tcPr>
          <w:p>
            <w:pPr>
              <w:ind w:left="7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Pr>
          <w:p>
            <w:pPr>
              <w:spacing w:after="0"/>
              <w:rPr>
                <w:sz w:val="15"/>
                <w:szCs w:val="15"/>
                <w:color w:val="auto"/>
              </w:rPr>
            </w:pPr>
          </w:p>
        </w:tc>
        <w:tc>
          <w:tcPr>
            <w:tcW w:w="12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9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rPr>
              <w:t>81.9 %</w:t>
            </w:r>
          </w:p>
        </w:tc>
        <w:tc>
          <w:tcPr>
            <w:tcW w:w="9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89.9 %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66.0 %</w:t>
            </w:r>
          </w:p>
        </w:tc>
      </w:tr>
      <w:tr>
        <w:trPr>
          <w:trHeight w:val="221"/>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term</w:t>
            </w:r>
          </w:p>
        </w:tc>
        <w:tc>
          <w:tcPr>
            <w:tcW w:w="1580" w:type="dxa"/>
            <w:vAlign w:val="bottom"/>
          </w:tcPr>
          <w:p>
            <w:pPr>
              <w:jc w:val="right"/>
              <w:ind w:right="937"/>
              <w:spacing w:after="0"/>
              <w:rPr>
                <w:sz w:val="20"/>
                <w:szCs w:val="20"/>
                <w:color w:val="auto"/>
              </w:rPr>
            </w:pPr>
            <w:r>
              <w:rPr>
                <w:rFonts w:ascii="Times New Roman" w:cs="Times New Roman" w:eastAsia="Times New Roman" w:hAnsi="Times New Roman"/>
                <w:sz w:val="17"/>
                <w:szCs w:val="17"/>
                <w:color w:val="auto"/>
              </w:rPr>
              <w:t>2.77</w:t>
            </w: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2.83</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221"/>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58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rPr>
              <w:t>3.83 %</w:t>
            </w:r>
          </w:p>
        </w:tc>
        <w:tc>
          <w:tcPr>
            <w:tcW w:w="9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1.72 %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1.72 %</w:t>
            </w:r>
          </w:p>
        </w:tc>
      </w:tr>
      <w:tr>
        <w:trPr>
          <w:trHeight w:val="227"/>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580" w:type="dxa"/>
            <w:vAlign w:val="bottom"/>
          </w:tcPr>
          <w:p>
            <w:pPr>
              <w:jc w:val="right"/>
              <w:ind w:right="937"/>
              <w:spacing w:after="0"/>
              <w:rPr>
                <w:sz w:val="20"/>
                <w:szCs w:val="20"/>
                <w:color w:val="auto"/>
              </w:rPr>
            </w:pPr>
            <w:r>
              <w:rPr>
                <w:rFonts w:ascii="Times New Roman" w:cs="Times New Roman" w:eastAsia="Times New Roman" w:hAnsi="Times New Roman"/>
                <w:sz w:val="17"/>
                <w:szCs w:val="17"/>
                <w:color w:val="auto"/>
              </w:rPr>
              <w:t>0 %</w:t>
            </w: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0 %</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-573405</wp:posOffset>
            </wp:positionV>
            <wp:extent cx="41186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18610" cy="8255"/>
                    </a:xfrm>
                    <a:prstGeom prst="rect">
                      <a:avLst/>
                    </a:prstGeom>
                    <a:noFill/>
                  </pic:spPr>
                </pic:pic>
              </a:graphicData>
            </a:graphic>
          </wp:anchor>
        </w:drawing>
      </w:r>
    </w:p>
    <w:p>
      <w:pPr>
        <w:spacing w:after="0" w:line="17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fair values of the PSUs not subject to a market conditions were determined based on the closing price of the Company’s common stock on the trading date immediately prior to the grant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and Performance Equity-Based Activity</w:t>
      </w:r>
    </w:p>
    <w:p>
      <w:pPr>
        <w:spacing w:after="0" w:line="1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A summary of the Company’s RSU and PSU activity for the twelve months ended December 31, 2024, 2023 and 2022 follows. For purposes of this summary, the Company assumes the market-based PSUs will be issued at 100% of the units within the range of 0% to 200%.</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69"/>
        </w:trPr>
        <w:tc>
          <w:tcPr>
            <w:tcW w:w="8180" w:type="dxa"/>
            <w:vAlign w:val="bottom"/>
          </w:tcPr>
          <w:p>
            <w:pPr>
              <w:spacing w:after="0"/>
              <w:rPr>
                <w:sz w:val="14"/>
                <w:szCs w:val="14"/>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160" w:type="dxa"/>
            <w:vAlign w:val="bottom"/>
          </w:tcPr>
          <w:p>
            <w:pPr>
              <w:spacing w:after="0"/>
              <w:rPr>
                <w:sz w:val="14"/>
                <w:szCs w:val="14"/>
                <w:color w:val="auto"/>
              </w:rPr>
            </w:pPr>
          </w:p>
        </w:tc>
        <w:tc>
          <w:tcPr>
            <w:tcW w:w="13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43"/>
        </w:trPr>
        <w:tc>
          <w:tcPr>
            <w:tcW w:w="8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77"/>
              <w:spacing w:after="0" w:line="143" w:lineRule="exact"/>
              <w:rPr>
                <w:sz w:val="20"/>
                <w:szCs w:val="20"/>
                <w:color w:val="auto"/>
              </w:rPr>
            </w:pPr>
            <w:r>
              <w:rPr>
                <w:rFonts w:ascii="Times New Roman" w:cs="Times New Roman" w:eastAsia="Times New Roman" w:hAnsi="Times New Roman"/>
                <w:sz w:val="14"/>
                <w:szCs w:val="14"/>
                <w:b w:val="1"/>
                <w:bCs w:val="1"/>
                <w:color w:val="auto"/>
                <w:w w:val="95"/>
              </w:rPr>
              <w:t>Fair Value of</w:t>
            </w:r>
          </w:p>
        </w:tc>
        <w:tc>
          <w:tcPr>
            <w:tcW w:w="0" w:type="dxa"/>
            <w:vAlign w:val="bottom"/>
          </w:tcPr>
          <w:p>
            <w:pPr>
              <w:spacing w:after="0"/>
              <w:rPr>
                <w:sz w:val="1"/>
                <w:szCs w:val="1"/>
                <w:color w:val="auto"/>
              </w:rPr>
            </w:pPr>
          </w:p>
        </w:tc>
      </w:tr>
      <w:tr>
        <w:trPr>
          <w:trHeight w:val="197"/>
        </w:trPr>
        <w:tc>
          <w:tcPr>
            <w:tcW w:w="81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7"/>
                <w:szCs w:val="17"/>
                <w:color w:val="auto"/>
              </w:rPr>
            </w:pPr>
          </w:p>
        </w:tc>
        <w:tc>
          <w:tcPr>
            <w:tcW w:w="13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4,673,766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0" w:type="dxa"/>
            <w:vAlign w:val="bottom"/>
          </w:tcPr>
          <w:p>
            <w:pPr>
              <w:spacing w:after="0"/>
              <w:rPr>
                <w:sz w:val="1"/>
                <w:szCs w:val="1"/>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Forfeitures/Cancellations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(503,693)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Vestings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(1,002,571)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14.76</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3,526,634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0" w:type="dxa"/>
            <w:vAlign w:val="bottom"/>
          </w:tcPr>
          <w:p>
            <w:pPr>
              <w:spacing w:after="0"/>
              <w:rPr>
                <w:sz w:val="1"/>
                <w:szCs w:val="1"/>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Forfeitures/Cancellations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Vestings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(1,025,234)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3,912,902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0" w:type="dxa"/>
            <w:vAlign w:val="bottom"/>
          </w:tcPr>
          <w:p>
            <w:pPr>
              <w:spacing w:after="0"/>
              <w:rPr>
                <w:sz w:val="1"/>
                <w:szCs w:val="1"/>
                <w:color w:val="auto"/>
              </w:rPr>
            </w:pPr>
          </w:p>
        </w:tc>
      </w:tr>
      <w:tr>
        <w:trPr>
          <w:trHeight w:val="22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1,072,444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Forfeitures/Cancellations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(2,249,555)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Vestings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(1,120,408)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1,615,383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information pertaining to equity-based compensation</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connection with the IPO, on November 4, 2021 the Company previously granted PSUs with performance-based vesting conditions to certain employees. The performance-based conditions include PSUs that can vest upon achieving specified stock price performance targets (the "Price Targets"), and the remaining PSUs can vest upon achieving a revenue performance target in any trailing twelve-month period up to December 31, 2024 (the "Revenue Target"). During the three months ended March 31, 2024, the Company reassessed the probability of achieving the Revenue Target and determined such achievement is improbable based on current facts and circumstances. As a result, the Company recorded a $10.4 million cumulative reversal of stock compensation expense related to the unvested PSUs attributable to the Revenue Target in the three months ended March 31, 2024.</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August 8, 2024, Todd Magazine stepped down from his role as Chief Executive Officer of the Company, effective as of August 8, 2024, and entered into a Transition Services Agreement with the Company. In consideration of the provision by Mr. Magazine of consulting services to the Company through December 31, 2024, Mr. Magazine remained eligible to vest in 75,000 RSUs on January 1, 2025, which would have otherwise been forfeited, which resulted in an additional</w:t>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$0.3 million in stock compensation during the twelve months ended December 31, 2024. Further, pursuant to the severance provisions under Section 7.2 of his employment agreement with the Company, Mr. Magazine remains eligible to earn a prorated portion of the PSUs granted to him in 2023 and 2024 through December 31, 2026, and December 31, 2027, respectively, and partial accelerated vesting for 209,490 RSUs, resulting in an additional $0.8 million in stock compensation during the twelve months ended December 31, 2024.</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recorded equity-based compensation expense of $3.8 million, $18.2 million, and $29.5 million for the twelve months ended December 31, 2024, 2023, and 2022, respectively, in selling, general and administrative expenses on the consolidated statements of operations. Forfeitures are recognized as incurred. During the twelve months ended December 31, 2024, the Company had actual vestings with fair market value of $6.1 million and $0.0 million related to employees and directors, respectively.</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Unrecognized compensation cost related to unvested time-based shares was approximately $2.2 million as of December 31, 2024. Unrecognized compensation cost will be expensed annually based on the number of shares that vest during the year. As of December 31, 2024, the weighted average remaining vesting term on the unvested time-based shares was 1.70 years. Further, the Company has unrecognized compensation cost of $3.1 million related to the PSUs as of December 31, 2024, which will be recognized on a graded vesting basis over the requisite service period when it is probable the performance condition will be achieved. As of December 31, 2024, the weighted average remaining vesting term on the unvested PSUs was 1.85 years.</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August 10, 2022, the board of directors of the Company approved a $0.41 per share special cash dividend. The dividend was paid on September 14, 2022, to stockholders of record at the close of business on August 26, 2022. Cash dividends paid totaled $0.3 million for the twelve months ended December 31, 2024. The Company's unvested stock units participate in dividends and as such, the Company had no dividends payable as of December 31, 2024.</w:t>
      </w:r>
    </w:p>
    <w:p>
      <w:pPr>
        <w:spacing w:after="0" w:line="1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Company recognized distributions to EBS Parent, LLC (the "Parent") of approximately $0.1 million, $1.2 million, and $66.9 million for the twelve months ended December 31, 2024, 2023, and 2022,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EARNINGS PER SHARE</w:t>
      </w:r>
    </w:p>
    <w:p>
      <w:pPr>
        <w:spacing w:after="0" w:line="2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Basic earnings per share of common stock is computed by dividing net income/loss attributable to AirSculpt Technologies, Inc. for the twelve months ended December 31, 2024, 2023, and 2022 by the weighted-average number of shares of common stock outstanding during the same period. Diluted earnings per share of common stock is computed by dividing net income/loss attributable to AirSculpt Technologies, Inc. for the twelve months ended December 31, 2024, 2023, and 2022 by the weighted-average number of shares of common stock adjusted to give effect to potentially dilutive securities. Where the inclusion of potentially dilutive shares would be antidilutive, diluted loss per share equals basic loss per share.</w:t>
      </w:r>
    </w:p>
    <w:p>
      <w:pPr>
        <w:spacing w:after="0" w:line="10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A reconciliation of the numerator and denominator used in the calculation of basic and diluted net loss per share of common stock is as follows (in 000’s except for shares and per share figures):</w:t>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7137400" cy="148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loss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7400" cy="140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6" w:lineRule="exact"/>
        <w:rPr>
          <w:sz w:val="20"/>
          <w:szCs w:val="20"/>
          <w:color w:val="auto"/>
        </w:rPr>
      </w:pPr>
    </w:p>
    <w:p>
      <w:pPr>
        <w:ind w:left="20" w:right="1720"/>
        <w:spacing w:after="0" w:line="271" w:lineRule="auto"/>
        <w:rPr>
          <w:sz w:val="20"/>
          <w:szCs w:val="20"/>
          <w:color w:val="auto"/>
        </w:rPr>
      </w:pPr>
      <w:r>
        <w:rPr>
          <w:rFonts w:ascii="Times New Roman" w:cs="Times New Roman" w:eastAsia="Times New Roman" w:hAnsi="Times New Roman"/>
          <w:sz w:val="17"/>
          <w:szCs w:val="17"/>
          <w:color w:val="auto"/>
        </w:rPr>
        <w:t>Weighted average shares of common stock outstanding - basic Add: 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37400" cy="140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Weighted average shares of common stock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7137400" cy="165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7400" cy="165100"/>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Loss per share of common stock outstanding - basic and diluted</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Fiscal Year Ended</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436"/>
        </w:trPr>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(4,479)</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(14,679)</w:t>
            </w:r>
          </w:p>
        </w:tc>
      </w:tr>
      <w:tr>
        <w:trPr>
          <w:trHeight w:val="438"/>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57,688,906</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56,778,793</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55,684,701</w:t>
            </w:r>
          </w:p>
        </w:tc>
      </w:tr>
      <w:tr>
        <w:trPr>
          <w:trHeight w:val="221"/>
        </w:trPr>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57,688,906</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56,778,793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55,684,701</w:t>
            </w:r>
          </w:p>
        </w:tc>
      </w:tr>
      <w:tr>
        <w:trPr>
          <w:trHeight w:val="214"/>
        </w:trPr>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460"/>
          </w:cols>
          <w:pgMar w:left="320" w:top="499" w:right="339" w:bottom="1440" w:gutter="0" w:footer="0" w:header="0"/>
          <w:type w:val="continuous"/>
        </w:sectPr>
      </w:pPr>
    </w:p>
    <w:p>
      <w:pPr>
        <w:spacing w:after="0" w:line="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The following number of potentially dilutive shares were excluded from the calculation of diluted loss per share because the effect of including such potentially dilutive shares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7"/>
          <w:szCs w:val="17"/>
          <w:b w:val="1"/>
          <w:bCs w:val="1"/>
          <w:color w:val="auto"/>
        </w:rPr>
        <w:t>Fiscal Year Ended</w:t>
      </w:r>
    </w:p>
    <w:p>
      <w:pPr>
        <w:jc w:val="center"/>
        <w:ind w:left="678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667,931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1,047,501</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1,367,558</w:t>
            </w:r>
          </w:p>
        </w:tc>
      </w:tr>
      <w:tr>
        <w:trPr>
          <w:trHeight w:val="227"/>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and market-based stock units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947,452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1,625,882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2,159,076</w:t>
            </w:r>
          </w:p>
        </w:tc>
      </w:tr>
      <w:tr>
        <w:trPr>
          <w:trHeight w:val="490"/>
        </w:trPr>
        <w:tc>
          <w:tcPr>
            <w:tcW w:w="6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8 – INCOME TAXES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2"/>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Significant components of income tax expense were as follows (in 000’s):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9"/>
        </w:trPr>
        <w:tc>
          <w:tcPr>
            <w:tcW w:w="6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080" w:type="dxa"/>
            <w:vAlign w:val="bottom"/>
          </w:tcPr>
          <w:p>
            <w:pPr>
              <w:spacing w:after="0"/>
              <w:rPr>
                <w:sz w:val="24"/>
                <w:szCs w:val="24"/>
                <w:color w:val="auto"/>
              </w:rPr>
            </w:pPr>
          </w:p>
        </w:tc>
      </w:tr>
      <w:tr>
        <w:trPr>
          <w:trHeight w:val="23"/>
        </w:trPr>
        <w:tc>
          <w:tcPr>
            <w:tcW w:w="6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3"/>
        </w:trPr>
        <w:tc>
          <w:tcPr>
            <w:tcW w:w="6780" w:type="dxa"/>
            <w:vAlign w:val="bottom"/>
            <w:tcBorders>
              <w:bottom w:val="single" w:sz="8" w:color="CCEEFF"/>
            </w:tcBorders>
          </w:tcPr>
          <w:p>
            <w:pPr>
              <w:spacing w:after="0"/>
              <w:rPr>
                <w:sz w:val="15"/>
                <w:szCs w:val="15"/>
                <w:color w:val="auto"/>
              </w:rPr>
            </w:pPr>
          </w:p>
        </w:tc>
        <w:tc>
          <w:tcPr>
            <w:tcW w:w="340" w:type="dxa"/>
            <w:vAlign w:val="bottom"/>
            <w:tcBorders>
              <w:bottom w:val="single" w:sz="8" w:color="3D5588"/>
            </w:tcBorders>
          </w:tcPr>
          <w:p>
            <w:pPr>
              <w:spacing w:after="0"/>
              <w:rPr>
                <w:sz w:val="15"/>
                <w:szCs w:val="15"/>
                <w:color w:val="auto"/>
              </w:rPr>
            </w:pPr>
          </w:p>
        </w:tc>
        <w:tc>
          <w:tcPr>
            <w:tcW w:w="1160" w:type="dxa"/>
            <w:vAlign w:val="bottom"/>
            <w:tcBorders>
              <w:bottom w:val="single" w:sz="8" w:color="3D5588"/>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3D5588"/>
            </w:tcBorders>
          </w:tcPr>
          <w:p>
            <w:pPr>
              <w:spacing w:after="0"/>
              <w:rPr>
                <w:sz w:val="15"/>
                <w:szCs w:val="15"/>
                <w:color w:val="auto"/>
              </w:rPr>
            </w:pPr>
          </w:p>
        </w:tc>
        <w:tc>
          <w:tcPr>
            <w:tcW w:w="1140" w:type="dxa"/>
            <w:vAlign w:val="bottom"/>
            <w:tcBorders>
              <w:bottom w:val="single" w:sz="8" w:color="3D5588"/>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3D5588"/>
            </w:tcBorders>
          </w:tcPr>
          <w:p>
            <w:pPr>
              <w:spacing w:after="0"/>
              <w:rPr>
                <w:sz w:val="15"/>
                <w:szCs w:val="15"/>
                <w:color w:val="auto"/>
              </w:rPr>
            </w:pPr>
          </w:p>
        </w:tc>
        <w:tc>
          <w:tcPr>
            <w:tcW w:w="1080" w:type="dxa"/>
            <w:vAlign w:val="bottom"/>
            <w:tcBorders>
              <w:bottom w:val="single" w:sz="8" w:color="3D5588"/>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1"/>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 Federal</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4,565</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w:t>
            </w:r>
          </w:p>
        </w:tc>
      </w:tr>
      <w:tr>
        <w:trPr>
          <w:trHeight w:val="221"/>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State and Local</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w:t>
            </w:r>
          </w:p>
        </w:tc>
      </w:tr>
      <w:tr>
        <w:trPr>
          <w:trHeight w:val="214"/>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current income tax expense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6,135</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2,249</w:t>
            </w:r>
          </w:p>
        </w:tc>
      </w:tr>
      <w:tr>
        <w:trPr>
          <w:trHeight w:val="20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1"/>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 Federal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w:t>
            </w:r>
          </w:p>
        </w:tc>
      </w:tr>
      <w:tr>
        <w:trPr>
          <w:trHeight w:val="221"/>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State and Local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1"/>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income tax (benefit) expense</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r>
      <w:tr>
        <w:trPr>
          <w:trHeight w:val="214"/>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7,477</w:t>
            </w: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3,383</w:t>
            </w: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-2654300</wp:posOffset>
            </wp:positionV>
            <wp:extent cx="43084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084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-1471295</wp:posOffset>
            </wp:positionV>
            <wp:extent cx="43084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0847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income taxes computed at the U.S. federal statutory income tax rate of 21% to the Company’s income tax (expense) was as follows:</w:t>
      </w:r>
    </w:p>
    <w:p>
      <w:pPr>
        <w:spacing w:after="0" w:line="176"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3D5588"/>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bottom w:val="single" w:sz="8" w:color="3D5588"/>
            </w:tcBorders>
          </w:tcPr>
          <w:p>
            <w:pPr>
              <w:spacing w:after="0"/>
              <w:rPr>
                <w:sz w:val="17"/>
                <w:szCs w:val="17"/>
                <w:color w:val="auto"/>
              </w:rPr>
            </w:pPr>
          </w:p>
        </w:tc>
        <w:tc>
          <w:tcPr>
            <w:tcW w:w="1600" w:type="dxa"/>
            <w:vAlign w:val="bottom"/>
            <w:tcBorders>
              <w:top w:val="single" w:sz="8" w:color="auto"/>
              <w:bottom w:val="single" w:sz="8" w:color="3D5588"/>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Borders>
              <w:top w:val="single" w:sz="8" w:color="auto"/>
              <w:bottom w:val="single" w:sz="8" w:color="3D5588"/>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At U.S. Federal statutory tax rate</w:t>
            </w:r>
          </w:p>
        </w:tc>
        <w:tc>
          <w:tcPr>
            <w:tcW w:w="9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21.0 %</w:t>
            </w:r>
          </w:p>
        </w:tc>
        <w:tc>
          <w:tcPr>
            <w:tcW w:w="16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21.0 %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1"/>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State income taxes</w:t>
            </w: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(2.6)%</w:t>
            </w:r>
          </w:p>
        </w:tc>
        <w:tc>
          <w:tcPr>
            <w:tcW w:w="16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55.7 %</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21"/>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Pass-through income</w:t>
            </w:r>
          </w:p>
        </w:tc>
        <w:tc>
          <w:tcPr>
            <w:tcW w:w="9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 %</w:t>
            </w:r>
          </w:p>
        </w:tc>
        <w:tc>
          <w:tcPr>
            <w:tcW w:w="16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1"/>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Nondeductible Reorganization and IPO costs</w:t>
            </w: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 %</w:t>
            </w:r>
          </w:p>
        </w:tc>
        <w:tc>
          <w:tcPr>
            <w:tcW w:w="16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1"/>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Nondeductible officer compensation</w:t>
            </w:r>
          </w:p>
        </w:tc>
        <w:tc>
          <w:tcPr>
            <w:tcW w:w="9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(17.0)%</w:t>
            </w:r>
          </w:p>
        </w:tc>
        <w:tc>
          <w:tcPr>
            <w:tcW w:w="16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159.1 %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21"/>
        </w:trPr>
        <w:tc>
          <w:tcPr>
            <w:tcW w:w="6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Valuation allowance and other nondeductible expenses</w:t>
            </w:r>
          </w:p>
        </w:tc>
        <w:tc>
          <w:tcPr>
            <w:tcW w:w="9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(3.7)%</w:t>
            </w:r>
          </w:p>
        </w:tc>
        <w:tc>
          <w:tcPr>
            <w:tcW w:w="16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13.6 %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34"/>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(2.3)%</w:t>
            </w:r>
          </w:p>
        </w:tc>
        <w:tc>
          <w:tcPr>
            <w:tcW w:w="160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249.4 %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-321945</wp:posOffset>
            </wp:positionV>
            <wp:extent cx="4118610" cy="148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118610" cy="1485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-1033145</wp:posOffset>
            </wp:positionV>
            <wp:extent cx="41186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118610" cy="8255"/>
                    </a:xfrm>
                    <a:prstGeom prst="rect">
                      <a:avLst/>
                    </a:prstGeom>
                    <a:noFill/>
                  </pic:spPr>
                </pic:pic>
              </a:graphicData>
            </a:graphic>
          </wp:anchor>
        </w:drawing>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effective tax rates for the fiscal years ended December 31, 2024, 2023 and 2022 were -2.3%, 249.4% and (29.9)%. The most significant items impacting the effective tax rate during fiscal years 2023, 2022 and 2021 are due to the Reorganization, non-deductible officer compensation expense, and the items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deferred tax assets (liabilities) consisted of the following (in 000’s):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Pr>
          <w:p>
            <w:pPr>
              <w:spacing w:after="0"/>
              <w:rPr>
                <w:sz w:val="15"/>
                <w:szCs w:val="15"/>
                <w:color w:val="auto"/>
              </w:rPr>
            </w:pPr>
          </w:p>
        </w:tc>
      </w:tr>
      <w:tr>
        <w:trPr>
          <w:trHeight w:val="23"/>
        </w:trPr>
        <w:tc>
          <w:tcPr>
            <w:tcW w:w="7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3"/>
        </w:trPr>
        <w:tc>
          <w:tcPr>
            <w:tcW w:w="71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1"/>
        </w:trPr>
        <w:tc>
          <w:tcPr>
            <w:tcW w:w="7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1280" w:type="dxa"/>
            <w:vAlign w:val="bottom"/>
          </w:tcPr>
          <w:p>
            <w:pPr>
              <w:jc w:val="right"/>
              <w:ind w:right="109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r>
      <w:tr>
        <w:trPr>
          <w:trHeight w:val="221"/>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operating loss</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r>
      <w:tr>
        <w:trPr>
          <w:trHeight w:val="221"/>
        </w:trPr>
        <w:tc>
          <w:tcPr>
            <w:tcW w:w="7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7,181</w:t>
            </w: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6,497</w:t>
            </w:r>
          </w:p>
        </w:tc>
      </w:tr>
      <w:tr>
        <w:trPr>
          <w:trHeight w:val="221"/>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w:t>
            </w:r>
          </w:p>
        </w:tc>
      </w:tr>
      <w:tr>
        <w:trPr>
          <w:trHeight w:val="221"/>
        </w:trPr>
        <w:tc>
          <w:tcPr>
            <w:tcW w:w="7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 bonus depreciation</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21"/>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163(j) limitation</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21"/>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4"/>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12,661</w:t>
            </w:r>
          </w:p>
        </w:tc>
        <w:tc>
          <w:tcPr>
            <w:tcW w:w="6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10,074</w:t>
            </w:r>
          </w:p>
        </w:tc>
      </w:tr>
      <w:tr>
        <w:trPr>
          <w:trHeight w:val="221"/>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w:t>
            </w:r>
          </w:p>
        </w:tc>
      </w:tr>
      <w:tr>
        <w:trPr>
          <w:trHeight w:val="214"/>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assets, net of valuation allowance</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11,868</w:t>
            </w:r>
          </w:p>
        </w:tc>
        <w:tc>
          <w:tcPr>
            <w:tcW w:w="6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9,533</w:t>
            </w:r>
          </w:p>
        </w:tc>
      </w:tr>
      <w:tr>
        <w:trPr>
          <w:trHeight w:val="221"/>
        </w:trPr>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1"/>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(6,464)</w:t>
            </w:r>
          </w:p>
        </w:tc>
        <w:tc>
          <w:tcPr>
            <w:tcW w:w="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(5,566)</w:t>
            </w:r>
          </w:p>
        </w:tc>
      </w:tr>
      <w:tr>
        <w:trPr>
          <w:trHeight w:val="221"/>
        </w:trPr>
        <w:tc>
          <w:tcPr>
            <w:tcW w:w="7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1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(4,722)</w:t>
            </w: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(3,881)</w:t>
            </w:r>
          </w:p>
        </w:tc>
      </w:tr>
      <w:tr>
        <w:trPr>
          <w:trHeight w:val="221"/>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Right-of-use asset</w:t>
            </w:r>
          </w:p>
        </w:tc>
        <w:tc>
          <w:tcPr>
            <w:tcW w:w="1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(6,588)</w:t>
            </w:r>
          </w:p>
        </w:tc>
        <w:tc>
          <w:tcPr>
            <w:tcW w:w="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(6,014)</w:t>
            </w:r>
          </w:p>
        </w:tc>
      </w:tr>
      <w:tr>
        <w:trPr>
          <w:trHeight w:val="221"/>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14"/>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1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(18,464)</w:t>
            </w:r>
          </w:p>
        </w:tc>
        <w:tc>
          <w:tcPr>
            <w:tcW w:w="6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(16,361)</w:t>
            </w:r>
          </w:p>
        </w:tc>
      </w:tr>
      <w:tr>
        <w:trPr>
          <w:trHeight w:val="214"/>
        </w:trPr>
        <w:tc>
          <w:tcPr>
            <w:tcW w:w="7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deferred tax liabilities</w:t>
            </w: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(6,596)</w:t>
            </w:r>
          </w:p>
        </w:tc>
        <w:tc>
          <w:tcPr>
            <w:tcW w:w="6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(6,828)</w:t>
            </w:r>
          </w:p>
        </w:tc>
      </w:tr>
      <w:tr>
        <w:trPr>
          <w:trHeight w:val="20"/>
        </w:trPr>
        <w:tc>
          <w:tcPr>
            <w:tcW w:w="7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-2604770</wp:posOffset>
            </wp:positionV>
            <wp:extent cx="45567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56760" cy="8255"/>
                    </a:xfrm>
                    <a:prstGeom prst="rect">
                      <a:avLst/>
                    </a:prstGeom>
                    <a:noFill/>
                  </pic:spPr>
                </pic:pic>
              </a:graphicData>
            </a:graphic>
          </wp:anchor>
        </w:drawing>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of December 31, 2024 and 2023, we had foreign net operating loss carryforwards in the amount of $1.0 million and $4.0 million, respectively. Of the total carryforwards, $0.2 million and $1.4 million, respectively, were generated by the Company’s Canadian based subsidiary and $0.8 million and $2.6 million, respectively, were generated by the Company's United Kingdom based subsidiary. The Canadian-based net operating losses begin to expire in 2039 and the United Kingdom based net operating losses carry forward indefinitely.</w:t>
      </w:r>
    </w:p>
    <w:p>
      <w:pPr>
        <w:spacing w:after="0" w:line="1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recognizes deferred tax assets to the extent it believes these assets are more likely than not to be realized. Valuation allowances have been established with regard to the tax benefits of our foreign net operating losses. In making such a determination, the Company considers all available positive and negative evidence, including future reversals of existing taxable temporary differences, projected future taxable income, tax planning strategies and recent results of operations. After considering all of those factors, management recorded a $0.8 million and $0.5 million valuation allowance for the deferred tax assets related to the foreign net operating losses which are not more likely than not to be realized as of December 31, 2024 and 2023. Our foreign pre-tax loss was $(1.5) million, $(1.9) million, and $(1.4) million, for the fiscal years ended December 31, 2024, 2023 and 2022, respectively. There were no valuation allowance releases in the current year. The Company maintains a full valuation allowance related to its UK subsidiary and has no other valuation allowances.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Uncertain Tax Positions</w:t>
      </w:r>
    </w:p>
    <w:p>
      <w:pPr>
        <w:spacing w:after="0" w:line="13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ASC 740 prescribes a recognition threshold of more-likely-than not to be sustained upon examination as it relates to the accounting for uncertainty in income tax benefits recognized in an enterprise’s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and 2023, the Company had no uncertain tax positions.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Professional Liability</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SEGMENT INFORMATION</w:t>
      </w:r>
    </w:p>
    <w:p>
      <w:pPr>
        <w:spacing w:after="0" w:line="2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7"/>
          <w:szCs w:val="17"/>
          <w:color w:val="auto"/>
        </w:rPr>
        <w:t>The Company has one operating and one reportable segment: direct medical procedure services. This segment is made up of facilities and medical staff that provide the Company’s patented AirSculpt® procedures to patients. The accounting policies of the direct medical procedure services segment are the same as those presented in Note 1 - Organization and Summary of Significant Accounting Policies. The Company’s chief operating decision maker (“CODM”) is the Company’s chief executive officer. The CODM reviews financial information presented on a consolidated basis for purposes of making operating decisions, assessing financial performance and allocating resources. The Company’s CODM reviews revenue, gross profit, Adjusted EBITDA and net income/(loss). The CODM uses Adjusted EBITDA as the primary profit metric to evaluate income generated from operations in deciding where to spend additional marketing dollars or allocate additional resources. Gross profit is defined as revenues less cost of service incurred and Adjusted EBITDA as net loss excluding depreciation</w:t>
      </w:r>
    </w:p>
    <w:p>
      <w:pPr>
        <w:spacing w:after="0" w:line="3"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7"/>
          <w:szCs w:val="17"/>
          <w:color w:val="auto"/>
        </w:rPr>
        <w:t>and amortization, net interest expense, income tax expense, restructuring and related severance costs, loss on debt modification</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loss/(gain) on disposal of long-lived assets, settlement costs for non-recurring litigation, and equity-based compensation. Segment information is presented below showing revenue, significant expenses and net income/(loss) (the closest GAAP measure to Adjusted EBITDA), in the same manner that the CODM reviews the operating results in assessing performance and allocating resources.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Twelve Months Ended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7"/>
        </w:trPr>
        <w:tc>
          <w:tcPr>
            <w:tcW w:w="6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0"/>
        </w:trPr>
        <w:tc>
          <w:tcPr>
            <w:tcW w:w="660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D2EDFE"/>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D2EDFE"/>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0"/>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60" w:type="dxa"/>
            <w:vAlign w:val="bottom"/>
            <w:shd w:val="clear" w:color="auto" w:fill="D2EDFE"/>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180,350</w:t>
            </w:r>
          </w:p>
        </w:tc>
        <w:tc>
          <w:tcPr>
            <w:tcW w:w="80" w:type="dxa"/>
            <w:vAlign w:val="bottom"/>
            <w:shd w:val="clear" w:color="auto" w:fill="D2EDFE"/>
          </w:tcPr>
          <w:p>
            <w:pPr>
              <w:spacing w:after="0"/>
              <w:rPr>
                <w:sz w:val="19"/>
                <w:szCs w:val="19"/>
                <w:color w:val="auto"/>
              </w:rPr>
            </w:pPr>
          </w:p>
        </w:tc>
        <w:tc>
          <w:tcPr>
            <w:tcW w:w="220" w:type="dxa"/>
            <w:vAlign w:val="bottom"/>
            <w:shd w:val="clear" w:color="auto" w:fill="D2EDFE"/>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195,917</w:t>
            </w:r>
          </w:p>
        </w:tc>
        <w:tc>
          <w:tcPr>
            <w:tcW w:w="100" w:type="dxa"/>
            <w:vAlign w:val="bottom"/>
            <w:shd w:val="clear" w:color="auto" w:fill="D2EDFE"/>
          </w:tcPr>
          <w:p>
            <w:pPr>
              <w:spacing w:after="0"/>
              <w:rPr>
                <w:sz w:val="19"/>
                <w:szCs w:val="19"/>
                <w:color w:val="auto"/>
              </w:rPr>
            </w:pPr>
          </w:p>
        </w:tc>
        <w:tc>
          <w:tcPr>
            <w:tcW w:w="360" w:type="dxa"/>
            <w:vAlign w:val="bottom"/>
            <w:shd w:val="clear" w:color="auto" w:fill="D2EDFE"/>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168,794</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0"/>
        </w:trPr>
        <w:tc>
          <w:tcPr>
            <w:tcW w:w="660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7"/>
                <w:szCs w:val="17"/>
                <w:color w:val="auto"/>
              </w:rPr>
              <w:t xml:space="preserve">Cost of service (exclusive of depreciation and amortization) </w:t>
            </w:r>
            <w:r>
              <w:rPr>
                <w:rFonts w:ascii="Times New Roman" w:cs="Times New Roman" w:eastAsia="Times New Roman" w:hAnsi="Times New Roman"/>
                <w:sz w:val="22"/>
                <w:szCs w:val="22"/>
                <w:color w:val="auto"/>
                <w:vertAlign w:val="superscript"/>
              </w:rPr>
              <w:t>(1)</w:t>
            </w:r>
          </w:p>
        </w:tc>
        <w:tc>
          <w:tcPr>
            <w:tcW w:w="360" w:type="dxa"/>
            <w:vAlign w:val="bottom"/>
            <w:shd w:val="clear" w:color="auto" w:fill="D2EDFE"/>
          </w:tcPr>
          <w:p>
            <w:pPr>
              <w:spacing w:after="0"/>
              <w:rPr>
                <w:sz w:val="22"/>
                <w:szCs w:val="22"/>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71,382</w:t>
            </w:r>
          </w:p>
        </w:tc>
        <w:tc>
          <w:tcPr>
            <w:tcW w:w="80" w:type="dxa"/>
            <w:vAlign w:val="bottom"/>
            <w:shd w:val="clear" w:color="auto" w:fill="D2EDFE"/>
          </w:tcPr>
          <w:p>
            <w:pPr>
              <w:spacing w:after="0"/>
              <w:rPr>
                <w:sz w:val="22"/>
                <w:szCs w:val="22"/>
                <w:color w:val="auto"/>
              </w:rPr>
            </w:pPr>
          </w:p>
        </w:tc>
        <w:tc>
          <w:tcPr>
            <w:tcW w:w="220" w:type="dxa"/>
            <w:vAlign w:val="bottom"/>
            <w:shd w:val="clear" w:color="auto" w:fill="D2EDFE"/>
          </w:tcPr>
          <w:p>
            <w:pPr>
              <w:spacing w:after="0"/>
              <w:rPr>
                <w:sz w:val="22"/>
                <w:szCs w:val="22"/>
                <w:color w:val="auto"/>
              </w:rPr>
            </w:pP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74,012</w:t>
            </w:r>
          </w:p>
        </w:tc>
        <w:tc>
          <w:tcPr>
            <w:tcW w:w="100" w:type="dxa"/>
            <w:vAlign w:val="bottom"/>
            <w:shd w:val="clear" w:color="auto" w:fill="D2EDFE"/>
          </w:tcPr>
          <w:p>
            <w:pPr>
              <w:spacing w:after="0"/>
              <w:rPr>
                <w:sz w:val="22"/>
                <w:szCs w:val="22"/>
                <w:color w:val="auto"/>
              </w:rPr>
            </w:pPr>
          </w:p>
        </w:tc>
        <w:tc>
          <w:tcPr>
            <w:tcW w:w="360" w:type="dxa"/>
            <w:vAlign w:val="bottom"/>
            <w:shd w:val="clear" w:color="auto" w:fill="D2EDFE"/>
          </w:tcPr>
          <w:p>
            <w:pPr>
              <w:spacing w:after="0"/>
              <w:rPr>
                <w:sz w:val="22"/>
                <w:szCs w:val="22"/>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62,781</w:t>
            </w:r>
          </w:p>
        </w:tc>
      </w:tr>
      <w:tr>
        <w:trPr>
          <w:trHeight w:val="254"/>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Advertising Cost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33,429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20,598</w:t>
            </w:r>
          </w:p>
        </w:tc>
      </w:tr>
      <w:tr>
        <w:trPr>
          <w:trHeight w:val="267"/>
        </w:trPr>
        <w:tc>
          <w:tcPr>
            <w:tcW w:w="660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7"/>
                <w:szCs w:val="17"/>
                <w:color w:val="auto"/>
              </w:rPr>
              <w:t>Facility selling, general, and administrative expense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22,933</w:t>
            </w:r>
          </w:p>
        </w:tc>
        <w:tc>
          <w:tcPr>
            <w:tcW w:w="80" w:type="dxa"/>
            <w:vAlign w:val="bottom"/>
            <w:shd w:val="clear" w:color="auto" w:fill="D2EDFE"/>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20,427</w:t>
            </w:r>
          </w:p>
        </w:tc>
      </w:tr>
      <w:tr>
        <w:trPr>
          <w:trHeight w:val="254"/>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 selling, general, and administrative expense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42,518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51,749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60,393</w:t>
            </w:r>
          </w:p>
        </w:tc>
      </w:tr>
      <w:tr>
        <w:trPr>
          <w:trHeight w:val="267"/>
        </w:trPr>
        <w:tc>
          <w:tcPr>
            <w:tcW w:w="660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7"/>
                <w:szCs w:val="17"/>
                <w:color w:val="auto"/>
              </w:rPr>
              <w:t>Loss on debt modification</w:t>
            </w:r>
          </w:p>
        </w:tc>
        <w:tc>
          <w:tcPr>
            <w:tcW w:w="360" w:type="dxa"/>
            <w:vAlign w:val="bottom"/>
            <w:shd w:val="clear" w:color="auto" w:fill="D2EDFE"/>
          </w:tcPr>
          <w:p>
            <w:pPr>
              <w:spacing w:after="0"/>
              <w:rPr>
                <w:sz w:val="23"/>
                <w:szCs w:val="23"/>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D2EDFE"/>
          </w:tcPr>
          <w:p>
            <w:pPr>
              <w:spacing w:after="0"/>
              <w:rPr>
                <w:sz w:val="23"/>
                <w:szCs w:val="23"/>
                <w:color w:val="auto"/>
              </w:rPr>
            </w:pPr>
          </w:p>
        </w:tc>
        <w:tc>
          <w:tcPr>
            <w:tcW w:w="220" w:type="dxa"/>
            <w:vAlign w:val="bottom"/>
            <w:shd w:val="clear" w:color="auto" w:fill="D2EDFE"/>
          </w:tcPr>
          <w:p>
            <w:pPr>
              <w:spacing w:after="0"/>
              <w:rPr>
                <w:sz w:val="23"/>
                <w:szCs w:val="23"/>
                <w:color w:val="auto"/>
              </w:rPr>
            </w:pPr>
          </w:p>
        </w:tc>
        <w:tc>
          <w:tcPr>
            <w:tcW w:w="1360" w:type="dxa"/>
            <w:vAlign w:val="bottom"/>
            <w:gridSpan w:val="2"/>
            <w:shd w:val="clear" w:color="auto" w:fill="D2EDFE"/>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D2EDFE"/>
          </w:tcPr>
          <w:p>
            <w:pPr>
              <w:spacing w:after="0"/>
              <w:rPr>
                <w:sz w:val="23"/>
                <w:szCs w:val="23"/>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932</w:t>
            </w:r>
          </w:p>
        </w:tc>
      </w:tr>
      <w:tr>
        <w:trPr>
          <w:trHeight w:val="254"/>
        </w:trPr>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8,061</w:t>
            </w:r>
          </w:p>
        </w:tc>
      </w:tr>
      <w:tr>
        <w:trPr>
          <w:trHeight w:val="267"/>
        </w:trPr>
        <w:tc>
          <w:tcPr>
            <w:tcW w:w="6600" w:type="dxa"/>
            <w:vAlign w:val="bottom"/>
            <w:shd w:val="clear" w:color="auto" w:fill="D2EDFE"/>
          </w:tcPr>
          <w:p>
            <w:pPr>
              <w:ind w:left="180"/>
              <w:spacing w:after="0"/>
              <w:rPr>
                <w:sz w:val="20"/>
                <w:szCs w:val="20"/>
                <w:color w:val="auto"/>
              </w:rPr>
            </w:pPr>
            <w:r>
              <w:rPr>
                <w:rFonts w:ascii="Times New Roman" w:cs="Times New Roman" w:eastAsia="Times New Roman" w:hAnsi="Times New Roman"/>
                <w:sz w:val="17"/>
                <w:szCs w:val="17"/>
                <w:color w:val="auto"/>
              </w:rPr>
              <w:t>Loss/(gain) on disposal of long-lived assets</w:t>
            </w:r>
          </w:p>
        </w:tc>
        <w:tc>
          <w:tcPr>
            <w:tcW w:w="360" w:type="dxa"/>
            <w:vAlign w:val="bottom"/>
            <w:tcBorders>
              <w:bottom w:val="single" w:sz="8" w:color="auto"/>
            </w:tcBorders>
            <w:shd w:val="clear" w:color="auto" w:fill="D2EDFE"/>
          </w:tcPr>
          <w:p>
            <w:pPr>
              <w:spacing w:after="0"/>
              <w:rPr>
                <w:sz w:val="23"/>
                <w:szCs w:val="23"/>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D2EDFE"/>
          </w:tcPr>
          <w:p>
            <w:pPr>
              <w:spacing w:after="0"/>
              <w:rPr>
                <w:sz w:val="23"/>
                <w:szCs w:val="23"/>
                <w:color w:val="auto"/>
              </w:rPr>
            </w:pPr>
          </w:p>
        </w:tc>
        <w:tc>
          <w:tcPr>
            <w:tcW w:w="220" w:type="dxa"/>
            <w:vAlign w:val="bottom"/>
            <w:tcBorders>
              <w:bottom w:val="single" w:sz="8" w:color="auto"/>
            </w:tcBorders>
            <w:shd w:val="clear" w:color="auto" w:fill="D2EDFE"/>
          </w:tcPr>
          <w:p>
            <w:pPr>
              <w:spacing w:after="0"/>
              <w:rPr>
                <w:sz w:val="23"/>
                <w:szCs w:val="23"/>
                <w:color w:val="auto"/>
              </w:rPr>
            </w:pPr>
          </w:p>
        </w:tc>
        <w:tc>
          <w:tcPr>
            <w:tcW w:w="126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D2EDFE"/>
          </w:tcPr>
          <w:p>
            <w:pPr>
              <w:spacing w:after="0"/>
              <w:rPr>
                <w:sz w:val="23"/>
                <w:szCs w:val="23"/>
                <w:color w:val="auto"/>
              </w:rPr>
            </w:pPr>
          </w:p>
        </w:tc>
        <w:tc>
          <w:tcPr>
            <w:tcW w:w="360" w:type="dxa"/>
            <w:vAlign w:val="bottom"/>
            <w:tcBorders>
              <w:bottom w:val="single" w:sz="8" w:color="auto"/>
            </w:tcBorders>
            <w:shd w:val="clear" w:color="auto" w:fill="D2EDFE"/>
          </w:tcPr>
          <w:p>
            <w:pPr>
              <w:spacing w:after="0"/>
              <w:rPr>
                <w:sz w:val="23"/>
                <w:szCs w:val="23"/>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34"/>
        </w:trPr>
        <w:tc>
          <w:tcPr>
            <w:tcW w:w="6600" w:type="dxa"/>
            <w:vAlign w:val="bottom"/>
            <w:tcBorders>
              <w:bottom w:val="single" w:sz="8" w:color="D2EDFE"/>
            </w:tcBorders>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182,166</w:t>
            </w:r>
          </w:p>
        </w:tc>
        <w:tc>
          <w:tcPr>
            <w:tcW w:w="80" w:type="dxa"/>
            <w:vAlign w:val="bottom"/>
            <w:tcBorders>
              <w:bottom w:val="single" w:sz="8" w:color="D2EDF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186,434</w:t>
            </w:r>
          </w:p>
        </w:tc>
        <w:tc>
          <w:tcPr>
            <w:tcW w:w="100" w:type="dxa"/>
            <w:vAlign w:val="bottom"/>
            <w:tcBorders>
              <w:bottom w:val="single" w:sz="8" w:color="D2EDF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173,339</w:t>
            </w:r>
          </w:p>
        </w:tc>
      </w:tr>
      <w:tr>
        <w:trPr>
          <w:trHeight w:val="247"/>
        </w:trPr>
        <w:tc>
          <w:tcPr>
            <w:tcW w:w="6600" w:type="dxa"/>
            <w:vAlign w:val="bottom"/>
            <w:shd w:val="clear" w:color="auto" w:fill="D2EDFE"/>
          </w:tcPr>
          <w:p>
            <w:pPr>
              <w:ind w:left="340"/>
              <w:spacing w:after="0"/>
              <w:rPr>
                <w:sz w:val="20"/>
                <w:szCs w:val="20"/>
                <w:color w:val="auto"/>
              </w:rPr>
            </w:pPr>
            <w:r>
              <w:rPr>
                <w:rFonts w:ascii="Times New Roman" w:cs="Times New Roman" w:eastAsia="Times New Roman" w:hAnsi="Times New Roman"/>
                <w:sz w:val="17"/>
                <w:szCs w:val="17"/>
                <w:color w:val="auto"/>
              </w:rPr>
              <w:t>(Loss)/income from operations</w:t>
            </w:r>
          </w:p>
        </w:tc>
        <w:tc>
          <w:tcPr>
            <w:tcW w:w="360" w:type="dxa"/>
            <w:vAlign w:val="bottom"/>
            <w:shd w:val="clear" w:color="auto" w:fill="D2EDFE"/>
          </w:tcPr>
          <w:p>
            <w:pPr>
              <w:spacing w:after="0"/>
              <w:rPr>
                <w:sz w:val="21"/>
                <w:szCs w:val="21"/>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80" w:type="dxa"/>
            <w:vAlign w:val="bottom"/>
            <w:shd w:val="clear" w:color="auto" w:fill="D2EDFE"/>
          </w:tcPr>
          <w:p>
            <w:pPr>
              <w:spacing w:after="0"/>
              <w:rPr>
                <w:sz w:val="21"/>
                <w:szCs w:val="21"/>
                <w:color w:val="auto"/>
              </w:rPr>
            </w:pPr>
          </w:p>
        </w:tc>
        <w:tc>
          <w:tcPr>
            <w:tcW w:w="220" w:type="dxa"/>
            <w:vAlign w:val="bottom"/>
            <w:shd w:val="clear" w:color="auto" w:fill="D2EDFE"/>
          </w:tcPr>
          <w:p>
            <w:pPr>
              <w:spacing w:after="0"/>
              <w:rPr>
                <w:sz w:val="21"/>
                <w:szCs w:val="21"/>
                <w:color w:val="auto"/>
              </w:rPr>
            </w:pP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9,483</w:t>
            </w:r>
          </w:p>
        </w:tc>
        <w:tc>
          <w:tcPr>
            <w:tcW w:w="100" w:type="dxa"/>
            <w:vAlign w:val="bottom"/>
            <w:shd w:val="clear" w:color="auto" w:fill="D2EDFE"/>
          </w:tcPr>
          <w:p>
            <w:pPr>
              <w:spacing w:after="0"/>
              <w:rPr>
                <w:sz w:val="21"/>
                <w:szCs w:val="21"/>
                <w:color w:val="auto"/>
              </w:rPr>
            </w:pPr>
          </w:p>
        </w:tc>
        <w:tc>
          <w:tcPr>
            <w:tcW w:w="360" w:type="dxa"/>
            <w:vAlign w:val="bottom"/>
            <w:shd w:val="clear" w:color="auto" w:fill="D2EDFE"/>
          </w:tcPr>
          <w:p>
            <w:pPr>
              <w:spacing w:after="0"/>
              <w:rPr>
                <w:sz w:val="21"/>
                <w:szCs w:val="21"/>
                <w:color w:val="auto"/>
              </w:rPr>
            </w:pP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(4,545)</w:t>
            </w:r>
          </w:p>
        </w:tc>
      </w:tr>
      <w:tr>
        <w:trPr>
          <w:trHeight w:val="254"/>
        </w:trPr>
        <w:tc>
          <w:tcPr>
            <w:tcW w:w="6600" w:type="dxa"/>
            <w:vAlign w:val="bottom"/>
            <w:tcBorders>
              <w:bottom w:val="single" w:sz="8" w:color="D2EDFE"/>
            </w:tcBorders>
          </w:tcPr>
          <w:p>
            <w:pPr>
              <w:ind w:left="18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6,247</w:t>
            </w:r>
          </w:p>
        </w:tc>
        <w:tc>
          <w:tcPr>
            <w:tcW w:w="80" w:type="dxa"/>
            <w:vAlign w:val="bottom"/>
            <w:tcBorders>
              <w:bottom w:val="single" w:sz="8" w:color="D2EDFE"/>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6,485</w:t>
            </w:r>
          </w:p>
        </w:tc>
        <w:tc>
          <w:tcPr>
            <w:tcW w:w="100" w:type="dxa"/>
            <w:vAlign w:val="bottom"/>
            <w:tcBorders>
              <w:bottom w:val="single" w:sz="8" w:color="D2EDFE"/>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6,751</w:t>
            </w:r>
          </w:p>
        </w:tc>
      </w:tr>
      <w:tr>
        <w:trPr>
          <w:trHeight w:val="247"/>
        </w:trPr>
        <w:tc>
          <w:tcPr>
            <w:tcW w:w="6600" w:type="dxa"/>
            <w:vAlign w:val="bottom"/>
            <w:shd w:val="clear" w:color="auto" w:fill="D2EDFE"/>
          </w:tcPr>
          <w:p>
            <w:pPr>
              <w:ind w:left="340"/>
              <w:spacing w:after="0"/>
              <w:rPr>
                <w:sz w:val="20"/>
                <w:szCs w:val="20"/>
                <w:color w:val="auto"/>
              </w:rPr>
            </w:pPr>
            <w:r>
              <w:rPr>
                <w:rFonts w:ascii="Times New Roman" w:cs="Times New Roman" w:eastAsia="Times New Roman" w:hAnsi="Times New Roman"/>
                <w:sz w:val="17"/>
                <w:szCs w:val="17"/>
                <w:color w:val="auto"/>
              </w:rPr>
              <w:t>Pre-tax net (loss)/income</w:t>
            </w:r>
          </w:p>
        </w:tc>
        <w:tc>
          <w:tcPr>
            <w:tcW w:w="360" w:type="dxa"/>
            <w:vAlign w:val="bottom"/>
            <w:tcBorders>
              <w:bottom w:val="single" w:sz="8" w:color="auto"/>
            </w:tcBorders>
            <w:shd w:val="clear" w:color="auto" w:fill="D2EDFE"/>
          </w:tcPr>
          <w:p>
            <w:pPr>
              <w:spacing w:after="0"/>
              <w:rPr>
                <w:sz w:val="21"/>
                <w:szCs w:val="21"/>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(8,063)</w:t>
            </w:r>
          </w:p>
        </w:tc>
        <w:tc>
          <w:tcPr>
            <w:tcW w:w="80" w:type="dxa"/>
            <w:vAlign w:val="bottom"/>
            <w:shd w:val="clear" w:color="auto" w:fill="D2EDFE"/>
          </w:tcPr>
          <w:p>
            <w:pPr>
              <w:spacing w:after="0"/>
              <w:rPr>
                <w:sz w:val="21"/>
                <w:szCs w:val="21"/>
                <w:color w:val="auto"/>
              </w:rPr>
            </w:pPr>
          </w:p>
        </w:tc>
        <w:tc>
          <w:tcPr>
            <w:tcW w:w="220" w:type="dxa"/>
            <w:vAlign w:val="bottom"/>
            <w:tcBorders>
              <w:bottom w:val="single" w:sz="8" w:color="auto"/>
            </w:tcBorders>
            <w:shd w:val="clear" w:color="auto" w:fill="D2EDFE"/>
          </w:tcPr>
          <w:p>
            <w:pPr>
              <w:spacing w:after="0"/>
              <w:rPr>
                <w:sz w:val="21"/>
                <w:szCs w:val="21"/>
                <w:color w:val="auto"/>
              </w:rPr>
            </w:pPr>
          </w:p>
        </w:tc>
        <w:tc>
          <w:tcPr>
            <w:tcW w:w="126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2,998</w:t>
            </w:r>
          </w:p>
        </w:tc>
        <w:tc>
          <w:tcPr>
            <w:tcW w:w="100" w:type="dxa"/>
            <w:vAlign w:val="bottom"/>
            <w:shd w:val="clear" w:color="auto" w:fill="D2EDFE"/>
          </w:tcPr>
          <w:p>
            <w:pPr>
              <w:spacing w:after="0"/>
              <w:rPr>
                <w:sz w:val="21"/>
                <w:szCs w:val="21"/>
                <w:color w:val="auto"/>
              </w:rPr>
            </w:pPr>
          </w:p>
        </w:tc>
        <w:tc>
          <w:tcPr>
            <w:tcW w:w="360" w:type="dxa"/>
            <w:vAlign w:val="bottom"/>
            <w:tcBorders>
              <w:bottom w:val="single" w:sz="8" w:color="auto"/>
            </w:tcBorders>
            <w:shd w:val="clear" w:color="auto" w:fill="D2EDFE"/>
          </w:tcPr>
          <w:p>
            <w:pPr>
              <w:spacing w:after="0"/>
              <w:rPr>
                <w:sz w:val="21"/>
                <w:szCs w:val="21"/>
                <w:color w:val="auto"/>
              </w:rPr>
            </w:pP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(11,296)</w:t>
            </w:r>
          </w:p>
        </w:tc>
      </w:tr>
      <w:tr>
        <w:trPr>
          <w:trHeight w:val="234"/>
        </w:trPr>
        <w:tc>
          <w:tcPr>
            <w:tcW w:w="6600" w:type="dxa"/>
            <w:vAlign w:val="bottom"/>
            <w:tcBorders>
              <w:bottom w:val="single" w:sz="8" w:color="D2EDFE"/>
            </w:tcBorders>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bottom w:val="single" w:sz="8" w:color="D2EDF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7,477</w:t>
            </w:r>
          </w:p>
        </w:tc>
        <w:tc>
          <w:tcPr>
            <w:tcW w:w="100" w:type="dxa"/>
            <w:vAlign w:val="bottom"/>
            <w:tcBorders>
              <w:bottom w:val="single" w:sz="8" w:color="D2EDFE"/>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3,383</w:t>
            </w:r>
          </w:p>
        </w:tc>
      </w:tr>
      <w:tr>
        <w:trPr>
          <w:trHeight w:val="267"/>
        </w:trPr>
        <w:tc>
          <w:tcPr>
            <w:tcW w:w="6600" w:type="dxa"/>
            <w:vAlign w:val="bottom"/>
            <w:tcBorders>
              <w:bottom w:val="single" w:sz="8" w:color="D2EDFE"/>
            </w:tcBorders>
            <w:shd w:val="clear" w:color="auto" w:fill="D2EDFE"/>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Borders>
              <w:bottom w:val="single" w:sz="8" w:color="auto"/>
            </w:tcBorders>
            <w:shd w:val="clear" w:color="auto" w:fill="D2EDFE"/>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80" w:type="dxa"/>
            <w:vAlign w:val="bottom"/>
            <w:tcBorders>
              <w:bottom w:val="single" w:sz="8" w:color="D2EDFE"/>
            </w:tcBorders>
            <w:shd w:val="clear" w:color="auto" w:fill="D2EDFE"/>
          </w:tcPr>
          <w:p>
            <w:pPr>
              <w:spacing w:after="0"/>
              <w:rPr>
                <w:sz w:val="23"/>
                <w:szCs w:val="23"/>
                <w:color w:val="auto"/>
              </w:rPr>
            </w:pPr>
          </w:p>
        </w:tc>
        <w:tc>
          <w:tcPr>
            <w:tcW w:w="220" w:type="dxa"/>
            <w:vAlign w:val="bottom"/>
            <w:tcBorders>
              <w:bottom w:val="single" w:sz="8" w:color="auto"/>
            </w:tcBorders>
            <w:shd w:val="clear" w:color="auto" w:fill="D2EDFE"/>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(4,479)</w:t>
            </w:r>
          </w:p>
        </w:tc>
        <w:tc>
          <w:tcPr>
            <w:tcW w:w="100" w:type="dxa"/>
            <w:vAlign w:val="bottom"/>
            <w:tcBorders>
              <w:bottom w:val="single" w:sz="8" w:color="D2EDFE"/>
            </w:tcBorders>
            <w:shd w:val="clear" w:color="auto" w:fill="D2EDFE"/>
          </w:tcPr>
          <w:p>
            <w:pPr>
              <w:spacing w:after="0"/>
              <w:rPr>
                <w:sz w:val="23"/>
                <w:szCs w:val="23"/>
                <w:color w:val="auto"/>
              </w:rPr>
            </w:pPr>
          </w:p>
        </w:tc>
        <w:tc>
          <w:tcPr>
            <w:tcW w:w="360" w:type="dxa"/>
            <w:vAlign w:val="bottom"/>
            <w:tcBorders>
              <w:bottom w:val="single" w:sz="8" w:color="auto"/>
            </w:tcBorders>
            <w:shd w:val="clear" w:color="auto" w:fill="D2EDFE"/>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(14,679)</w:t>
            </w:r>
          </w:p>
        </w:tc>
      </w:tr>
      <w:tr>
        <w:trPr>
          <w:trHeight w:val="20"/>
        </w:trPr>
        <w:tc>
          <w:tcPr>
            <w:tcW w:w="6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4"/>
        </w:trPr>
        <w:tc>
          <w:tcPr>
            <w:tcW w:w="66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21"/>
        </w:trPr>
        <w:tc>
          <w:tcPr>
            <w:tcW w:w="660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7"/>
                <w:szCs w:val="17"/>
                <w:color w:val="auto"/>
              </w:rPr>
              <w:t>Segment assets</w:t>
            </w:r>
          </w:p>
        </w:tc>
        <w:tc>
          <w:tcPr>
            <w:tcW w:w="360" w:type="dxa"/>
            <w:vAlign w:val="bottom"/>
            <w:shd w:val="clear" w:color="auto" w:fill="D2EDFE"/>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209,996</w:t>
            </w:r>
          </w:p>
        </w:tc>
        <w:tc>
          <w:tcPr>
            <w:tcW w:w="300" w:type="dxa"/>
            <w:vAlign w:val="bottom"/>
            <w:gridSpan w:val="2"/>
            <w:shd w:val="clear" w:color="auto" w:fill="D2EDFE"/>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204,019</w:t>
            </w:r>
          </w:p>
        </w:tc>
        <w:tc>
          <w:tcPr>
            <w:tcW w:w="100" w:type="dxa"/>
            <w:vAlign w:val="bottom"/>
            <w:shd w:val="clear" w:color="auto" w:fill="D2EDFE"/>
          </w:tcPr>
          <w:p>
            <w:pPr>
              <w:spacing w:after="0"/>
              <w:rPr>
                <w:sz w:val="19"/>
                <w:szCs w:val="19"/>
                <w:color w:val="auto"/>
              </w:rPr>
            </w:pPr>
          </w:p>
        </w:tc>
        <w:tc>
          <w:tcPr>
            <w:tcW w:w="360" w:type="dxa"/>
            <w:vAlign w:val="bottom"/>
            <w:shd w:val="clear" w:color="auto" w:fill="D2EDFE"/>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7"/>
                <w:szCs w:val="17"/>
                <w:color w:val="auto"/>
              </w:rPr>
              <w:t>200,759</w:t>
            </w:r>
          </w:p>
        </w:tc>
      </w:tr>
    </w:tbl>
    <w:p>
      <w:pPr>
        <w:spacing w:after="0" w:line="27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Cost of services includes the costs of physicians, nursing, supplies and rent directly related to the performance of procedures at the facility level.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SUBSEQUENT EVENTS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March 12, 2025, the Company, EBS Intermediate Parent LLC, a Delaware limited liability company and wholly-owned subsidiary of the Company (“EBS Parent”), EBS Enterprises LLC, a Delaware limited liability company and wholly-owned subsidiary of EBS Parent (“Borrower”), Silicon Valley Bank, a division of First-Citizens Bank &amp; Trust Company, as the administrative agent (“SVB”), and the lenders a party thereto entered into a Third Amendment to the Credit Agreement (the “Third Amendment”). Under the terms of the Third Amendment, the parties thereto agreed to modify certain financial condition covenants made by the Company in the Credit Agreement, such that (i) the Consolidated Fixed Charge Coverage Ratio (as defined in the Credit Agreement) of the Company and its subsidiaries as of the last day of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$3,000,000.00 as of the last day of the month ending March 31, 2025, (B) $5,000,000 as of the last day of the month ending April 30, 2025, and (C) $7,500,000.00 as of the last day of the months ending May 31, 2025 and thereafter (or the last day of each fiscal quarter thereafter upon the satisfaction of certain financial tests described therein); and (iv) new liquidity and financial reporting requirements have been added.</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to revising the covenants listed above, the Third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maturity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Sponsor. In consideration of the Third Amendment, the Company paid a fee equal to 0.15% of the outstanding loans to consenting Lenders, and a $125,000 arrangement fee to SVB. On March 12, 2025 connection with the Third Amendment, the Company, SVB and our Sponsor (through certain affiliated entities) entered into that certain Limited Guarantee by and among Vesey Street Capital Partners Healthcare Fund, L.P., Vesey Street Capital Partners Healthcare Fund-A, L.P., SVB, a related party and who with their affiliates hold a 50.1% ownership interest in the Company, and the Company (the "Limited Guarantee") pursuant to which our Sponsor agreed to provide a $10.0 million limited guaranty of the Company’s obligations under the Credit Agreement. The Limited Guarantee is callable on June 15, 2025 (or upon the earlier occurrence of certain defaults described therein) if the Company has not prepaid the Term Loan (excluding regularly scheduled amortization) by $10.0 million as of such date. Under the terms of the Limited Guarantee, if Sponsor is required to make any payment under the Limited Guarantee (other than as a result of a bankruptcy event), then Sponsor will be deemed to have purchased shares of common stock of the Company having an aggregate value equal to the amount of such payment. The Company has agreed to issue a subordinated note to Sponsor if a payment occurs under the Limited Guarantee, to the extent such payment does not result from the issuance of shares of common stock by the Company to Sponsor.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ACCRUED AND OTHER CURRENT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2024 and December 31, 2023 accrued and other current liabilities consists of the following (in 000’s):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advertising costs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Credit card payable</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w:t>
            </w:r>
          </w:p>
        </w:tc>
      </w:tr>
      <w:tr>
        <w:trPr>
          <w:trHeight w:val="25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severance</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2,163</w:t>
            </w:r>
          </w:p>
        </w:tc>
      </w:tr>
      <w:tr>
        <w:trPr>
          <w:trHeight w:val="27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ind w:right="3940"/>
        <w:spacing w:after="0" w:line="456" w:lineRule="auto"/>
        <w:rPr>
          <w:sz w:val="20"/>
          <w:szCs w:val="20"/>
          <w:color w:val="auto"/>
        </w:rPr>
      </w:pPr>
      <w:r>
        <w:rPr>
          <w:rFonts w:ascii="Times New Roman" w:cs="Times New Roman" w:eastAsia="Times New Roman" w:hAnsi="Times New Roman"/>
          <w:sz w:val="17"/>
          <w:szCs w:val="17"/>
          <w:b w:val="1"/>
          <w:bCs w:val="1"/>
          <w:color w:val="auto"/>
        </w:rPr>
        <w:t xml:space="preserve">Item 9. Changes in and Disagreements With Accountants on Accounting and Financial Disclosures </w:t>
      </w:r>
      <w:r>
        <w:rPr>
          <w:rFonts w:ascii="Times New Roman" w:cs="Times New Roman" w:eastAsia="Times New Roman" w:hAnsi="Times New Roman"/>
          <w:sz w:val="17"/>
          <w:szCs w:val="17"/>
          <w:color w:val="auto"/>
        </w:rPr>
        <w:t>None.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Evaluation of Disclosure Controls and Procedures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of the end of the period covered by this Annual Report on Form 10-K,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December 31, 2024.</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Management is responsible for establishing and maintaining adequate internal control over financial reporting, as such term is defined in Exchange Act Rules 13a-15(f). Internal control over financial reporting is a process designed to provide reasonable assurance regarding the reliability of financial reporting and the preparation of the financial statements for external purposes in accordance with GAAP.</w:t>
      </w:r>
    </w:p>
    <w:p>
      <w:pPr>
        <w:spacing w:after="0" w:line="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Management, including our principal executive officer and principal financial officer, has assessed the effectiveness of our internal control over financial reporting as of December 31, 2024, based on criteria established in the framework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issued by the Committee of Sponsoring Organizations of the Treadway Commission. Based on the results of our evaluation, management concluded that our internal control over financial reporting was effective as of December 31, 2024.</w:t>
      </w:r>
    </w:p>
    <w:p>
      <w:pPr>
        <w:spacing w:after="0" w:line="1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Controls Over Financial Reporting</w:t>
      </w:r>
    </w:p>
    <w:p>
      <w:pPr>
        <w:spacing w:after="0" w:line="22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that materially affected, or are reasonably likely to materially affect, our internal control over financial reporting during the quarter ended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Limitations on the Effectiveness of Controls</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Annual Meeting of Stockholders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currently anticipates that it will hold its virtual 2025 Annual Meeting of Stockholders on May 7,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Third Amendment to Credit Agreement</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March 12, 2025, the Company entered the Third Amendment. Under the terms of the Third Amendment, the parties thereto agreed to modify certain financial condition covenants made by the Company under the Term Loan and Revolving Credit Facility, such that (i) the Consolidated Fixed Charge Coverage Ratio (as defined in the Credit Agreement) of the Company and its subsidiaries as of the last day of the fiscal quarters ending March 31, 2025 and June 30, 2025 must be no less than 0.50x and 1.10x, respectively, and no less than 1.25x on the last day of the fiscal quarters ending September 30, 2025 and thereafter, instead of 1.10x as of March 31, 2025 and 1.25x as of June 30, 2025 and thereafter, as previously set forth in the Credit Agreement; (ii) the Consolidated Leverage Ratio (as defined in the Credit Agreement) of the Company and its subsidiaries as of the last day of the fiscal quarters ending March 31, 2025, June 30, 2025, September 30, 2025, December 31, 2025 and March 31, 2026, must not exceed 4:25x, 3.50x, 3.25x, 3.25x, and 2.75x, respectively, and the Consolidated Leverage Ratio as of the last day of each fiscal quarter thereafter must not exceed 2.25x, instead of 3.25x as of March 31, 2025, 2.75x as of June 30, 2025, and 2.25x thereafter, as previously set forth in the Credit Agreement; (iii) the Company and its subsidiaries will be required to maintain minimum Liquidity (as defined in the Credit Agreement) of not less than (A) $3,000,000.00 as of the last day of the month ending March 31, 2025, (B) $5,000,000 as of the last day of the month ending April 30, 2025, and (C) $7,500,000.00 as of the last day of the months ending May 31, 2025 and thereafter (or the last day of each fiscal quarter thereafter upon the satisfaction of certain financial tests described therein); and (iv) new liquidity and financial reporting requirements have been added.</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to revising the covenants listed above, the amendment revised or added new terms such that (i) for outstanding loans, beginning on or about July 1, 2025, the applicable per annum margin will be increased to 3.75% or 4.75% for base rate or SOFR, respectively, if the Company's total leverage ratio is equal to or greater than 3.00x, 3.50% or 4.50% for base rate or SOFR, respectively, if the Company's total leverage ratio is equal to or greater than 2.00x and less than 3.00x, and 3.25% or 4.25% for base rate or SOFR, respectively, if the Company's total leverage ratio is below 2.00x, (ii) the Term Loan and Revolving Credit Facility will mature on May 11, 2027 (instead of November 7, 2027); (iii) Liquidity in excess of $3.0 million will be used to repay the outstanding funds drawn on the revolving credit facility on a monthly basis beginning April 30, 2025; (iv) revolver draws will be subject to compliance with the minimum Liquidity covenant (v) the Company will be required to reimburse SVB for certain fees and expenses relating to the engagement of a financial advisor; and (vi) 100% of first $10.0 million of any equity proceeds will be used to repay the Term Loan and Revolving Credit Facility, subject to a carve-out of the first $3.0 million of equity proceeds and any equity proceeds received from Sponsor. In consideration of the Third Amendment, the Company will pay a fee equal to 0.15% of the outstanding loans to consenting lenders, and a $125,000 arrangement fee to SVB. On March 12, 2025, in connection with the Third Amendment, the Company, SVB and our Sponsor (through certain affiliated entities) entered into the Limited Guarantee, pursuant to which our Sponsor agreed to provide a $10.0 million limited guaranty of the Company’s obligations under the Credit Agreement. The Limited Guarantee is callable on June 15, 2025 (or upon the earlier occurrence of certain defaults described therein) if the Company has not prepaid the Term Loan (excluding regularly scheduled amortization) by $10.0 million as of such date. Under the terms of the Limited Guarantee, if Sponsor is required to make any payment under the Limited Guarantee (other than as a result of a bankruptcy event), then Sponsor will be deemed to have purchased shares of common stock of the Company having an aggregate value equal to the amount of such payment. The Company has agreed to issue a subordinated note to Sponsor if a payment occurs under the Limited Guarantee, to the extent such payment does not result from the issuance of shares of common stock by the Company to Sponsor.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Rule 10b5-1 Trading Arrangements</w:t>
      </w:r>
    </w:p>
    <w:p>
      <w:pPr>
        <w:spacing w:after="0" w:line="1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During the quarter ended December 31, 2024, none of our directors or officers have adopted or terminated any “Rule 10b5-1 trading arrangement” or “non-Rule 10b5-1 trading arrangement” (each as defined in Item 408(a) of Regulation S-K).</w:t>
      </w:r>
    </w:p>
    <w:p>
      <w:pPr>
        <w:spacing w:after="0" w:line="314" w:lineRule="exact"/>
        <w:rPr>
          <w:sz w:val="20"/>
          <w:szCs w:val="20"/>
          <w:color w:val="auto"/>
        </w:rPr>
      </w:pPr>
    </w:p>
    <w:p>
      <w:pPr>
        <w:ind w:right="5500"/>
        <w:spacing w:after="0" w:line="456" w:lineRule="auto"/>
        <w:rPr>
          <w:sz w:val="20"/>
          <w:szCs w:val="20"/>
          <w:color w:val="auto"/>
        </w:rPr>
      </w:pPr>
      <w:r>
        <w:rPr>
          <w:rFonts w:ascii="Times New Roman" w:cs="Times New Roman" w:eastAsia="Times New Roman" w:hAnsi="Times New Roman"/>
          <w:sz w:val="17"/>
          <w:szCs w:val="17"/>
          <w:b w:val="1"/>
          <w:bCs w:val="1"/>
          <w:color w:val="auto"/>
        </w:rPr>
        <w:t xml:space="preserve">Item 9C. Disclosure Regarding Foreign Jurisdictions that Prevent Inspections </w:t>
      </w: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name, age, and position, as of March 14, 2025, of individuals who currently serve as directors on the board of directors.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Age</w:t>
            </w:r>
          </w:p>
        </w:tc>
        <w:tc>
          <w:tcPr>
            <w:tcW w:w="7640" w:type="dxa"/>
            <w:vAlign w:val="bottom"/>
          </w:tcPr>
          <w:p>
            <w:pPr>
              <w:ind w:left="352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09"/>
        </w:trPr>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Dr. Aaron Rollins</w:t>
            </w:r>
          </w:p>
        </w:tc>
        <w:tc>
          <w:tcPr>
            <w:tcW w:w="260" w:type="dxa"/>
            <w:vAlign w:val="bottom"/>
          </w:tcPr>
          <w:p>
            <w:pPr>
              <w:spacing w:after="0"/>
              <w:rPr>
                <w:sz w:val="18"/>
                <w:szCs w:val="18"/>
                <w:color w:val="auto"/>
              </w:rPr>
            </w:pPr>
          </w:p>
        </w:tc>
        <w:tc>
          <w:tcPr>
            <w:tcW w:w="80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18"/>
                <w:szCs w:val="18"/>
                <w:color w:val="auto"/>
              </w:rPr>
            </w:pPr>
          </w:p>
        </w:tc>
        <w:tc>
          <w:tcPr>
            <w:tcW w:w="7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Executive Chairman of the board of directors</w:t>
            </w:r>
          </w:p>
        </w:tc>
      </w:tr>
      <w:tr>
        <w:trPr>
          <w:trHeight w:val="221"/>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Yogi Jashnani</w:t>
            </w: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43</w:t>
            </w:r>
          </w:p>
        </w:tc>
        <w:tc>
          <w:tcPr>
            <w:tcW w:w="24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 and Chief Executive Officer</w:t>
            </w:r>
          </w:p>
        </w:tc>
      </w:tr>
      <w:tr>
        <w:trPr>
          <w:trHeight w:val="221"/>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Adam Feinstein</w:t>
            </w: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53</w:t>
            </w:r>
          </w:p>
        </w:tc>
        <w:tc>
          <w:tcPr>
            <w:tcW w:w="24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21"/>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Daniel Sollof</w:t>
            </w: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41</w:t>
            </w:r>
          </w:p>
        </w:tc>
        <w:tc>
          <w:tcPr>
            <w:tcW w:w="24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21"/>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Caroline Chu</w:t>
            </w: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44</w:t>
            </w:r>
          </w:p>
        </w:tc>
        <w:tc>
          <w:tcPr>
            <w:tcW w:w="24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21"/>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Thomas Aaron</w:t>
            </w: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63</w:t>
            </w:r>
          </w:p>
        </w:tc>
        <w:tc>
          <w:tcPr>
            <w:tcW w:w="24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27"/>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Kenneth Higgins</w:t>
            </w: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59</w:t>
            </w:r>
          </w:p>
        </w:tc>
        <w:tc>
          <w:tcPr>
            <w:tcW w:w="240" w:type="dxa"/>
            <w:vAlign w:val="bottom"/>
          </w:tcPr>
          <w:p>
            <w:pPr>
              <w:spacing w:after="0"/>
              <w:rPr>
                <w:sz w:val="19"/>
                <w:szCs w:val="19"/>
                <w:color w:val="auto"/>
              </w:rPr>
            </w:pPr>
          </w:p>
        </w:tc>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I—Directors with Terms Expiring in Fiscal 2025</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Yogi Jashnani </w:t>
      </w:r>
      <w:r>
        <w:rPr>
          <w:rFonts w:ascii="Times New Roman" w:cs="Times New Roman" w:eastAsia="Times New Roman" w:hAnsi="Times New Roman"/>
          <w:sz w:val="17"/>
          <w:szCs w:val="17"/>
          <w:color w:val="auto"/>
        </w:rPr>
        <w:t>has served as our Chief Executive Officer and a member of our board of directors since January 7, 2025. Mr. Jashnani has over 20 years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in the aesthetics, retail and finance industries. Prior to joining the Company, Mr. Jashnani served as Chief Revenue Officer for Sky Zone. From 2019 through 2023, he served as Chief Commercial Officer of Ideal Image. From fiscal 2017 through 2019, Mr. Jashnani held the position of SVP, Marketing, Insights and Analytics of Advance Auto Parts. Prior to this, Mr. Jashnani was Vice President at Capital One. Mr. Jashnani holds a Masters of Science in Biomedical Engineering and a Masters of Science in Electrical Engineering from University of Wisconsin-Madison. He also holds a Bachelors of Engineering in Telecommunications Engineering for University of Mumbai. We believe that Mr. Jashnani's industry knowledge, as well as his leadership experience, make him an appropriate member of our board of directors.</w:t>
      </w:r>
    </w:p>
    <w:p>
      <w:pPr>
        <w:spacing w:after="0" w:line="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b w:val="1"/>
          <w:bCs w:val="1"/>
          <w:color w:val="auto"/>
        </w:rPr>
        <w:t xml:space="preserve">Daniel Sollof </w:t>
      </w:r>
      <w:r>
        <w:rPr>
          <w:rFonts w:ascii="Times New Roman" w:cs="Times New Roman" w:eastAsia="Times New Roman" w:hAnsi="Times New Roman"/>
          <w:sz w:val="17"/>
          <w:szCs w:val="17"/>
          <w:color w:val="auto"/>
        </w:rPr>
        <w:t>has served as a member of the Board since June 2021 and served as a member of the board of managers of Elite Body Sculpture from October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2018 until the IPO. Mr. Sollof joined VSCP in August 2014 and serves as a General Partner for the firm. In addition to sourcing and evaluating potential investment opportunities, Mr. Sollof works closely with VSCP’s portfolio companies. He has been a Board Observer at HealthChannels (ScribeAmerica) since October 2016. From July 2015 to August 2017, he served as a member of the board of directors of Imedex, Inc. Prior to joining VSCP, Mr. Sollof served as Vice President and Research Analyst for Barclays Capital/Lehman Brothers August 2007 to August 2014, focusing on the Healthcare Facilities and Medical Supplies</w:t>
      </w:r>
    </w:p>
    <w:p>
      <w:pPr>
        <w:spacing w:after="0" w:line="1" w:lineRule="exact"/>
        <w:rPr>
          <w:sz w:val="20"/>
          <w:szCs w:val="20"/>
          <w:color w:val="auto"/>
        </w:rPr>
      </w:pPr>
    </w:p>
    <w:p>
      <w:pPr>
        <w:jc w:val="both"/>
        <w:ind w:firstLine="4"/>
        <w:spacing w:after="0" w:line="244" w:lineRule="auto"/>
        <w:tabs>
          <w:tab w:leader="none" w:pos="191"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Devices Sectors. Prior to Barclays Capital/Lehman Brothers, Mr. Sollof worked as a Valuation and Business Modeling Analyst in the Transaction Advisory Services group at Ernst &amp; Young from September 2005 to July 2007. Mr. Sollof received a B.S. in Management Science from the University of California – San Diego and is a CFA charterholder. We believe that Mr. Sollof’s industry knowledge, as well as his leadership experience, make him an appropriate member of our Board.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II—Directors with Terms Expiring in Fiscal 2026</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Adam Feinstein </w:t>
      </w:r>
      <w:r>
        <w:rPr>
          <w:rFonts w:ascii="Times New Roman" w:cs="Times New Roman" w:eastAsia="Times New Roman" w:hAnsi="Times New Roman"/>
          <w:sz w:val="17"/>
          <w:szCs w:val="17"/>
          <w:color w:val="auto"/>
        </w:rPr>
        <w:t>has served as a member of the Board since June 2021 and as lead independent director since March 2023. He previously served as the non-executive chairman of the Board from September 2021 to January 2023 and as non-executive chairman of the board of managers of Elite Body Sculpture from October 2018 until the IPO. Mr. Feinstein founded Vesey Street Capital Partners, L.L.C. in 2014 and serves as Managing Partner. He has been a member of the board of directors of HealthChannels (ScribeAmerica), a provider of medical scribe support and value-based healthcare solutions, since October 2016. He has served as chairman of the board of directors of QualityMetric, a provider of health and disease specific surveys, from August 2020 until August 2023. He has served as a member of the board of directors of Pathgroup, a leading pathology services company, since August 2016. Mr. Feinstein has served as a board member of Safecor Health, which provides pharmaceutical unit dose packaging services for hospitals and health systems, since August 2021. Most recently, Mr. Feinstein has served as a board member of Inceptua Group, a leading provider of clinical trial supplies and related services, as well as global early access programs, since January 2024. He was a board member of Surgery Partners, Inc. (Nasdaq: SGRY) from September 2015 to December 2019 and Imedex, Inc. from July 2015 to August 2017. Prior to founding VSCP, Mr. Feinstein was the Senior Vice President of Corporate Development, Strategic Planning and Office of the Chief Executive Officer at LabCorp from June 2012 to August 2014. Prior to LabCorp, Mr. Feinstein served as the Managing Director in Equity Research at Barclays Capital/Lehman Brothers for 14 years. Mr. Feinstein is a CFA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charterholder and has a B.S. in Business from the Smith School at the University of Maryland. He also completed the Nashville Healthcare Council Fellows program. We believe that Mr. Feinstein’s public company experience, industry knowledge, as well as his leadership experience, make him an appropriate member of our Board.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Thomas Aaron </w:t>
      </w:r>
      <w:r>
        <w:rPr>
          <w:rFonts w:ascii="Times New Roman" w:cs="Times New Roman" w:eastAsia="Times New Roman" w:hAnsi="Times New Roman"/>
          <w:sz w:val="17"/>
          <w:szCs w:val="17"/>
          <w:color w:val="auto"/>
        </w:rPr>
        <w:t>has served as a member of our Board since October 2021. From November 2019 to November 2024, Mr. Aaron served as a member of the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directors of Cincinnati Financial Corporation (Nasdaq: CINF) and served on CINF's audit committee and the compensation committee during 2023 and 2024. From November 2019 to November 2024, Mr. Aaron also served as a member of the boards of directors of CINF’s property casualty insurance companies and other subsidiaries. From 2016 to 2017, Mr. Aaron served as Senior Vice President of Finance of Community Health Systems, Inc. (NYSE: CYH). Mr. Aaron was appointed to serve as Executive Vice President and Chief Financial Officer of CYH in May 2017, a position in which he served through December 2019. Prior to joining CYH, Mr. Aaron had a distinguished, 32-year career at Deloitte leading audit and consulting services to, among others, national healthcare organizations. Mr. Aaron is a Certified Public Accountant and holds a B.S. in Accounting from the University of Kentucky. We believe that Mr. Aaron’s leadership experience makes him an appropriate member of our Board.</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Kenneth Higgins </w:t>
      </w:r>
      <w:r>
        <w:rPr>
          <w:rFonts w:ascii="Times New Roman" w:cs="Times New Roman" w:eastAsia="Times New Roman" w:hAnsi="Times New Roman"/>
          <w:sz w:val="17"/>
          <w:szCs w:val="17"/>
          <w:color w:val="auto"/>
        </w:rPr>
        <w:t>has served as a member of our Board since October 2021. Mr. Higgins currently serves as the managing director and co-founder of Northborne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Partners, LLC, a middle market-focused mergers and acquisitions advisory firm. Previously, Mr. Higgins spent 4.5 years at BMO Capital Markets Corp. (a subsidiary of Bank of Montreal (NYSE: BMO)) from 2016 to 2021. Mr. Higgins received his Bachelor of Business Administration from the University of Michigan School of Business and his Juris Doctor degree from Harvard Law School. We believe that Mr. Higgin’s leadership experience makes him an appropriate member of our Board.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III—Directors with Terms Expiring in Fiscal 2027</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Dr. Aaron Rollins </w:t>
      </w:r>
      <w:r>
        <w:rPr>
          <w:rFonts w:ascii="Times New Roman" w:cs="Times New Roman" w:eastAsia="Times New Roman" w:hAnsi="Times New Roman"/>
          <w:sz w:val="17"/>
          <w:szCs w:val="17"/>
          <w:color w:val="auto"/>
        </w:rPr>
        <w:t>is our founder, previously served as our Chief Executive Officer from 2012 to January 2023, and has served as Executive Chairman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since January 2023. Dr. Rollins is the cosmetic surgeon to the stars, as well as the founder of the Company. He currently serves as a board adviser to Safecor Health, a portfolio company affiliated with Vesey Street Capital Partners, L.L.C., our private equity sponsor. Dr. Rollins is considered a specialist in body sculpting and has performed thousands of laser liposuction procedures. He is a life-long art lover who studied sculpture and to fulfill his dream of combining art and science, he eventually attended medical school. Dr. Rollins went to medical school at the McGill University Faculty of Medicine in Montreal, Canada after completing his undergraduate studies at McGill University. He has received many awards for his distinguished work, including the I.D.E.A. Bronze Medal for medical inventions and the “Great Distinction” honor at McGill University. He is affiliated with the American College of Surgeons, American Board of Laser Surgery, American Academy of Cosmetic Surgery and the American Society of Liposuction Surgery. He is also a member of the World Academy of Cosmetic Surgery. Dr. Rollins was awarded the Compassionate Doctor certification in 2013. We believe that Dr. Rollins’ industry knowledge, as well as his leadership experience, make him an appropriate member and Executive Chairman of our Board.</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Caroline Chu </w:t>
      </w:r>
      <w:r>
        <w:rPr>
          <w:rFonts w:ascii="Times New Roman" w:cs="Times New Roman" w:eastAsia="Times New Roman" w:hAnsi="Times New Roman"/>
          <w:sz w:val="17"/>
          <w:szCs w:val="17"/>
          <w:color w:val="auto"/>
        </w:rPr>
        <w:t>has served as a member of our Board since October 2021. Previously, Ms. Chu spent 16 years at Goldman Sachs Group, Inc. from June 2002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February 2018. She served as an investment analyst in Equity Research, a public equities investor in Goldman Sachs Principal Strategies and portfolio manager and Managing Director in Goldman Sachs Investment Partners. Ms. Chu also served as Co-Head of Equities and Managing Director for Alwyne Management LP from May 2018 to January 2020. Ms. Chu received her B.S. degrees in Economics and Management Science from the Massachusetts Institute of Technology in 2002. We believe that Ms. Chu’s leadership experience makes her an appropriate member of our Board.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Highlights</w:t>
      </w:r>
    </w:p>
    <w:p>
      <w:pPr>
        <w:spacing w:after="0" w:line="2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Corporate governance is key to a strong and accountable board of directors. We strive to adopt practices that will promote the long-term interests of the Company and its stockholders, including the below examples.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80" w:right="180" w:hanging="422"/>
        <w:spacing w:after="0" w:line="246" w:lineRule="auto"/>
        <w:tabs>
          <w:tab w:leader="none" w:pos="980" w:val="left"/>
        </w:tabs>
        <w:numPr>
          <w:ilvl w:val="0"/>
          <w:numId w:val="5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Accountability. Our common stock outstanding on the Record Date is entitled to one vote per matter presented to stockholders</w:t>
      </w:r>
    </w:p>
    <w:p>
      <w:pPr>
        <w:spacing w:after="0" w:line="159" w:lineRule="exact"/>
        <w:rPr>
          <w:rFonts w:ascii="MS PGothic" w:cs="MS PGothic" w:eastAsia="MS PGothic" w:hAnsi="MS PGothic"/>
          <w:sz w:val="17"/>
          <w:szCs w:val="17"/>
          <w:color w:val="auto"/>
        </w:rPr>
      </w:pPr>
    </w:p>
    <w:p>
      <w:pPr>
        <w:ind w:left="980" w:right="100" w:hanging="422"/>
        <w:spacing w:after="0" w:line="246" w:lineRule="auto"/>
        <w:tabs>
          <w:tab w:leader="none" w:pos="980" w:val="left"/>
        </w:tabs>
        <w:numPr>
          <w:ilvl w:val="0"/>
          <w:numId w:val="5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We meet Nasdaq’s definition of a controlled company, but we do not take advantage of the controlled company exemptions</w:t>
      </w:r>
    </w:p>
    <w:p>
      <w:pPr>
        <w:spacing w:after="0" w:line="159" w:lineRule="exact"/>
        <w:rPr>
          <w:rFonts w:ascii="MS PGothic" w:cs="MS PGothic" w:eastAsia="MS PGothic" w:hAnsi="MS PGothic"/>
          <w:sz w:val="17"/>
          <w:szCs w:val="17"/>
          <w:color w:val="auto"/>
        </w:rPr>
      </w:pPr>
    </w:p>
    <w:p>
      <w:pPr>
        <w:ind w:left="980" w:right="60" w:hanging="422"/>
        <w:spacing w:after="0" w:line="246" w:lineRule="auto"/>
        <w:tabs>
          <w:tab w:leader="none" w:pos="980" w:val="left"/>
        </w:tabs>
        <w:numPr>
          <w:ilvl w:val="0"/>
          <w:numId w:val="5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Five of the seven members of our Board are “independent” under Nasdaq’s definition of independence</w:t>
      </w:r>
    </w:p>
    <w:p>
      <w:pPr>
        <w:spacing w:after="0" w:line="159" w:lineRule="exact"/>
        <w:rPr>
          <w:rFonts w:ascii="MS PGothic" w:cs="MS PGothic" w:eastAsia="MS PGothic" w:hAnsi="MS PGothic"/>
          <w:sz w:val="17"/>
          <w:szCs w:val="17"/>
          <w:color w:val="auto"/>
        </w:rPr>
      </w:pPr>
    </w:p>
    <w:p>
      <w:pPr>
        <w:ind w:left="980" w:right="300" w:hanging="422"/>
        <w:spacing w:after="0" w:line="246" w:lineRule="auto"/>
        <w:tabs>
          <w:tab w:leader="none" w:pos="980" w:val="left"/>
        </w:tabs>
        <w:numPr>
          <w:ilvl w:val="0"/>
          <w:numId w:val="5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Our Audit and Compensation Committees are each composed entirely of unaffiliated independent directors</w:t>
      </w:r>
    </w:p>
    <w:p>
      <w:pPr>
        <w:spacing w:after="0" w:line="159" w:lineRule="exact"/>
        <w:rPr>
          <w:rFonts w:ascii="MS PGothic" w:cs="MS PGothic" w:eastAsia="MS PGothic" w:hAnsi="MS PGothic"/>
          <w:sz w:val="17"/>
          <w:szCs w:val="17"/>
          <w:color w:val="auto"/>
        </w:rPr>
      </w:pPr>
    </w:p>
    <w:p>
      <w:pPr>
        <w:ind w:left="980" w:hanging="422"/>
        <w:spacing w:after="0" w:line="246" w:lineRule="auto"/>
        <w:tabs>
          <w:tab w:leader="none" w:pos="980" w:val="left"/>
        </w:tabs>
        <w:numPr>
          <w:ilvl w:val="0"/>
          <w:numId w:val="5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Regular Board and Committee Executive Sessions of Independent Directors</w:t>
      </w:r>
    </w:p>
    <w:p>
      <w:pPr>
        <w:spacing w:after="0" w:line="211" w:lineRule="exact"/>
        <w:rPr>
          <w:rFonts w:ascii="MS PGothic" w:cs="MS PGothic" w:eastAsia="MS PGothic" w:hAnsi="MS PGothic"/>
          <w:sz w:val="17"/>
          <w:szCs w:val="17"/>
          <w:color w:val="auto"/>
        </w:rPr>
      </w:pPr>
    </w:p>
    <w:p>
      <w:pPr>
        <w:ind w:left="980" w:hanging="422"/>
        <w:spacing w:after="0"/>
        <w:tabs>
          <w:tab w:leader="none" w:pos="980" w:val="left"/>
        </w:tabs>
        <w:numPr>
          <w:ilvl w:val="0"/>
          <w:numId w:val="5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Lead Independent Director</w:t>
      </w:r>
    </w:p>
    <w:p>
      <w:pPr>
        <w:spacing w:after="0" w:line="182" w:lineRule="exact"/>
        <w:rPr>
          <w:rFonts w:ascii="MS PGothic" w:cs="MS PGothic" w:eastAsia="MS PGothic" w:hAnsi="MS PGothic"/>
          <w:sz w:val="17"/>
          <w:szCs w:val="17"/>
          <w:color w:val="auto"/>
        </w:rPr>
      </w:pPr>
    </w:p>
    <w:p>
      <w:pPr>
        <w:ind w:left="980" w:hanging="422"/>
        <w:spacing w:after="0"/>
        <w:tabs>
          <w:tab w:leader="none" w:pos="980" w:val="left"/>
        </w:tabs>
        <w:numPr>
          <w:ilvl w:val="0"/>
          <w:numId w:val="5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Independent Executive Compensation Consultant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21" w:hanging="421"/>
        <w:spacing w:after="0"/>
        <w:tabs>
          <w:tab w:leader="none" w:pos="421" w:val="left"/>
        </w:tabs>
        <w:numPr>
          <w:ilvl w:val="0"/>
          <w:numId w:val="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Annual Board and Committee Self-Evaluations</w:t>
      </w:r>
    </w:p>
    <w:p>
      <w:pPr>
        <w:spacing w:after="0" w:line="364" w:lineRule="exact"/>
        <w:rPr>
          <w:rFonts w:ascii="MS PGothic" w:cs="MS PGothic" w:eastAsia="MS PGothic" w:hAnsi="MS PGothic"/>
          <w:sz w:val="17"/>
          <w:szCs w:val="17"/>
          <w:color w:val="auto"/>
        </w:rPr>
      </w:pPr>
    </w:p>
    <w:p>
      <w:pPr>
        <w:ind w:left="421" w:right="440" w:hanging="421"/>
        <w:spacing w:after="0" w:line="246" w:lineRule="auto"/>
        <w:tabs>
          <w:tab w:leader="none" w:pos="421" w:val="left"/>
        </w:tabs>
        <w:numPr>
          <w:ilvl w:val="0"/>
          <w:numId w:val="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Annual Named Executive Officer Performance Evaluation by the Compensation Committee of the Board</w:t>
      </w:r>
    </w:p>
    <w:p>
      <w:pPr>
        <w:spacing w:after="0" w:line="159" w:lineRule="exact"/>
        <w:rPr>
          <w:rFonts w:ascii="MS PGothic" w:cs="MS PGothic" w:eastAsia="MS PGothic" w:hAnsi="MS PGothic"/>
          <w:sz w:val="17"/>
          <w:szCs w:val="17"/>
          <w:color w:val="auto"/>
        </w:rPr>
      </w:pPr>
    </w:p>
    <w:p>
      <w:pPr>
        <w:ind w:left="421" w:right="1320" w:hanging="421"/>
        <w:spacing w:after="0" w:line="246" w:lineRule="auto"/>
        <w:tabs>
          <w:tab w:leader="none" w:pos="421" w:val="left"/>
        </w:tabs>
        <w:numPr>
          <w:ilvl w:val="0"/>
          <w:numId w:val="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“Pay for Performance” Philosophy Drives Executive Compensation</w:t>
      </w:r>
    </w:p>
    <w:p>
      <w:pPr>
        <w:spacing w:after="0" w:line="159" w:lineRule="exact"/>
        <w:rPr>
          <w:rFonts w:ascii="MS PGothic" w:cs="MS PGothic" w:eastAsia="MS PGothic" w:hAnsi="MS PGothic"/>
          <w:sz w:val="17"/>
          <w:szCs w:val="17"/>
          <w:color w:val="auto"/>
        </w:rPr>
      </w:pPr>
    </w:p>
    <w:p>
      <w:pPr>
        <w:ind w:left="421" w:right="1160" w:hanging="421"/>
        <w:spacing w:after="0" w:line="246" w:lineRule="auto"/>
        <w:tabs>
          <w:tab w:leader="none" w:pos="421" w:val="left"/>
        </w:tabs>
        <w:numPr>
          <w:ilvl w:val="0"/>
          <w:numId w:val="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Audit Committee Approval Required for Related Party Transactions</w:t>
      </w:r>
    </w:p>
    <w:p>
      <w:pPr>
        <w:spacing w:after="0" w:line="159" w:lineRule="exact"/>
        <w:rPr>
          <w:rFonts w:ascii="MS PGothic" w:cs="MS PGothic" w:eastAsia="MS PGothic" w:hAnsi="MS PGothic"/>
          <w:sz w:val="17"/>
          <w:szCs w:val="17"/>
          <w:color w:val="auto"/>
        </w:rPr>
      </w:pPr>
    </w:p>
    <w:p>
      <w:pPr>
        <w:ind w:left="421" w:hanging="421"/>
        <w:spacing w:after="0"/>
        <w:tabs>
          <w:tab w:leader="none" w:pos="421" w:val="left"/>
        </w:tabs>
        <w:numPr>
          <w:ilvl w:val="0"/>
          <w:numId w:val="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“Poison Pill” (Stockholder Rights Plan)</w:t>
      </w:r>
    </w:p>
    <w:p>
      <w:pPr>
        <w:spacing w:after="0" w:line="200" w:lineRule="exact"/>
        <w:rPr>
          <w:rFonts w:ascii="MS PGothic" w:cs="MS PGothic" w:eastAsia="MS PGothic" w:hAnsi="MS PGothic"/>
          <w:sz w:val="17"/>
          <w:szCs w:val="17"/>
          <w:color w:val="auto"/>
        </w:rPr>
      </w:pPr>
    </w:p>
    <w:p>
      <w:pPr>
        <w:spacing w:after="0" w:line="216" w:lineRule="exact"/>
        <w:rPr>
          <w:rFonts w:ascii="MS PGothic" w:cs="MS PGothic" w:eastAsia="MS PGothic" w:hAnsi="MS PGothic"/>
          <w:sz w:val="17"/>
          <w:szCs w:val="17"/>
          <w:color w:val="auto"/>
        </w:rPr>
      </w:pPr>
    </w:p>
    <w:p>
      <w:pPr>
        <w:ind w:left="421" w:hanging="421"/>
        <w:spacing w:after="0"/>
        <w:tabs>
          <w:tab w:leader="none" w:pos="421" w:val="left"/>
        </w:tabs>
        <w:numPr>
          <w:ilvl w:val="0"/>
          <w:numId w:val="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Established Whistleblower Policy</w:t>
      </w:r>
    </w:p>
    <w:p>
      <w:pPr>
        <w:spacing w:after="0" w:line="182" w:lineRule="exact"/>
        <w:rPr>
          <w:rFonts w:ascii="MS PGothic" w:cs="MS PGothic" w:eastAsia="MS PGothic" w:hAnsi="MS PGothic"/>
          <w:sz w:val="17"/>
          <w:szCs w:val="17"/>
          <w:color w:val="auto"/>
        </w:rPr>
      </w:pPr>
    </w:p>
    <w:p>
      <w:pPr>
        <w:ind w:left="421" w:hanging="421"/>
        <w:spacing w:after="0"/>
        <w:tabs>
          <w:tab w:leader="none" w:pos="421" w:val="left"/>
        </w:tabs>
        <w:numPr>
          <w:ilvl w:val="0"/>
          <w:numId w:val="5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Risk Oversight by the Board and the Audit Committee</w:t>
      </w:r>
    </w:p>
    <w:p>
      <w:pPr>
        <w:spacing w:after="0" w:line="200" w:lineRule="exact"/>
        <w:rPr>
          <w:sz w:val="20"/>
          <w:szCs w:val="20"/>
          <w:color w:val="auto"/>
        </w:rPr>
      </w:pPr>
    </w:p>
    <w:p>
      <w:pPr>
        <w:sectPr>
          <w:pgSz w:w="11900" w:h="16838" w:orient="portrait"/>
          <w:cols w:equalWidth="0" w:num="2">
            <w:col w:w="5580" w:space="259"/>
            <w:col w:w="5401"/>
          </w:cols>
          <w:pgMar w:left="320" w:top="499" w:right="339" w:bottom="1440" w:gutter="0" w:footer="0" w:header="0"/>
        </w:sectPr>
      </w:pP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Composition and Election of Directors</w:t>
      </w:r>
    </w:p>
    <w:p>
      <w:pPr>
        <w:spacing w:after="0" w:line="1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The primary responsibilities of the Board are to provide oversight, strategic guidance, counseling and direction to our management. Our Board meets on a regular basis and additionally as required.</w:t>
      </w:r>
    </w:p>
    <w:p>
      <w:pPr>
        <w:spacing w:after="0" w:line="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number of directors is fixed by our Board, subject to the terms of our amended and restated certificate of incorporation, our amended and restated bylaws and our Stockholders Agreement. Our Board consists of seven directors, five of whom qualify as “independent” under the Nasdaq listing standards.</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Directors are (except for the filling of vacancies and newly created directorships) elected by the holders of a plurality of the votes cast by the holders of shares present in person or represented by proxy at the meeting and entitled to vote on the election of such directors. Our Board is divided into three classes with staggered three-year terms. Only one class of directors is elected at each annual meeting of our stockholders, with the other classes continuing for the remainder of their respective three-year terms. This classification of our Board may have the effect of delaying or preventing changes in control of our company. Our directors are divided among the three classes as follows:</w:t>
      </w:r>
    </w:p>
    <w:p>
      <w:pPr>
        <w:spacing w:after="0" w:line="106" w:lineRule="exact"/>
        <w:rPr>
          <w:sz w:val="20"/>
          <w:szCs w:val="20"/>
          <w:color w:val="auto"/>
        </w:rPr>
      </w:pPr>
    </w:p>
    <w:p>
      <w:pPr>
        <w:ind w:left="620" w:hanging="303"/>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 directors are Yogi Jashnani and Daniel Sollof;</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II directors are Adam Feinstein, Kenneth Higgins and Thomas Aaron; and</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III directors are Dr. Aaron Rollins and Caroline Chu.</w:t>
      </w:r>
    </w:p>
    <w:p>
      <w:pPr>
        <w:spacing w:after="0" w:line="1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Each director’s term continues until the election and qualification of his or her successor, or his or her earlier death, resignation, or removal. No decrease in the number of directors will shorten the term of any incumbent director.</w:t>
      </w:r>
    </w:p>
    <w:p>
      <w:pPr>
        <w:spacing w:after="0" w:line="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addition, we entered into a stockholders agreement with affiliates of our Sponsor and Dr. Aaron Rollins in connection with our initial public offering (the “Stockholders Agreement”). This agreement grants affiliates of our Sponsor and Dr. Aaron Rollins the right to designate nominees to our Board subject to the maintenance of certain ownership requirements in us. See “Certain Relationships and Related Party Transactions, and Director Independence—Stockholders Agreement.”</w:t>
      </w:r>
    </w:p>
    <w:p>
      <w:pPr>
        <w:spacing w:after="0" w:line="1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accordance with our corporate governance guidelines and subject to the Stockholders Agreement, our independent directors will designate a lead independent director in the event that the Company does not have an independent chairperson of the Board. Adam Feinstein is designated as the lead independent director of the Board, responsible for coordinating the activities of the independent directors. The specific responsibilities of the lead independent director are to:</w:t>
      </w:r>
    </w:p>
    <w:p>
      <w:pPr>
        <w:spacing w:after="0" w:line="86" w:lineRule="exact"/>
        <w:rPr>
          <w:sz w:val="20"/>
          <w:szCs w:val="20"/>
          <w:color w:val="auto"/>
        </w:rPr>
      </w:pPr>
    </w:p>
    <w:p>
      <w:pPr>
        <w:ind w:left="620" w:hanging="303"/>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with the Chief Executive Officer to develop and approve an appropriate Board meeting schedule;</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with the Chief Executive Officer to develop and approve Board meeting agendas;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20" w:hanging="303"/>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the Chief Executive Officer feedback on the quality, quantity, and timeliness of the information provided to the Board;</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the agenda and moderate executive sessions of the independent members of the Board;</w:t>
      </w:r>
    </w:p>
    <w:p>
      <w:pPr>
        <w:spacing w:after="0" w:line="117" w:lineRule="exact"/>
        <w:rPr>
          <w:rFonts w:ascii="Times New Roman" w:cs="Times New Roman" w:eastAsia="Times New Roman" w:hAnsi="Times New Roman"/>
          <w:sz w:val="17"/>
          <w:szCs w:val="17"/>
          <w:color w:val="auto"/>
        </w:rPr>
      </w:pPr>
    </w:p>
    <w:p>
      <w:pPr>
        <w:ind w:left="620" w:hanging="303"/>
        <w:spacing w:after="0" w:line="294" w:lineRule="auto"/>
        <w:tabs>
          <w:tab w:leader="none" w:pos="6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preside over Board meetings when the Chief Executive Officer is not present or when Board or Chief Executive Officer performance or compensation is discussed;</w:t>
      </w:r>
    </w:p>
    <w:p>
      <w:pPr>
        <w:spacing w:after="0" w:line="4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as principal liaison between the independent members of the Board and Chief Executive Officer;</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convene meetings of the independent directors as appropriate;</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available for consultation and direct communication with stockholders as deemed appropriate; and</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other duties as the Board may determine from time to time.</w:t>
      </w:r>
    </w:p>
    <w:p>
      <w:pPr>
        <w:spacing w:after="0" w:line="1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Our corporate governance guidelines also provide that the independent directors shall meet periodically in executive session but no less than two times per year or whatever minimum has been set by the Nasdaq listing standards.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Controlled Company Exemption</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meet the definition of a “controlled company” under the Nasdaq listing standards, and thus we qualify for the “controlled company” exemption to the board of directors and committee composition requirements under the Nasdaq listing standards. If we were to rely on this exemption, we would be exempt from the requirements that (1) our Board be comprised of a majority of independent directors, (2) we have a nominating and corporate governance committee composed entirely of independent directors, and (3) our compensation committee be comprised solely of independent directors. The “controlled company” exemption does not modify the independence requirements for the audit committee, and we comply, and intend to continue complying, with the requirements of the Sarbanes-Oxley Act and the Nasdaq listing standards, which require that our audit committee be composed of at least three members and entirely of independent directors within one year from the date of this prospectus.</w:t>
      </w:r>
    </w:p>
    <w:p>
      <w:pPr>
        <w:spacing w:after="0" w:line="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do not, and do not intend to, rely on the "controlled company" exemption under the Nasdaq listing standards and we have taken all actions necessary to comply with such requirements, including appointing a majority of independent directors to the Board and establishing certain committees composed entirely of independent directors within the time frames set forth under the Nasdaq listing standards. However, as long as we remain a “controlled company” these requirements will not apply to us and we may, in the future, seek to utilize some or all of these exemptions.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Board and Committee Performance Review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Pursuant to our corporate governance guidelines, the nominating and corporate governance committee is responsible for reporting annually to the Board an evaluation of the overall performance of the Board. Additionally, the charters of the audit committee, compensation committee, and nominating and corporate governance committees each provide that the respective committee is responsible for performing or participating in an annual evaluation of its performance, the results of which are presented to the Board.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Meeting Attendance</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During the fiscal year ended December 31, 2024 (“Fiscal 2024”), our Board met four times, our audit committee met four times, our compensation committee met six times and our nominating and corporate governance committee met four times. Each director attended the board of directors' meetings and all of the meetings of the committees of the board of directors on which such director served in Fiscal 2024. The board of directors and its committees also approved certain actions by unanimous written consent in lieu of a meeting.</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our policy that our directors attend annual meetings of stockholders.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Our Board has an audit committee, a compensation committee and a nominating and corporate governance committee. The composition and responsibilities of each of the committees of our Board are described below. Members serve on these committees until their resignation or until as otherwise determined by our Board. Each of the committees operates under its own written charter adopted by the Board, each of which is available on our website at </w:t>
      </w:r>
      <w:r>
        <w:rPr>
          <w:rFonts w:ascii="Times New Roman" w:cs="Times New Roman" w:eastAsia="Times New Roman" w:hAnsi="Times New Roman"/>
          <w:sz w:val="17"/>
          <w:szCs w:val="17"/>
          <w:i w:val="1"/>
          <w:iCs w:val="1"/>
          <w:color w:val="auto"/>
        </w:rPr>
        <w:t>https://investors.airsculpt.com</w:t>
      </w:r>
      <w:r>
        <w:rPr>
          <w:rFonts w:ascii="Times New Roman" w:cs="Times New Roman" w:eastAsia="Times New Roman" w:hAnsi="Times New Roman"/>
          <w:sz w:val="17"/>
          <w:szCs w:val="17"/>
          <w:color w:val="auto"/>
        </w:rPr>
        <w: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audit committee consists of Thomas Aaron, Caroline Chu, and Kenneth Higgins, with Thomas Aaron serving as Chairperson. The composition of our audit committee meets the requirements for independence under current Nasdaq listing standards and SEC rules and regulations. Each member of our audit committee meets the financial literacy requirements of Nasdaq listing standards. In addition, our Board has determined that Thomas Aaron is an audit committee financial expert within the meaning of Item 407(d) of Regulation S-K under the Securities Act of 1933. Our audit committee, among other things:</w:t>
      </w:r>
    </w:p>
    <w:p>
      <w:pPr>
        <w:spacing w:after="0" w:line="91" w:lineRule="exact"/>
        <w:rPr>
          <w:sz w:val="20"/>
          <w:szCs w:val="20"/>
          <w:color w:val="auto"/>
        </w:rPr>
      </w:pPr>
    </w:p>
    <w:p>
      <w:pPr>
        <w:ind w:left="620" w:hanging="303"/>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our consolidated financial statements and our critical accounting policies and practices;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selects a qualified firm to serve as the independent registered public accounting firm to audit our consolidated financial statements;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helps to ensure the independence and performance of the independent registered public accounting firm;</w:t>
      </w:r>
    </w:p>
    <w:p>
      <w:pPr>
        <w:spacing w:after="0" w:line="117" w:lineRule="exact"/>
        <w:rPr>
          <w:rFonts w:ascii="Times New Roman" w:cs="Times New Roman" w:eastAsia="Times New Roman" w:hAnsi="Times New Roman"/>
          <w:sz w:val="17"/>
          <w:szCs w:val="17"/>
          <w:color w:val="auto"/>
        </w:rPr>
      </w:pPr>
    </w:p>
    <w:p>
      <w:pPr>
        <w:ind w:left="620" w:hanging="303"/>
        <w:spacing w:after="0" w:line="294" w:lineRule="auto"/>
        <w:tabs>
          <w:tab w:leader="none" w:pos="6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discusses the scope and results of the audit with the independent registered public accounting firm and reviews, with management and the independent registered public accounting firm, our interim and year-end results of operations;</w:t>
      </w:r>
    </w:p>
    <w:p>
      <w:pPr>
        <w:spacing w:after="0" w:line="4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pre-approves all audit and all permissible non-audit services to be performed by the independent registered public accounting firm;</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oversees the performance of our internal audit function when established;</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the adequacy of our internal controls;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oversees cybersecurity controls, risks and policies;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develops procedures for employees to submit concerns anonymously about questionable accounting or audit matters;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our policies on risk assessment and risk management; and</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approves or disapproves all related party transactions.</w:t>
      </w:r>
    </w:p>
    <w:p>
      <w:pPr>
        <w:spacing w:after="0" w:line="14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Our audit committee operates under a written charter that satisfies the applicable rules of the SEC and the listing standards of Nasdaq.Our audit committee’s charter is accessible on our website at </w:t>
      </w:r>
      <w:r>
        <w:rPr>
          <w:rFonts w:ascii="Times New Roman" w:cs="Times New Roman" w:eastAsia="Times New Roman" w:hAnsi="Times New Roman"/>
          <w:sz w:val="17"/>
          <w:szCs w:val="17"/>
          <w:i w:val="1"/>
          <w:iCs w:val="1"/>
          <w:color w:val="auto"/>
        </w:rPr>
        <w:t>https://investors.airsculpt.com/corporate-governance/governance.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compensation committee consists of Caroline Chu, Thomas Aaron, and Kenneth Higgins, with Caroline Chu serving as Chairperson. The 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relating to compensation of our executive officers. Our compensation committee, among other things:</w:t>
      </w:r>
    </w:p>
    <w:p>
      <w:pPr>
        <w:spacing w:after="0" w:line="302" w:lineRule="exact"/>
        <w:rPr>
          <w:sz w:val="20"/>
          <w:szCs w:val="20"/>
          <w:color w:val="auto"/>
        </w:rPr>
      </w:pPr>
    </w:p>
    <w:p>
      <w:pPr>
        <w:ind w:left="620" w:hanging="303"/>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approves and determines, or makes recommendations to our Board regarding, the compensation of our executive officers;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administers our stock and equity incentive plans;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approves, or makes recommendations to our Board regarding, incentive compensation and equity plans; and</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establishes and reviews general policies relating to compensation and benefits of our employees.</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Our compensation committee operates under a written charter that satisfies the applicable rules of the SEC and the listing standards of Nasdaq. Our compensation committee’s charter is accessible on our website at </w:t>
      </w:r>
      <w:r>
        <w:rPr>
          <w:rFonts w:ascii="Times New Roman" w:cs="Times New Roman" w:eastAsia="Times New Roman" w:hAnsi="Times New Roman"/>
          <w:sz w:val="17"/>
          <w:szCs w:val="17"/>
          <w:i w:val="1"/>
          <w:iCs w:val="1"/>
          <w:color w:val="auto"/>
        </w:rPr>
        <w:t>https://investors.airsculpt.com/corporate-governance/governance.</w:t>
      </w:r>
      <w:r>
        <w:rPr>
          <w:rFonts w:ascii="Times New Roman" w:cs="Times New Roman" w:eastAsia="Times New Roman" w:hAnsi="Times New Roman"/>
          <w:sz w:val="17"/>
          <w:szCs w:val="17"/>
          <w:color w:val="auto"/>
        </w:rPr>
        <w:t xml:space="preserve"> The charter provides that the compensation committee may, in its sole discretion and at the expense of the Company,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To assist the compensation committee in meeting its responsibilities, the compensation committee engaged Haigh &amp; Co. (“Haigh”) as its independent outside compensation consultant to regularly provide executive compensation market analysis and insight, with respect to our executive officers. Haigh only provides services to the compensation committee with respect to executive and director compensation and does not provide any other services to the Company.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Kenneth Higgins and Daniel Sollof, with Kenneth Higgins serving as Chairperson. The composition of our nominating and corporate governance committee meets the requirements for independence under Nasdaq listing standards and SEC rules and regulations. Our nominating and corporate governance committee, among other things:</w:t>
      </w:r>
    </w:p>
    <w:p>
      <w:pPr>
        <w:spacing w:after="0" w:line="99" w:lineRule="exact"/>
        <w:rPr>
          <w:sz w:val="20"/>
          <w:szCs w:val="20"/>
          <w:color w:val="auto"/>
        </w:rPr>
      </w:pPr>
    </w:p>
    <w:p>
      <w:pPr>
        <w:ind w:left="620" w:hanging="303"/>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identifies, evaluates and selects, or makes recommendations to our Board regarding, nominees for election to our Board and its committees;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evaluates the performance of our Board and of individual directors;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considers and makes recommendations to our Board regarding the composition of our Board and its committees;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developments in corporate governance practices;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evaluates the adequacy of our corporate governance practices and reporting; and</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develops and makes recommendations to our Board regarding corporate governance guidelines and matters.</w:t>
      </w:r>
    </w:p>
    <w:p>
      <w:pPr>
        <w:spacing w:after="0" w:line="14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 xml:space="preserve">The nominating and corporate governance committee operates under a written charter that satisfies the applicable listing requirements and rules of Nasdaq. Our nominating and corporate governance committee’s charter is accessible on our website at </w:t>
      </w:r>
      <w:r>
        <w:rPr>
          <w:rFonts w:ascii="Times New Roman" w:cs="Times New Roman" w:eastAsia="Times New Roman" w:hAnsi="Times New Roman"/>
          <w:sz w:val="17"/>
          <w:szCs w:val="17"/>
          <w:i w:val="1"/>
          <w:iCs w:val="1"/>
          <w:color w:val="auto"/>
        </w:rPr>
        <w:t>https://investors.airsculpt.com/corporate-governance/governance</w:t>
      </w:r>
      <w:r>
        <w:rPr>
          <w:rFonts w:ascii="Times New Roman" w:cs="Times New Roman" w:eastAsia="Times New Roman" w:hAnsi="Times New Roman"/>
          <w:sz w:val="17"/>
          <w:szCs w:val="17"/>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7"/>
          <w:szCs w:val="17"/>
          <w:color w:val="auto"/>
        </w:rPr>
        <w:t>Our Insider Trading Policy, adopted in November 2021 and most recently amended in March 2024, expressly prohibits our employees, designated consultants, officers and directors, and the related persons of each of the foregoing, who know or have access to material information regarding the Company that has not been fully disclosed to the public from (i) trading in Company securities or engaging in transactions in securities of another company with which the Company conducts business, such as a customer, partner, or supplier, if they are in possession of or otherwise aware of material information relating to such other company obtained in course of employment with, or services performed on behalf of, the Company (ii) purchasing Company securities on margin or holding Company securities in a margin account at any time, (iii) pledging Company securities as collateral for a loan, (iv) engaging in hedging or monetization transactions with respect to Company securities, including through the use of financial instruments such as prepaid variable forwards, equity swaps, collars, and exchange funds, and (v) trading in derivative securities related to our Company securities, which includes publicly traded call and put options. Our Insider Trading Policy also provides that the Company will not effect transactions in respect of its</w:t>
      </w:r>
    </w:p>
    <w:p>
      <w:pPr>
        <w:spacing w:after="0" w:line="5" w:lineRule="exact"/>
        <w:rPr>
          <w:sz w:val="20"/>
          <w:szCs w:val="20"/>
          <w:color w:val="auto"/>
        </w:rPr>
      </w:pPr>
    </w:p>
    <w:p>
      <w:pPr>
        <w:ind w:right="2780"/>
        <w:spacing w:after="0" w:line="271" w:lineRule="auto"/>
        <w:rPr>
          <w:sz w:val="20"/>
          <w:szCs w:val="20"/>
          <w:color w:val="auto"/>
        </w:rPr>
      </w:pPr>
      <w:r>
        <w:rPr>
          <w:rFonts w:ascii="Times New Roman" w:cs="Times New Roman" w:eastAsia="Times New Roman" w:hAnsi="Times New Roman"/>
          <w:sz w:val="17"/>
          <w:szCs w:val="17"/>
          <w:color w:val="auto"/>
        </w:rPr>
        <w:t>securities, or adopt any securities repurchase plans, when it is in possession of material nonpublic information concerning the Company, other than in compliance with applicable law.</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Our Board has adopted a Code of Business Conduct and Ethics applicable to our directors, officers and employees. The Code of Business Conduct and Ethics is accessible on our website at </w:t>
      </w:r>
      <w:r>
        <w:rPr>
          <w:rFonts w:ascii="Times New Roman" w:cs="Times New Roman" w:eastAsia="Times New Roman" w:hAnsi="Times New Roman"/>
          <w:sz w:val="17"/>
          <w:szCs w:val="17"/>
          <w:i w:val="1"/>
          <w:iCs w:val="1"/>
          <w:color w:val="auto"/>
        </w:rPr>
        <w:t>https://investors.airsculpt.com/corporate-governance/governance</w:t>
      </w:r>
      <w:r>
        <w:rPr>
          <w:rFonts w:ascii="Times New Roman" w:cs="Times New Roman" w:eastAsia="Times New Roman" w:hAnsi="Times New Roman"/>
          <w:sz w:val="17"/>
          <w:szCs w:val="17"/>
          <w:color w:val="auto"/>
        </w:rPr>
        <w:t>. If we make any substantive amendments to the Code of Business Conduct and Ethics or grant any waiver, including any implicit waiver, from a provision of the Code of Business Conduct and Ethics to our officers, we will disclose the nature of such amendment or waiver on that website or in a report on Form 8-K.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Below is a list of the names, ages, positions, and a brief account of the business experience of the individuals who serve as our executive officers as of March 14,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8, 2024, Todd Magazine stepped down from his role as Chief Executive Officer of the Company, effective as of</w:t>
      </w:r>
    </w:p>
    <w:p>
      <w:pPr>
        <w:spacing w:after="0" w:line="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August 8, 2024. As discussed below, on August 8, 2024, Mr. Magazine entered into a Transition Services Agreement (the “Transition Services Agreement”) with the Company (previously filed as Exhibit 10.1 of the Company’s Current Report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8-K (file no. 001-40973), filed with the SEC on August 9, 2024), which provided for the severance benefits specified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Section 7.2 of the Magazine Employment Agreement (as defined below) and continued vesting of certain equity awards until January 1, 2025, subject to Mr.</w:t>
      </w:r>
    </w:p>
    <w:p>
      <w:pPr>
        <w:spacing w:after="0"/>
        <w:rPr>
          <w:sz w:val="20"/>
          <w:szCs w:val="20"/>
          <w:color w:val="auto"/>
        </w:rPr>
      </w:pPr>
      <w:r>
        <w:rPr>
          <w:rFonts w:ascii="Times New Roman" w:cs="Times New Roman" w:eastAsia="Times New Roman" w:hAnsi="Times New Roman"/>
          <w:sz w:val="17"/>
          <w:szCs w:val="17"/>
          <w:color w:val="auto"/>
        </w:rPr>
        <w:t>Magazine’s provision of consulting services to the Company through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40" w:type="dxa"/>
            <w:vAlign w:val="bottom"/>
          </w:tcPr>
          <w:p>
            <w:pPr>
              <w:spacing w:after="0"/>
              <w:rPr>
                <w:sz w:val="21"/>
                <w:szCs w:val="21"/>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Age</w:t>
            </w:r>
          </w:p>
        </w:tc>
        <w:tc>
          <w:tcPr>
            <w:tcW w:w="240" w:type="dxa"/>
            <w:vAlign w:val="bottom"/>
          </w:tcPr>
          <w:p>
            <w:pPr>
              <w:spacing w:after="0"/>
              <w:rPr>
                <w:sz w:val="21"/>
                <w:szCs w:val="21"/>
                <w:color w:val="auto"/>
              </w:rPr>
            </w:pPr>
          </w:p>
        </w:tc>
        <w:tc>
          <w:tcPr>
            <w:tcW w:w="654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61"/>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Yogi Jashnani </w:t>
            </w:r>
            <w:r>
              <w:rPr>
                <w:rFonts w:ascii="Times New Roman" w:cs="Times New Roman" w:eastAsia="Times New Roman" w:hAnsi="Times New Roman"/>
                <w:sz w:val="22"/>
                <w:szCs w:val="22"/>
                <w:color w:val="auto"/>
                <w:vertAlign w:val="superscript"/>
              </w:rPr>
              <w:t>(1)</w:t>
            </w: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43</w:t>
            </w:r>
          </w:p>
        </w:tc>
        <w:tc>
          <w:tcPr>
            <w:tcW w:w="240" w:type="dxa"/>
            <w:vAlign w:val="bottom"/>
          </w:tcPr>
          <w:p>
            <w:pPr>
              <w:spacing w:after="0"/>
              <w:rPr>
                <w:sz w:val="22"/>
                <w:szCs w:val="22"/>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1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Dennis Dean</w:t>
            </w: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52</w:t>
            </w:r>
          </w:p>
        </w:tc>
        <w:tc>
          <w:tcPr>
            <w:tcW w:w="240" w:type="dxa"/>
            <w:vAlign w:val="bottom"/>
          </w:tcPr>
          <w:p>
            <w:pPr>
              <w:spacing w:after="0"/>
              <w:rPr>
                <w:sz w:val="18"/>
                <w:szCs w:val="18"/>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9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Dr. Aaron Rollins </w:t>
            </w:r>
            <w:r>
              <w:rPr>
                <w:rFonts w:ascii="Times New Roman" w:cs="Times New Roman" w:eastAsia="Times New Roman" w:hAnsi="Times New Roman"/>
                <w:sz w:val="22"/>
                <w:szCs w:val="22"/>
                <w:color w:val="auto"/>
                <w:vertAlign w:val="superscript"/>
              </w:rPr>
              <w:t>(1)</w:t>
            </w: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24"/>
                <w:szCs w:val="24"/>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Chairman of the board of directors</w:t>
            </w: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“Board of Directors” for a description of Yogi Jashnani’s and Dr. Aaron Rollins' experience.</w:t>
      </w:r>
    </w:p>
    <w:p>
      <w:pPr>
        <w:spacing w:after="0" w:line="3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Dennis Dean </w:t>
      </w:r>
      <w:r>
        <w:rPr>
          <w:rFonts w:ascii="Times New Roman" w:cs="Times New Roman" w:eastAsia="Times New Roman" w:hAnsi="Times New Roman"/>
          <w:sz w:val="17"/>
          <w:szCs w:val="17"/>
          <w:color w:val="auto"/>
        </w:rPr>
        <w:t>has served as our Chief Financial Officer since June 1, 2021. Mr. Dean also served as Interim Chief Executive Officer from August 8,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through January 7, 2025. Mr. Dean has over 20 years of experience in multi-site healthcare services. Prior to joining the Company, Mr. Dean served as Senior Vice President of Finance and Operations for Envision Healthcare from January 2019 to December 2020. Mr. Dean also served as Chief Accounting Officer and Corporate Controller for Surgery Partners and its predecessor company, Symbion, from 2008 through 2018 and was part of the team which took Surgery Partners public in 2015. Prior to joining Symbion, he co-founded Resource Partners, LLC, a healthcare-focused financial consulting firm, and began his career at Deloitte. Mr. Dean is a Certified Public Accountant and holds a B.S. in Accounting and an MAcc from Western Kentucky University.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4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This section provides an overview of the compensation of our principal executive officer and our next two most highly-compensated executive officers for Fiscal 2024. We refer to these individuals as our named executive officers. Our named executive officers for 2024 were:</w:t>
      </w:r>
    </w:p>
    <w:p>
      <w:pPr>
        <w:spacing w:after="0" w:line="172" w:lineRule="exact"/>
        <w:rPr>
          <w:sz w:val="20"/>
          <w:szCs w:val="20"/>
          <w:color w:val="auto"/>
        </w:rPr>
      </w:pPr>
    </w:p>
    <w:p>
      <w:pPr>
        <w:ind w:left="620" w:hanging="303"/>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Aaron Rollins, the Executive Chairman of the Board; and</w:t>
      </w:r>
    </w:p>
    <w:p>
      <w:pPr>
        <w:spacing w:after="0" w:line="3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Todd Magazine, our former President and Chief Executive Officer; and</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Dennis Dean, our Chief Financial Officer.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0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The following table sets forth the compensation awarded to, earned by or paid to our named executive officers (“NEOs”) in respect of their service to us during Fiscal 2024 and the fiscal year ended December 31, 2023 (“Fiscal 2023”).</w:t>
      </w: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Name and Principal</w:t>
            </w:r>
          </w:p>
        </w:tc>
        <w:tc>
          <w:tcPr>
            <w:tcW w:w="720" w:type="dxa"/>
            <w:vAlign w:val="bottom"/>
          </w:tcPr>
          <w:p>
            <w:pPr>
              <w:spacing w:after="0"/>
              <w:rPr>
                <w:sz w:val="15"/>
                <w:szCs w:val="15"/>
                <w:color w:val="auto"/>
              </w:rPr>
            </w:pPr>
          </w:p>
        </w:tc>
        <w:tc>
          <w:tcPr>
            <w:tcW w:w="12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color w:val="auto"/>
              </w:rPr>
              <w:t>Salary</w:t>
            </w:r>
          </w:p>
        </w:tc>
        <w:tc>
          <w:tcPr>
            <w:tcW w:w="122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auto"/>
              </w:rPr>
              <w:t>Stock Awards</w:t>
            </w:r>
          </w:p>
        </w:tc>
        <w:tc>
          <w:tcPr>
            <w:tcW w:w="164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auto"/>
              </w:rPr>
              <w:t>Special Cash Bonus</w:t>
            </w:r>
          </w:p>
        </w:tc>
        <w:tc>
          <w:tcPr>
            <w:tcW w:w="1780" w:type="dxa"/>
            <w:vAlign w:val="bottom"/>
          </w:tcPr>
          <w:p>
            <w:pPr>
              <w:jc w:val="center"/>
              <w:ind w:right="53"/>
              <w:spacing w:after="0" w:line="184" w:lineRule="exact"/>
              <w:rPr>
                <w:sz w:val="20"/>
                <w:szCs w:val="20"/>
                <w:color w:val="auto"/>
              </w:rPr>
            </w:pPr>
            <w:r>
              <w:rPr>
                <w:rFonts w:ascii="Times New Roman" w:cs="Times New Roman" w:eastAsia="Times New Roman" w:hAnsi="Times New Roman"/>
                <w:sz w:val="17"/>
                <w:szCs w:val="17"/>
                <w:color w:val="auto"/>
              </w:rPr>
              <w:t>Non-Equity Incentive</w:t>
            </w:r>
          </w:p>
        </w:tc>
        <w:tc>
          <w:tcPr>
            <w:tcW w:w="1520" w:type="dxa"/>
            <w:vAlign w:val="bottom"/>
          </w:tcPr>
          <w:p>
            <w:pPr>
              <w:jc w:val="center"/>
              <w:ind w:right="53"/>
              <w:spacing w:after="0" w:line="184" w:lineRule="exact"/>
              <w:rPr>
                <w:sz w:val="20"/>
                <w:szCs w:val="20"/>
                <w:color w:val="auto"/>
              </w:rPr>
            </w:pPr>
            <w:r>
              <w:rPr>
                <w:rFonts w:ascii="Times New Roman" w:cs="Times New Roman" w:eastAsia="Times New Roman" w:hAnsi="Times New Roman"/>
                <w:sz w:val="17"/>
                <w:szCs w:val="17"/>
                <w:color w:val="auto"/>
              </w:rPr>
              <w:t>All Other</w:t>
            </w:r>
          </w:p>
        </w:tc>
        <w:tc>
          <w:tcPr>
            <w:tcW w:w="102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75"/>
        </w:trPr>
        <w:tc>
          <w:tcPr>
            <w:tcW w:w="2120" w:type="dxa"/>
            <w:vAlign w:val="bottom"/>
            <w:vMerge w:val="continue"/>
          </w:tcPr>
          <w:p>
            <w:pPr>
              <w:spacing w:after="0"/>
              <w:rPr>
                <w:sz w:val="15"/>
                <w:szCs w:val="15"/>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Year</w:t>
            </w:r>
          </w:p>
        </w:tc>
        <w:tc>
          <w:tcPr>
            <w:tcW w:w="12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780" w:type="dxa"/>
            <w:vAlign w:val="bottom"/>
          </w:tcPr>
          <w:p>
            <w:pPr>
              <w:jc w:val="center"/>
              <w:ind w:right="53"/>
              <w:spacing w:after="0" w:line="175" w:lineRule="exact"/>
              <w:rPr>
                <w:sz w:val="20"/>
                <w:szCs w:val="20"/>
                <w:color w:val="auto"/>
              </w:rPr>
            </w:pPr>
            <w:r>
              <w:rPr>
                <w:rFonts w:ascii="Times New Roman" w:cs="Times New Roman" w:eastAsia="Times New Roman" w:hAnsi="Times New Roman"/>
                <w:sz w:val="17"/>
                <w:szCs w:val="17"/>
                <w:color w:val="auto"/>
              </w:rPr>
              <w:t>Plan Compensation</w:t>
            </w:r>
          </w:p>
        </w:tc>
        <w:tc>
          <w:tcPr>
            <w:tcW w:w="1520" w:type="dxa"/>
            <w:vAlign w:val="bottom"/>
          </w:tcPr>
          <w:p>
            <w:pPr>
              <w:jc w:val="center"/>
              <w:ind w:right="33"/>
              <w:spacing w:after="0" w:line="175" w:lineRule="exact"/>
              <w:rPr>
                <w:sz w:val="20"/>
                <w:szCs w:val="20"/>
                <w:color w:val="auto"/>
              </w:rPr>
            </w:pPr>
            <w:r>
              <w:rPr>
                <w:rFonts w:ascii="Times New Roman" w:cs="Times New Roman" w:eastAsia="Times New Roman" w:hAnsi="Times New Roman"/>
                <w:sz w:val="17"/>
                <w:szCs w:val="17"/>
                <w:color w:val="auto"/>
              </w:rPr>
              <w:t>Compensation</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7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ind w:right="393"/>
              <w:spacing w:after="0" w:line="22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vertAlign w:val="superscript"/>
              </w:rPr>
              <w:t>(1)</w:t>
            </w:r>
          </w:p>
        </w:tc>
        <w:tc>
          <w:tcPr>
            <w:tcW w:w="1640" w:type="dxa"/>
            <w:vAlign w:val="bottom"/>
            <w:tcBorders>
              <w:bottom w:val="single" w:sz="8" w:color="auto"/>
            </w:tcBorders>
          </w:tcPr>
          <w:p>
            <w:pPr>
              <w:jc w:val="right"/>
              <w:ind w:right="593"/>
              <w:spacing w:after="0" w:line="22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vertAlign w:val="superscript"/>
              </w:rPr>
              <w:t>(2)</w:t>
            </w:r>
          </w:p>
        </w:tc>
        <w:tc>
          <w:tcPr>
            <w:tcW w:w="1780" w:type="dxa"/>
            <w:vAlign w:val="bottom"/>
            <w:tcBorders>
              <w:bottom w:val="single" w:sz="8" w:color="auto"/>
            </w:tcBorders>
          </w:tcPr>
          <w:p>
            <w:pPr>
              <w:jc w:val="center"/>
              <w:ind w:right="53"/>
              <w:spacing w:after="0" w:line="222" w:lineRule="exact"/>
              <w:rPr>
                <w:sz w:val="20"/>
                <w:szCs w:val="20"/>
                <w:color w:val="auto"/>
              </w:rPr>
            </w:pPr>
            <w:r>
              <w:rPr>
                <w:rFonts w:ascii="Times New Roman" w:cs="Times New Roman" w:eastAsia="Times New Roman" w:hAnsi="Times New Roman"/>
                <w:sz w:val="17"/>
                <w:szCs w:val="17"/>
                <w:color w:val="auto"/>
                <w:w w:val="86"/>
              </w:rPr>
              <w:t>($)</w:t>
            </w:r>
            <w:r>
              <w:rPr>
                <w:rFonts w:ascii="Times New Roman" w:cs="Times New Roman" w:eastAsia="Times New Roman" w:hAnsi="Times New Roman"/>
                <w:sz w:val="22"/>
                <w:szCs w:val="22"/>
                <w:color w:val="auto"/>
                <w:w w:val="86"/>
                <w:vertAlign w:val="superscript"/>
              </w:rPr>
              <w:t>(3)</w:t>
            </w:r>
          </w:p>
        </w:tc>
        <w:tc>
          <w:tcPr>
            <w:tcW w:w="1520" w:type="dxa"/>
            <w:vAlign w:val="bottom"/>
            <w:tcBorders>
              <w:bottom w:val="single" w:sz="8" w:color="auto"/>
            </w:tcBorders>
          </w:tcPr>
          <w:p>
            <w:pPr>
              <w:jc w:val="center"/>
              <w:ind w:right="53"/>
              <w:spacing w:after="0" w:line="222" w:lineRule="exact"/>
              <w:rPr>
                <w:sz w:val="20"/>
                <w:szCs w:val="20"/>
                <w:color w:val="auto"/>
              </w:rPr>
            </w:pPr>
            <w:r>
              <w:rPr>
                <w:rFonts w:ascii="Times New Roman" w:cs="Times New Roman" w:eastAsia="Times New Roman" w:hAnsi="Times New Roman"/>
                <w:sz w:val="17"/>
                <w:szCs w:val="17"/>
                <w:color w:val="auto"/>
                <w:w w:val="91"/>
              </w:rPr>
              <w:t>($)</w:t>
            </w:r>
            <w:r>
              <w:rPr>
                <w:rFonts w:ascii="Times New Roman" w:cs="Times New Roman" w:eastAsia="Times New Roman" w:hAnsi="Times New Roman"/>
                <w:sz w:val="22"/>
                <w:szCs w:val="22"/>
                <w:color w:val="auto"/>
                <w:w w:val="91"/>
                <w:vertAlign w:val="superscript"/>
              </w:rPr>
              <w:t>(4)</w:t>
            </w:r>
          </w:p>
        </w:tc>
        <w:tc>
          <w:tcPr>
            <w:tcW w:w="10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Dr. Aaron Rollins</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2024</w:t>
            </w:r>
          </w:p>
        </w:tc>
        <w:tc>
          <w:tcPr>
            <w:tcW w:w="1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875,000</w:t>
            </w:r>
          </w:p>
        </w:tc>
        <w:tc>
          <w:tcPr>
            <w:tcW w:w="1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2,255,856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125,636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3,256,492</w:t>
            </w:r>
          </w:p>
        </w:tc>
        <w:tc>
          <w:tcPr>
            <w:tcW w:w="0" w:type="dxa"/>
            <w:vAlign w:val="bottom"/>
          </w:tcPr>
          <w:p>
            <w:pPr>
              <w:spacing w:after="0"/>
              <w:rPr>
                <w:sz w:val="1"/>
                <w:szCs w:val="1"/>
                <w:color w:val="auto"/>
              </w:rPr>
            </w:pPr>
          </w:p>
        </w:tc>
      </w:tr>
      <w:tr>
        <w:trPr>
          <w:trHeight w:val="221"/>
        </w:trPr>
        <w:tc>
          <w:tcPr>
            <w:tcW w:w="2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Executive Chairman</w:t>
            </w:r>
          </w:p>
        </w:tc>
        <w:tc>
          <w:tcPr>
            <w:tcW w:w="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2023</w:t>
            </w: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875,000</w:t>
            </w: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1,906,685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87,500</w:t>
            </w:r>
          </w:p>
        </w:tc>
        <w:tc>
          <w:tcPr>
            <w:tcW w:w="17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551,250</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215,634</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3,636,069</w:t>
            </w:r>
          </w:p>
        </w:tc>
        <w:tc>
          <w:tcPr>
            <w:tcW w:w="0" w:type="dxa"/>
            <w:vAlign w:val="bottom"/>
          </w:tcPr>
          <w:p>
            <w:pPr>
              <w:spacing w:after="0"/>
              <w:rPr>
                <w:sz w:val="1"/>
                <w:szCs w:val="1"/>
                <w:color w:val="auto"/>
              </w:rPr>
            </w:pPr>
          </w:p>
        </w:tc>
      </w:tr>
      <w:tr>
        <w:trPr>
          <w:trHeight w:val="214"/>
        </w:trPr>
        <w:tc>
          <w:tcPr>
            <w:tcW w:w="212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7"/>
                <w:szCs w:val="17"/>
                <w:b w:val="1"/>
                <w:bCs w:val="1"/>
                <w:color w:val="auto"/>
              </w:rPr>
              <w:t>Todd Magazine</w:t>
            </w:r>
            <w:r>
              <w:rPr>
                <w:rFonts w:ascii="Times New Roman" w:cs="Times New Roman" w:eastAsia="Times New Roman" w:hAnsi="Times New Roman"/>
                <w:sz w:val="22"/>
                <w:szCs w:val="22"/>
                <w:b w:val="1"/>
                <w:bCs w:val="1"/>
                <w:color w:val="auto"/>
                <w:vertAlign w:val="superscript"/>
              </w:rPr>
              <w:t>(5)</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2024</w:t>
            </w:r>
          </w:p>
        </w:tc>
        <w:tc>
          <w:tcPr>
            <w:tcW w:w="1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453,654</w:t>
            </w:r>
          </w:p>
        </w:tc>
        <w:tc>
          <w:tcPr>
            <w:tcW w:w="1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1,804,688</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569,977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2,828,319</w:t>
            </w:r>
          </w:p>
        </w:tc>
        <w:tc>
          <w:tcPr>
            <w:tcW w:w="0" w:type="dxa"/>
            <w:vAlign w:val="bottom"/>
          </w:tcPr>
          <w:p>
            <w:pPr>
              <w:spacing w:after="0"/>
              <w:rPr>
                <w:sz w:val="1"/>
                <w:szCs w:val="1"/>
                <w:color w:val="auto"/>
              </w:rPr>
            </w:pPr>
          </w:p>
        </w:tc>
      </w:tr>
      <w:tr>
        <w:trPr>
          <w:trHeight w:val="177"/>
        </w:trPr>
        <w:tc>
          <w:tcPr>
            <w:tcW w:w="212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Former Chief Executive</w:t>
            </w: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Officer</w:t>
            </w:r>
          </w:p>
        </w:tc>
        <w:tc>
          <w:tcPr>
            <w:tcW w:w="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2023</w:t>
            </w: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631,346</w:t>
            </w:r>
          </w:p>
        </w:tc>
        <w:tc>
          <w:tcPr>
            <w:tcW w:w="1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4,131,960</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65,800</w:t>
            </w:r>
          </w:p>
        </w:tc>
        <w:tc>
          <w:tcPr>
            <w:tcW w:w="17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414,540</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447,227</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5,690,873</w:t>
            </w:r>
          </w:p>
        </w:tc>
        <w:tc>
          <w:tcPr>
            <w:tcW w:w="0" w:type="dxa"/>
            <w:vAlign w:val="bottom"/>
          </w:tcPr>
          <w:p>
            <w:pPr>
              <w:spacing w:after="0"/>
              <w:rPr>
                <w:sz w:val="1"/>
                <w:szCs w:val="1"/>
                <w:color w:val="auto"/>
              </w:rPr>
            </w:pPr>
          </w:p>
        </w:tc>
      </w:tr>
      <w:tr>
        <w:trPr>
          <w:trHeight w:val="214"/>
        </w:trPr>
        <w:tc>
          <w:tcPr>
            <w:tcW w:w="212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7"/>
                <w:szCs w:val="17"/>
                <w:b w:val="1"/>
                <w:bCs w:val="1"/>
                <w:color w:val="auto"/>
              </w:rPr>
              <w:t xml:space="preserve">Dennis Dean </w:t>
            </w:r>
            <w:r>
              <w:rPr>
                <w:rFonts w:ascii="Times New Roman" w:cs="Times New Roman" w:eastAsia="Times New Roman" w:hAnsi="Times New Roman"/>
                <w:sz w:val="22"/>
                <w:szCs w:val="22"/>
                <w:b w:val="1"/>
                <w:bCs w:val="1"/>
                <w:color w:val="auto"/>
                <w:vertAlign w:val="superscript"/>
              </w:rPr>
              <w:t>(6)</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2024</w:t>
            </w:r>
          </w:p>
        </w:tc>
        <w:tc>
          <w:tcPr>
            <w:tcW w:w="1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500,000</w:t>
            </w:r>
          </w:p>
        </w:tc>
        <w:tc>
          <w:tcPr>
            <w:tcW w:w="1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644,540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1,154,072</w:t>
            </w:r>
          </w:p>
        </w:tc>
        <w:tc>
          <w:tcPr>
            <w:tcW w:w="0" w:type="dxa"/>
            <w:vAlign w:val="bottom"/>
          </w:tcPr>
          <w:p>
            <w:pPr>
              <w:spacing w:after="0"/>
              <w:rPr>
                <w:sz w:val="1"/>
                <w:szCs w:val="1"/>
                <w:color w:val="auto"/>
              </w:rPr>
            </w:pPr>
          </w:p>
        </w:tc>
      </w:tr>
      <w:tr>
        <w:trPr>
          <w:trHeight w:val="227"/>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2023</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500,000</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544,767</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17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236,250</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1,326,401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both"/>
        <w:ind w:left="620" w:hanging="381"/>
        <w:spacing w:after="0" w:line="243" w:lineRule="auto"/>
        <w:tabs>
          <w:tab w:leader="none" w:pos="62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for 2024 and 2023 represent the grant date fair value, as determined in accordance with FASB ASC Topic 718, of equity awards in connection with our annual executive long term compensation program made up of 50% restricted stock unit awards ("RSUs") and 50% performance-based restricted stock unit awards ("PSUs") granted pursuant to the Company’s 2021 Equity Incentive Plan (the “2021 Plan”). Each of the performance-based restricted stock unit award amounts are based on achievement of a relative Total Shareholder Return ("rTSR") as compared to a specified peer company group. These awards can range from 0% to 200% of the target amount reflected in this table.</w:t>
      </w:r>
    </w:p>
    <w:p>
      <w:pPr>
        <w:spacing w:after="0" w:line="207" w:lineRule="exact"/>
        <w:rPr>
          <w:rFonts w:ascii="Times New Roman" w:cs="Times New Roman" w:eastAsia="Times New Roman" w:hAnsi="Times New Roman"/>
          <w:sz w:val="14"/>
          <w:szCs w:val="14"/>
          <w:color w:val="auto"/>
        </w:rPr>
      </w:pPr>
    </w:p>
    <w:p>
      <w:pPr>
        <w:ind w:left="620" w:hanging="381"/>
        <w:spacing w:after="0" w:line="263" w:lineRule="auto"/>
        <w:tabs>
          <w:tab w:leader="none" w:pos="56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exercised its discretion in awarding a special supplemental cash bonus which was paid during the first quarter of Fiscal 2024 to each of Dr. Rollins, Mr. Magazine and Mr. Dean in recognition of the operational performance of the Company's new facilities opened in the United States during Fiscal 2023.</w:t>
      </w:r>
    </w:p>
    <w:p>
      <w:pPr>
        <w:spacing w:after="0" w:line="194" w:lineRule="exact"/>
        <w:rPr>
          <w:rFonts w:ascii="Times New Roman" w:cs="Times New Roman" w:eastAsia="Times New Roman" w:hAnsi="Times New Roman"/>
          <w:sz w:val="14"/>
          <w:szCs w:val="14"/>
          <w:color w:val="auto"/>
        </w:rPr>
      </w:pPr>
    </w:p>
    <w:p>
      <w:pPr>
        <w:ind w:left="440" w:hanging="201"/>
        <w:spacing w:after="0"/>
        <w:tabs>
          <w:tab w:leader="none" w:pos="4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reflect annual incentive compensation payments earned by our named executive officers in 2024 and 2023.</w:t>
      </w:r>
    </w:p>
    <w:p>
      <w:pPr>
        <w:spacing w:after="0" w:line="229" w:lineRule="exact"/>
        <w:rPr>
          <w:rFonts w:ascii="Times New Roman" w:cs="Times New Roman" w:eastAsia="Times New Roman" w:hAnsi="Times New Roman"/>
          <w:sz w:val="14"/>
          <w:szCs w:val="14"/>
          <w:color w:val="auto"/>
        </w:rPr>
      </w:pPr>
    </w:p>
    <w:p>
      <w:pPr>
        <w:ind w:left="620" w:hanging="381"/>
        <w:spacing w:after="0" w:line="263" w:lineRule="auto"/>
        <w:tabs>
          <w:tab w:leader="none" w:pos="57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the “All Other Compensation” column represent the surgical related service fees in the amount of $119,000 and $207,750 for 2024 and 2023, respectively, paid to Dr. Rollins related to surgical procedures he performed, severance payments made to Todd Magazine</w:t>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20"/>
        <w:spacing w:after="0" w:line="263" w:lineRule="auto"/>
        <w:rPr>
          <w:sz w:val="20"/>
          <w:szCs w:val="20"/>
          <w:color w:val="auto"/>
        </w:rPr>
      </w:pPr>
      <w:r>
        <w:rPr>
          <w:rFonts w:ascii="Times New Roman" w:cs="Times New Roman" w:eastAsia="Times New Roman" w:hAnsi="Times New Roman"/>
          <w:sz w:val="14"/>
          <w:szCs w:val="14"/>
          <w:color w:val="auto"/>
        </w:rPr>
        <w:t>of $565,385 in 2024 and a $265,000 sign-on bonus and $175,000 relocation fee related to the hiring of Todd Magazine in 2023 and medical, dental and vision insurance policy premiums paid by us.</w:t>
      </w:r>
    </w:p>
    <w:p>
      <w:pPr>
        <w:spacing w:after="0" w:line="194" w:lineRule="exact"/>
        <w:rPr>
          <w:sz w:val="20"/>
          <w:szCs w:val="20"/>
          <w:color w:val="auto"/>
        </w:rPr>
      </w:pPr>
    </w:p>
    <w:p>
      <w:pPr>
        <w:ind w:left="540" w:hanging="301"/>
        <w:spacing w:after="0"/>
        <w:tabs>
          <w:tab w:leader="none" w:pos="5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Magazine served as the Company's Chief Executive Officer until August 8, 2024.</w:t>
      </w:r>
    </w:p>
    <w:p>
      <w:pPr>
        <w:spacing w:after="0" w:line="229" w:lineRule="exact"/>
        <w:rPr>
          <w:rFonts w:ascii="Times New Roman" w:cs="Times New Roman" w:eastAsia="Times New Roman" w:hAnsi="Times New Roman"/>
          <w:sz w:val="14"/>
          <w:szCs w:val="14"/>
          <w:color w:val="auto"/>
        </w:rPr>
      </w:pPr>
    </w:p>
    <w:p>
      <w:pPr>
        <w:ind w:left="620" w:hanging="381"/>
        <w:spacing w:after="0" w:line="263" w:lineRule="auto"/>
        <w:tabs>
          <w:tab w:leader="none" w:pos="53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Dean served as the Company's Interim Chief Executive Officer and Chief Financial Officer from August 8, 2024 to January 7, 2025, at which time he returned to his role as Chief Financial Officer.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Narrative Disclosure to Summary Compensation Table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Base Salary</w:t>
      </w:r>
    </w:p>
    <w:p>
      <w:pPr>
        <w:spacing w:after="0" w:line="1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Each named executive officer's base salary is a fixed component of compensation for each year for performing specific job duties and functions. The 2024 annual base salaries for our named executive officers are set forth in the "Summary Compensation Table" above.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Non-Equity Incentive Compensation</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to their annual base salary, our named executive officers are eligible for an annual cash performance bonus for each fiscal year based upon achievement of our performance targets, as determined by our Board in its sole and absolute discretion. For Fiscal 2024, Dr. Rollins, Mr. Magazine and Mr. Dean were eligible to earn a target annual incentive cash compensation of 100%, 100%, and 75%, respectively, of their annual base salary based on annual EBITDA performance. In March of 2024, our Board approved the 2024 budgeted EBITDA target of $50.0 million and budgeted revenue target of $227.9 million. For the 2024 performance period, our EBITDA was $20.7 million and our revenue was $180.4 million. As a result of our performance versus company objectives, no bonus was earned by each named executive officer.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Bonus</w:t>
      </w:r>
    </w:p>
    <w:p>
      <w:pPr>
        <w:spacing w:after="0" w:line="1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compensation committee exercised its discretion in awarding special supplemental cash bonuses of $87,500, $65,800 and $37,500 which were paid during the first quarter of Fiscal 2024 to each of Dr. Rollins, Mr. Magazine and Mr. Dean, respectively, in recognition of the operational performance of the Company's new facilities opened in the United States during Fiscal 2023.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IPO Equity Awards</w:t>
      </w:r>
    </w:p>
    <w:p>
      <w:pPr>
        <w:spacing w:after="0" w:line="2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connection with our initial public offering, we awarded special one-time grants of RSUs and PSUs under the 2021 Plan to certain key executives, including each of Dr. Rollins and Mr. Dean (the “IPO Awards”). The IPO Awards for Dr. Rollins and Mr. Dean are 50% in the form of RSUs and 50% in the form of PSUs. As of December 31, 2024, all unvested and unearned RSUs and PSUs granted under the IPO Awards have been forfeited and cancelled.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Equity Awards</w:t>
      </w:r>
    </w:p>
    <w:p>
      <w:pPr>
        <w:spacing w:after="0" w:line="14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We awarded RSUs and PSUs to each of Dr. Rollins, Mr. Magazine and Mr. Dean (the “Annual Awards”) in Fiscal 2024 from our 2021 Equity Incentive Award Plan. The Annual Awards for Dr. Rollins, Mr. Magazine and Mr. Dean were 50% in the form of RSUs and 50% in the form of PSUs.</w:t>
      </w:r>
    </w:p>
    <w:p>
      <w:pPr>
        <w:spacing w:after="0" w:line="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number of RSUs granted to Dr. Rollins, Mr. Magazine and Mr. Dean in connection with their Annual Awards cover 136,141 shares of our common stock, 108,913 shares of our common stock and 38,898 shares of our common stock, respectively. The RSUs vest one-third annually over the first three anniversaries of the date of grant, subject to continued employment on such date, except as otherwise described under “Potential Payments and Benefits upon Termination or Change in Control” below.</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Dr. Rollins, Mr. Magazine and Mr. Dean, the number of PSUs granted to them in connection with their 2024 Annual Awards cover 136,141 shares of our common stock, 108,913 shares of our common stock and 38,898 shares of our common stock, respectively. The PSUs vest based on the Company's total shareholder return relative to a specified peer group (the "rTSR"). Based on the rTSR, the awards can settle in shares in a range of 0% to 200% of the target units. Vesting of the PSUs is subject to continued employment until the end of the performance period, except as otherwise described under “Potential Payments and Benefits upon Termination or Change in Control” below. Upon a change in control (as defined in the 2021 Plan), the performance conditions underlying the PSUs are deemed satisfied at target and the PSUs remain subject solely to time-based vesting over the remainder of the three year performance period, subject to continued service on such date except as otherwise described under “Potential Payments and Benefits upon Termination or Change in Control” below.</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Benefits</w:t>
      </w:r>
    </w:p>
    <w:p>
      <w:pPr>
        <w:spacing w:after="0" w:line="1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of our current named executive officers are eligible to participate in our employee benefit plans, including our medical, dental, and vision, in each case on the same basis as all of our other employees, except that we pay for the full cost of premiums of such benefits for our named executive officers. We generally do not provide perquisites or personal benefits to our named executive officers.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Transition Services Agreement with Todd Magazine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8, 2024, Todd Magazine stepped down from his role as Chief Executive Officer of the Company, effective as of August 8, 2024.</w:t>
      </w:r>
    </w:p>
    <w:p>
      <w:pPr>
        <w:spacing w:after="0" w:line="1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On August 8, 2024, Mr. Magazine entered into the Transition Services Agreement with the Company, which provided for the severance benefits specified in Section 7.2 of the Magazine Employment Agreement. In addition, in consideration for the provision by Mr. Magazine of consulting services to the Company through December 31, 2024, and for his acknowledgement that the Employee Covenants Agreement between him and the Company, dated as of January 30, 2023, remains binding on him following his termination of employment, a total of 75,000 restricted stock units of the Company previously granted to Mr. Magazine, which were unvested and would otherwise have been forfeited, remained outstanding and vested on January 1,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Employment Agreement with Mr. Jashnani</w:t>
      </w:r>
    </w:p>
    <w:p>
      <w:pPr>
        <w:spacing w:after="0" w:line="1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December 17, 2024, the Company appointed Yogesh Jashnani to serve as Chief Executive Officer of the Company and entered into an employment agreement with Mr. Jashnani, effective January 7, 2025 (previously filed as Exhibit 10.1 of the Company’s Current Report on Form 8-K (file no. 001-40973), filed with the SEC on December 17, 2024) (the "Jashnani Employment Agreement").</w:t>
      </w:r>
    </w:p>
    <w:p>
      <w:pPr>
        <w:spacing w:after="0" w:line="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Jashnani Employment Agreement provides that Mr. Jashnani will receive a base salary of $700,000, which may be reviewed annually and may be increased, but not decreased, without his consent. The Jashnani Employment Agreement also provides that Mr. Jashnani is eligible to receive an annual performance-based cash bonus with a target annual incentive of 100% of base salary, which incentive is earned based on the achievement of performance targets, as determined annually by our Board. Any annual bonus, to the extent earned, is paid in a lump sum.</w:t>
      </w:r>
    </w:p>
    <w:p>
      <w:pPr>
        <w:spacing w:after="0" w:line="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Jashnani Employment Agreement also provided that Mr. Jashnani would receive a sign-on cash bonus payment of $262,500, with $150,000 paid on signing and the remainder paid when annual bonuses are paid to the Company’s executive officers, and a sign-on equity award with a grant value of $2,333,333, consisting of RSUs with a grant date value of $1,000,000 (vesting annually over three years) and of PSUs with a target grant date value of $1,333,333 (eligible to vest over a three-year performance period based on stock price appreciation targets). Further, in the event that the Company requires Mr. Jashnani to relocate his principal office location to the Company’s principal office, Mr. Jashnani shall be entitled to receive a subsidy for relocation costs up to a maximum of $175,000.</w:t>
      </w:r>
    </w:p>
    <w:p>
      <w:pPr>
        <w:spacing w:after="0" w:line="10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Under the Jashnani Employment Agreement, Mr. Jashnani is also eligible to participate in the Company’s 2021 Equity Incentive Plan, with a 2025 annual equity award having a grant date value of 200% of Mr. Jashnani’s annual base salary on terms substantially similar to the Company's other executive officers, subject to the terms and conditions of the applicable grant agreement and the approval of the Board.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Executive Chairman Employment Agreement with Dr. Rollins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connection with his appointment to Executive Chairman of the Board, Dr. Rollins entered into an amended and restated employment agreement as of January 4, 2023 (the “Second Amended and Restated Employment Agreement”) (previously filed as Exhibit 10.2 to the Company’s current report on Form 8-K, dated December 30, 2022), which expired as of October 29, 2024 in accordance with its terms. Dr. Rollins remains employed with the Company as an “at-will” employee.</w:t>
      </w:r>
    </w:p>
    <w:p>
      <w:pPr>
        <w:spacing w:after="0" w:line="3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Second Amended and Restated Employment Agreement applied with respect to all of the compensation disclosed for Dr. Rollins in the "Summary Compensation Table" above.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Employment Agreement with Mr. Magazine</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December 30, 2022, the Company appointed Todd Magazine to serve as President and Chief Executive Officer of the Company and entered into an employment agreement with Mr. Magazine, effective January 30, 2023 (previously filed as Exhibit 10.1 of the Company’s Current Report on Form 8-K (file no. 001-40973), filed with the SEC on January 6, 2023) (the “Magazine Employment Agreement”). On August 8, 2024, Mr. Magazine stepped down from his role as President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Chief Executive Officer of the Company, which resulted in the termination of the Magazine Employment Agreement. The compensation paid under the Magazine Employment Agreement is disclosed in the "Summary Compensation Table" above.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Employment Agreement with Mr. Dean</w:t>
      </w:r>
    </w:p>
    <w:p>
      <w:pPr>
        <w:spacing w:after="0" w:line="15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On October 5, 2021, the Company entered into an Amended and Restated Employment Agreement with Mr. Dean in connection with our initial public offering (the “Amended and Restated Employment Agreement”), which agreement became effective upon completion of the Company’s initial public offering. The Amended and Restated Employment Agreement applied with respect to all of the compensation disclosed for Mr. Dean in the "Summary Compensation Table" above.</w:t>
      </w:r>
    </w:p>
    <w:p>
      <w:pPr>
        <w:spacing w:after="0" w:line="10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The Amended and Restated Employment Agreement provides that Mr. Dean will receive a base salary of $500,000, which may be reviewed annually and may be increased, but not decreased, without his consent. The Amended and Restated Employment Agreement also provides that Mr. Dean is eligible to receive an annual performance-based cash bonus with a target annual incentive of 75% of base salary, which incentive is earned based on the achievement of performance targets, as determined annually by our Board. Any annual bonus, to the extent earned, is paid in a lump sum.</w:t>
      </w:r>
    </w:p>
    <w:p>
      <w:pPr>
        <w:spacing w:after="0" w:line="91"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color w:val="auto"/>
        </w:rPr>
        <w:t>Under the Amended and Restated Employment Agreement, Mr. Dean is also eligible to participate in the Company’s annual equity grant program, with the first such annual equity grant in the first quarter of 2022, subject to the terms and conditions of the applicable grant agreement and the approval of the Board.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Covenants Agreement</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entered into an Employee Covenants Agreement with Dr. Rollins dated as of October 2, 2018 (the “Rollins Covenants Agreement”), which agreement includes customary confidentiality and non-disparagement provisions, as well as provisions relating to assignment of inventions. On October 5, 2021, we entered into an amendment to the Rollins Covenants Agreement, which became effective upon completion of our initial public offering. The Rollins Covenants Agreement, as amended, also includes non-competition and non-solicitation of employees and customers provisions that run during Dr. Rollins’ employment with the Company and for a period of twelve months after termination of employment.</w:t>
      </w:r>
    </w:p>
    <w:p>
      <w:pPr>
        <w:spacing w:after="0" w:line="9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We also entered into Employee Covenants Agreements with Mr. Magazine and Mr. Jashnani dated as of December 29, 2022 and January 7, 2025, respectively, which include customary confidentiality and non-disparagement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2" w:name="page103"/>
    <w:bookmarkEnd w:id="102"/>
    <w:p>
      <w:pPr>
        <w:ind w:left="11"/>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106" w:lineRule="exact"/>
        <w:rPr>
          <w:sz w:val="20"/>
          <w:szCs w:val="20"/>
          <w:color w:val="auto"/>
        </w:rPr>
      </w:pPr>
    </w:p>
    <w:p>
      <w:pPr>
        <w:ind w:left="11"/>
        <w:spacing w:after="0" w:line="294" w:lineRule="auto"/>
        <w:rPr>
          <w:sz w:val="20"/>
          <w:szCs w:val="20"/>
          <w:color w:val="auto"/>
        </w:rPr>
      </w:pPr>
      <w:r>
        <w:rPr>
          <w:rFonts w:ascii="Times New Roman" w:cs="Times New Roman" w:eastAsia="Times New Roman" w:hAnsi="Times New Roman"/>
          <w:sz w:val="17"/>
          <w:szCs w:val="17"/>
          <w:color w:val="auto"/>
        </w:rPr>
        <w:t>As of December 31, 2024, our named executive officers held outstanding equity-based awards of the Company as listed in the table below. For purposes of this summary, the Company assumes the market-based PSUs will be issued at 100% of the units within the range of 0% to 200%.</w:t>
      </w:r>
    </w:p>
    <w:p>
      <w:pPr>
        <w:spacing w:after="0" w:line="316" w:lineRule="exact"/>
        <w:rPr>
          <w:sz w:val="20"/>
          <w:szCs w:val="20"/>
          <w:color w:val="auto"/>
        </w:rPr>
      </w:pPr>
    </w:p>
    <w:tbl>
      <w:tblPr>
        <w:tblLayout w:type="fixed"/>
        <w:tblInd w:w="11" w:type="dxa"/>
        <w:tblCellMar>
          <w:top w:w="0" w:type="dxa"/>
          <w:left w:w="0" w:type="dxa"/>
          <w:bottom w:w="0" w:type="dxa"/>
          <w:right w:w="0" w:type="dxa"/>
        </w:tblCellMar>
      </w:tblPr>
      <w:tr>
        <w:trPr>
          <w:trHeight w:val="227"/>
        </w:trPr>
        <w:tc>
          <w:tcPr>
            <w:tcW w:w="24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2"/>
          </w:tcPr>
          <w:p>
            <w:pPr>
              <w:jc w:val="right"/>
              <w:ind w:right="1315"/>
              <w:spacing w:after="0"/>
              <w:rPr>
                <w:sz w:val="20"/>
                <w:szCs w:val="20"/>
                <w:color w:val="auto"/>
              </w:rPr>
            </w:pPr>
            <w:r>
              <w:rPr>
                <w:rFonts w:ascii="Times New Roman" w:cs="Times New Roman" w:eastAsia="Times New Roman" w:hAnsi="Times New Roman"/>
                <w:sz w:val="17"/>
                <w:szCs w:val="17"/>
                <w:color w:val="auto"/>
              </w:rPr>
              <w:t>Stock Awards</w:t>
            </w:r>
          </w:p>
        </w:tc>
        <w:tc>
          <w:tcPr>
            <w:tcW w:w="1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 Shares or</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Market Value of Shares</w:t>
            </w:r>
          </w:p>
        </w:tc>
        <w:tc>
          <w:tcPr>
            <w:tcW w:w="18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rPr>
              <w:t>Equity Incentive Plan</w:t>
            </w:r>
          </w:p>
        </w:tc>
        <w:tc>
          <w:tcPr>
            <w:tcW w:w="1840" w:type="dxa"/>
            <w:vAlign w:val="bottom"/>
          </w:tcPr>
          <w:p>
            <w:pPr>
              <w:jc w:val="right"/>
              <w:ind w:right="95"/>
              <w:spacing w:after="0" w:line="163" w:lineRule="exact"/>
              <w:rPr>
                <w:sz w:val="20"/>
                <w:szCs w:val="20"/>
                <w:color w:val="auto"/>
              </w:rPr>
            </w:pPr>
            <w:r>
              <w:rPr>
                <w:rFonts w:ascii="Times New Roman" w:cs="Times New Roman" w:eastAsia="Times New Roman" w:hAnsi="Times New Roman"/>
                <w:sz w:val="17"/>
                <w:szCs w:val="17"/>
                <w:color w:val="auto"/>
              </w:rPr>
              <w:t>Equity Incentive Plan</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188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rPr>
              <w:t>Awards: Number of</w:t>
            </w:r>
          </w:p>
        </w:tc>
        <w:tc>
          <w:tcPr>
            <w:tcW w:w="1840" w:type="dxa"/>
            <w:vAlign w:val="bottom"/>
          </w:tcPr>
          <w:p>
            <w:pPr>
              <w:jc w:val="right"/>
              <w:spacing w:after="0" w:line="169" w:lineRule="exact"/>
              <w:rPr>
                <w:sz w:val="20"/>
                <w:szCs w:val="20"/>
                <w:color w:val="auto"/>
              </w:rPr>
            </w:pPr>
            <w:r>
              <w:rPr>
                <w:rFonts w:ascii="Times New Roman" w:cs="Times New Roman" w:eastAsia="Times New Roman" w:hAnsi="Times New Roman"/>
                <w:sz w:val="17"/>
                <w:szCs w:val="17"/>
                <w:color w:val="auto"/>
              </w:rPr>
              <w:t>Awards: Market Value of</w:t>
            </w:r>
          </w:p>
        </w:tc>
        <w:tc>
          <w:tcPr>
            <w:tcW w:w="0" w:type="dxa"/>
            <w:vAlign w:val="bottom"/>
          </w:tcPr>
          <w:p>
            <w:pPr>
              <w:spacing w:after="0"/>
              <w:rPr>
                <w:sz w:val="1"/>
                <w:szCs w:val="1"/>
                <w:color w:val="auto"/>
              </w:rPr>
            </w:pPr>
          </w:p>
        </w:tc>
      </w:tr>
      <w:tr>
        <w:trPr>
          <w:trHeight w:val="182"/>
        </w:trPr>
        <w:tc>
          <w:tcPr>
            <w:tcW w:w="2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Units That Have Not Yet</w:t>
            </w:r>
          </w:p>
        </w:tc>
        <w:tc>
          <w:tcPr>
            <w:tcW w:w="18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or Units That Have Not</w:t>
            </w:r>
          </w:p>
        </w:tc>
        <w:tc>
          <w:tcPr>
            <w:tcW w:w="37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7"/>
                <w:szCs w:val="17"/>
                <w:color w:val="auto"/>
              </w:rPr>
              <w:t>Unearned Shares or Units Unearned Shares or Units</w:t>
            </w:r>
          </w:p>
        </w:tc>
        <w:tc>
          <w:tcPr>
            <w:tcW w:w="0" w:type="dxa"/>
            <w:vAlign w:val="bottom"/>
          </w:tcPr>
          <w:p>
            <w:pPr>
              <w:spacing w:after="0"/>
              <w:rPr>
                <w:sz w:val="1"/>
                <w:szCs w:val="1"/>
                <w:color w:val="auto"/>
              </w:rPr>
            </w:pPr>
          </w:p>
        </w:tc>
      </w:tr>
      <w:tr>
        <w:trPr>
          <w:trHeight w:val="169"/>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2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color w:val="auto"/>
              </w:rPr>
              <w:t>Grant Date</w:t>
            </w:r>
          </w:p>
        </w:tc>
        <w:tc>
          <w:tcPr>
            <w:tcW w:w="200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w w:val="97"/>
              </w:rPr>
              <w:t>Vested</w:t>
            </w:r>
          </w:p>
        </w:tc>
        <w:tc>
          <w:tcPr>
            <w:tcW w:w="18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color w:val="auto"/>
                <w:w w:val="97"/>
              </w:rPr>
              <w:t>Yet Vested</w:t>
            </w:r>
          </w:p>
        </w:tc>
        <w:tc>
          <w:tcPr>
            <w:tcW w:w="37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7"/>
                <w:szCs w:val="17"/>
                <w:color w:val="auto"/>
              </w:rPr>
              <w:t>That Have Not Vested (#) That Have Not Vested ($)</w:t>
            </w:r>
          </w:p>
        </w:tc>
        <w:tc>
          <w:tcPr>
            <w:tcW w:w="0" w:type="dxa"/>
            <w:vAlign w:val="bottom"/>
          </w:tcPr>
          <w:p>
            <w:pPr>
              <w:spacing w:after="0"/>
              <w:rPr>
                <w:sz w:val="1"/>
                <w:szCs w:val="1"/>
                <w:color w:val="auto"/>
              </w:rPr>
            </w:pPr>
          </w:p>
        </w:tc>
      </w:tr>
      <w:tr>
        <w:trPr>
          <w:trHeight w:val="169"/>
        </w:trPr>
        <w:tc>
          <w:tcPr>
            <w:tcW w:w="24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00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9"/>
                <w:szCs w:val="19"/>
                <w:color w:val="auto"/>
                <w:vertAlign w:val="superscript"/>
              </w:rPr>
              <w:t>(1)</w:t>
            </w:r>
          </w:p>
        </w:tc>
        <w:tc>
          <w:tcPr>
            <w:tcW w:w="182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9"/>
                <w:szCs w:val="19"/>
                <w:color w:val="auto"/>
                <w:vertAlign w:val="superscript"/>
              </w:rPr>
              <w:t>(2)</w:t>
            </w:r>
          </w:p>
        </w:tc>
        <w:tc>
          <w:tcPr>
            <w:tcW w:w="1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840" w:type="dxa"/>
            <w:vAlign w:val="bottom"/>
          </w:tcPr>
          <w:p>
            <w:pPr>
              <w:jc w:val="right"/>
              <w:ind w:right="775"/>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Dr. Aaron Rollins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2/25/2022</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21,462</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111,388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Chairman</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3/14/2023</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98,536</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511,402</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3/14/2023</w:t>
            </w:r>
          </w:p>
        </w:tc>
        <w:tc>
          <w:tcPr>
            <w:tcW w:w="20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147,805</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767,108</w:t>
            </w: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2/20/2024</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136,141</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706,572</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2/20/2024</w:t>
            </w:r>
          </w:p>
        </w:tc>
        <w:tc>
          <w:tcPr>
            <w:tcW w:w="20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136,141</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706,572</w:t>
            </w: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b w:val="1"/>
                <w:bCs w:val="1"/>
                <w:color w:val="auto"/>
              </w:rPr>
              <w:t>Todd Magazine</w:t>
            </w:r>
            <w:r>
              <w:rPr>
                <w:rFonts w:ascii="Times New Roman" w:cs="Times New Roman" w:eastAsia="Times New Roman" w:hAnsi="Times New Roman"/>
                <w:sz w:val="22"/>
                <w:szCs w:val="22"/>
                <w:b w:val="1"/>
                <w:bCs w:val="1"/>
                <w:color w:val="auto"/>
                <w:vertAlign w:val="superscript"/>
              </w:rPr>
              <w:t>(4)</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1/31/2023</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194,625</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Former Chief Executive Officer</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1/31/2023</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63,172</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327,863</w:t>
            </w: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3/14/2023</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194,625</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3/14/2023</w:t>
            </w:r>
          </w:p>
        </w:tc>
        <w:tc>
          <w:tcPr>
            <w:tcW w:w="20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94,569</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490,813</w:t>
            </w: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2/20/2024</w:t>
            </w:r>
          </w:p>
        </w:tc>
        <w:tc>
          <w:tcPr>
            <w:tcW w:w="20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21,882</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113,568</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b w:val="1"/>
                <w:bCs w:val="1"/>
                <w:color w:val="auto"/>
              </w:rPr>
              <w:t>Dennis Dean</w:t>
            </w:r>
            <w:r>
              <w:rPr>
                <w:rFonts w:ascii="Times New Roman" w:cs="Times New Roman" w:eastAsia="Times New Roman" w:hAnsi="Times New Roman"/>
                <w:sz w:val="22"/>
                <w:szCs w:val="22"/>
                <w:b w:val="1"/>
                <w:bCs w:val="1"/>
                <w:color w:val="auto"/>
                <w:vertAlign w:val="superscript"/>
              </w:rPr>
              <w:t>(5)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2/25/2022</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6,132</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3/14/2023</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28,153</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146,114</w:t>
            </w:r>
          </w:p>
        </w:tc>
        <w:tc>
          <w:tcPr>
            <w:tcW w:w="18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3/14/2023</w:t>
            </w:r>
          </w:p>
        </w:tc>
        <w:tc>
          <w:tcPr>
            <w:tcW w:w="20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42,230</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219,174</w:t>
            </w:r>
          </w:p>
        </w:tc>
        <w:tc>
          <w:tcPr>
            <w:tcW w:w="0" w:type="dxa"/>
            <w:vAlign w:val="bottom"/>
          </w:tcPr>
          <w:p>
            <w:pPr>
              <w:spacing w:after="0"/>
              <w:rPr>
                <w:sz w:val="1"/>
                <w:szCs w:val="1"/>
                <w:color w:val="auto"/>
              </w:rPr>
            </w:pPr>
          </w:p>
        </w:tc>
      </w:tr>
      <w:tr>
        <w:trPr>
          <w:trHeight w:val="221"/>
        </w:trPr>
        <w:tc>
          <w:tcPr>
            <w:tcW w:w="24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2/20/2024</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38,897</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201,875</w:t>
            </w:r>
          </w:p>
        </w:tc>
        <w:tc>
          <w:tcPr>
            <w:tcW w:w="18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2/20/2024</w:t>
            </w:r>
          </w:p>
        </w:tc>
        <w:tc>
          <w:tcPr>
            <w:tcW w:w="20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38,897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201,875</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391" w:right="180" w:hanging="391"/>
        <w:spacing w:after="0" w:line="243" w:lineRule="auto"/>
        <w:tabs>
          <w:tab w:leader="none" w:pos="301"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RSU awards granted on February 25, 2022, March 14, 2023 and February 20, 2024 that vest in three equal installments one, two and three years after grant date. Further, pursuant to the terms of Todd Magazine's Transition Services Agreement and in consideration of consulting services provided thereunder, 37,500 RSUs associated with a grant on January 31, 2023 and 37,500 RSUs associated with a grant on March 14, 2023 remain outstanding and eligible to vest on January 1, 2025. These RSUs would have otherwise been forfeited but instead vested on January 1, 2025 upon satisfactory completion of the consulting services provided under the Transition Services Agreement.</w:t>
      </w:r>
    </w:p>
    <w:p>
      <w:pPr>
        <w:spacing w:after="0" w:line="77" w:lineRule="exact"/>
        <w:rPr>
          <w:rFonts w:ascii="Times New Roman" w:cs="Times New Roman" w:eastAsia="Times New Roman" w:hAnsi="Times New Roman"/>
          <w:sz w:val="14"/>
          <w:szCs w:val="14"/>
          <w:color w:val="auto"/>
        </w:rPr>
      </w:pPr>
    </w:p>
    <w:p>
      <w:pPr>
        <w:ind w:left="291" w:hanging="291"/>
        <w:spacing w:after="0"/>
        <w:tabs>
          <w:tab w:leader="none" w:pos="291"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closing sale price of AirSculpt common stock on NASDAQ of $5.19 per share on December 31, 2024.</w:t>
      </w:r>
    </w:p>
    <w:p>
      <w:pPr>
        <w:spacing w:after="0" w:line="229" w:lineRule="exact"/>
        <w:rPr>
          <w:rFonts w:ascii="Times New Roman" w:cs="Times New Roman" w:eastAsia="Times New Roman" w:hAnsi="Times New Roman"/>
          <w:sz w:val="14"/>
          <w:szCs w:val="14"/>
          <w:color w:val="auto"/>
        </w:rPr>
      </w:pPr>
    </w:p>
    <w:p>
      <w:pPr>
        <w:ind w:left="391" w:right="20" w:hanging="391"/>
        <w:spacing w:after="0"/>
        <w:tabs>
          <w:tab w:leader="none" w:pos="301"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PSU awards granted on January 31, 2023, March 14, 2023 and February 20, 2024 vest based on achievement of a relative total shareholder return, as described under “Annual Equity Awards” above. Under Todd Magazine's PSU award agreements, 63,172 PSUs related to his January 31, 2023 grant, 94,569 PSUs related to his March 13, 2023 grant and 21,882 PSUs related to his February 20, 2024 grant remain outstanding and eligible to vest at the end of the respective performance periods of such grants, subject to achievement of the performance objectives described therein. If the performance objectives are met by December 31, 2025 for his fiscal year 2023 grants and December 31, 2026 for his fiscal year 2024 grant, the awards would vest accordingly. These awards can range from 0% to 200% of the target amount reflected in this table.</w:t>
      </w:r>
    </w:p>
    <w:p>
      <w:pPr>
        <w:spacing w:after="0" w:line="210" w:lineRule="exact"/>
        <w:rPr>
          <w:rFonts w:ascii="Times New Roman" w:cs="Times New Roman" w:eastAsia="Times New Roman" w:hAnsi="Times New Roman"/>
          <w:sz w:val="14"/>
          <w:szCs w:val="14"/>
          <w:color w:val="auto"/>
        </w:rPr>
      </w:pPr>
    </w:p>
    <w:p>
      <w:pPr>
        <w:ind w:left="291" w:hanging="291"/>
        <w:spacing w:after="0"/>
        <w:tabs>
          <w:tab w:leader="none" w:pos="291"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Magazine served as the Company's Chief Executive Officer until August 8, 2024.</w:t>
      </w:r>
    </w:p>
    <w:p>
      <w:pPr>
        <w:spacing w:after="0" w:line="229" w:lineRule="exact"/>
        <w:rPr>
          <w:rFonts w:ascii="Times New Roman" w:cs="Times New Roman" w:eastAsia="Times New Roman" w:hAnsi="Times New Roman"/>
          <w:sz w:val="14"/>
          <w:szCs w:val="14"/>
          <w:color w:val="auto"/>
        </w:rPr>
      </w:pPr>
    </w:p>
    <w:p>
      <w:pPr>
        <w:ind w:left="391" w:right="280" w:hanging="391"/>
        <w:spacing w:after="0" w:line="263" w:lineRule="auto"/>
        <w:tabs>
          <w:tab w:leader="none" w:pos="301"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Dean served as the Company's Interim Chief Executive Officer and Chief Financial Officer from August 8, 2024 to January 7, 2025, at which time he returned to his role as Chief Financial Officer.</w:t>
      </w:r>
    </w:p>
    <w:p>
      <w:pPr>
        <w:spacing w:after="0" w:line="66" w:lineRule="exact"/>
        <w:rPr>
          <w:sz w:val="20"/>
          <w:szCs w:val="20"/>
          <w:color w:val="auto"/>
        </w:rPr>
      </w:pPr>
    </w:p>
    <w:p>
      <w:pPr>
        <w:ind w:left="11"/>
        <w:spacing w:after="0"/>
        <w:rPr>
          <w:sz w:val="20"/>
          <w:szCs w:val="20"/>
          <w:color w:val="auto"/>
        </w:rPr>
      </w:pPr>
      <w:r>
        <w:rPr>
          <w:rFonts w:ascii="Times New Roman" w:cs="Times New Roman" w:eastAsia="Times New Roman" w:hAnsi="Times New Roman"/>
          <w:sz w:val="17"/>
          <w:szCs w:val="17"/>
          <w:b w:val="1"/>
          <w:bCs w:val="1"/>
          <w:color w:val="auto"/>
        </w:rPr>
        <w:t>Potential Payments and Benefits upon Termination or Change in Control</w:t>
      </w:r>
    </w:p>
    <w:p>
      <w:pPr>
        <w:spacing w:after="0" w:line="119" w:lineRule="exact"/>
        <w:rPr>
          <w:sz w:val="20"/>
          <w:szCs w:val="20"/>
          <w:color w:val="auto"/>
        </w:rPr>
      </w:pPr>
    </w:p>
    <w:p>
      <w:pPr>
        <w:jc w:val="both"/>
        <w:ind w:left="11"/>
        <w:spacing w:after="0" w:line="294" w:lineRule="auto"/>
        <w:rPr>
          <w:sz w:val="20"/>
          <w:szCs w:val="20"/>
          <w:color w:val="auto"/>
        </w:rPr>
      </w:pPr>
      <w:r>
        <w:rPr>
          <w:rFonts w:ascii="Times New Roman" w:cs="Times New Roman" w:eastAsia="Times New Roman" w:hAnsi="Times New Roman"/>
          <w:sz w:val="17"/>
          <w:szCs w:val="17"/>
          <w:color w:val="auto"/>
        </w:rPr>
        <w:t>As discussed under “Employment Agreements,” the Amended and Restated Employment Agreements provide for certain severance payments in connection with our NEOs termination of employment under certain circumstances.</w:t>
      </w:r>
    </w:p>
    <w:p>
      <w:pPr>
        <w:spacing w:after="0" w:line="40" w:lineRule="exact"/>
        <w:rPr>
          <w:sz w:val="20"/>
          <w:szCs w:val="20"/>
          <w:color w:val="auto"/>
        </w:rPr>
      </w:pPr>
    </w:p>
    <w:p>
      <w:pPr>
        <w:ind w:left="11"/>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19" w:lineRule="exact"/>
        <w:rPr>
          <w:sz w:val="20"/>
          <w:szCs w:val="20"/>
          <w:color w:val="auto"/>
        </w:rPr>
      </w:pPr>
    </w:p>
    <w:p>
      <w:pPr>
        <w:jc w:val="both"/>
        <w:ind w:left="11"/>
        <w:spacing w:after="0" w:line="274" w:lineRule="auto"/>
        <w:rPr>
          <w:sz w:val="20"/>
          <w:szCs w:val="20"/>
          <w:color w:val="auto"/>
        </w:rPr>
      </w:pPr>
      <w:r>
        <w:rPr>
          <w:rFonts w:ascii="Times New Roman" w:cs="Times New Roman" w:eastAsia="Times New Roman" w:hAnsi="Times New Roman"/>
          <w:sz w:val="17"/>
          <w:szCs w:val="17"/>
          <w:color w:val="auto"/>
        </w:rPr>
        <w:t>The following table sets forth the compensation awarded to, earned by or paid to the non-employee members of our board of directors in respect of their service to our board of directors during our Fiscal 2024. Dr. Rollins’ compensation for Fiscal 2024 is included in the “Summary Compensation Table” above and as described in the accompanying narrative description.</w:t>
      </w:r>
    </w:p>
    <w:p>
      <w:pPr>
        <w:spacing w:after="0" w:line="200" w:lineRule="exact"/>
        <w:rPr>
          <w:sz w:val="20"/>
          <w:szCs w:val="20"/>
          <w:color w:val="auto"/>
        </w:rPr>
      </w:pPr>
    </w:p>
    <w:p>
      <w:pPr>
        <w:spacing w:after="0" w:line="3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716280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51"/>
          </w:cols>
          <w:pgMar w:left="309" w:top="49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as set forth in the table below, we did not pay any compensation to any of the members of our board of directors for Fiscal 2024.</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80" w:type="dxa"/>
            <w:vAlign w:val="bottom"/>
          </w:tcPr>
          <w:p>
            <w:pPr>
              <w:spacing w:after="0"/>
              <w:rPr>
                <w:sz w:val="17"/>
                <w:szCs w:val="17"/>
                <w:color w:val="auto"/>
              </w:rPr>
            </w:pPr>
          </w:p>
        </w:tc>
        <w:tc>
          <w:tcPr>
            <w:tcW w:w="3280" w:type="dxa"/>
            <w:vAlign w:val="bottom"/>
          </w:tcPr>
          <w:p>
            <w:pPr>
              <w:jc w:val="center"/>
              <w:ind w:left="938"/>
              <w:spacing w:after="0"/>
              <w:rPr>
                <w:sz w:val="20"/>
                <w:szCs w:val="20"/>
                <w:color w:val="auto"/>
              </w:rPr>
            </w:pPr>
            <w:r>
              <w:rPr>
                <w:rFonts w:ascii="Times New Roman" w:cs="Times New Roman" w:eastAsia="Times New Roman" w:hAnsi="Times New Roman"/>
                <w:sz w:val="17"/>
                <w:szCs w:val="17"/>
                <w:b w:val="1"/>
                <w:bCs w:val="1"/>
                <w:color w:val="auto"/>
              </w:rPr>
              <w:t>Fees Earned or Paid in</w:t>
            </w:r>
          </w:p>
        </w:tc>
        <w:tc>
          <w:tcPr>
            <w:tcW w:w="1840" w:type="dxa"/>
            <w:vAlign w:val="bottom"/>
            <w:vMerge w:val="restart"/>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2040" w:type="dxa"/>
            <w:vAlign w:val="bottom"/>
          </w:tcPr>
          <w:p>
            <w:pPr>
              <w:jc w:val="center"/>
              <w:ind w:right="453"/>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50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69"/>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3280" w:type="dxa"/>
            <w:vAlign w:val="bottom"/>
          </w:tcPr>
          <w:p>
            <w:pPr>
              <w:jc w:val="center"/>
              <w:ind w:left="938"/>
              <w:spacing w:after="0" w:line="169" w:lineRule="exact"/>
              <w:rPr>
                <w:sz w:val="20"/>
                <w:szCs w:val="20"/>
                <w:color w:val="auto"/>
              </w:rPr>
            </w:pPr>
            <w:r>
              <w:rPr>
                <w:rFonts w:ascii="Times New Roman" w:cs="Times New Roman" w:eastAsia="Times New Roman" w:hAnsi="Times New Roman"/>
                <w:sz w:val="17"/>
                <w:szCs w:val="17"/>
                <w:b w:val="1"/>
                <w:bCs w:val="1"/>
                <w:color w:val="auto"/>
              </w:rPr>
              <w:t>Cash</w:t>
            </w:r>
          </w:p>
        </w:tc>
        <w:tc>
          <w:tcPr>
            <w:tcW w:w="1840" w:type="dxa"/>
            <w:vAlign w:val="bottom"/>
            <w:vMerge w:val="continue"/>
          </w:tcPr>
          <w:p>
            <w:pPr>
              <w:spacing w:after="0"/>
              <w:rPr>
                <w:sz w:val="14"/>
                <w:szCs w:val="14"/>
                <w:color w:val="auto"/>
              </w:rPr>
            </w:pPr>
          </w:p>
        </w:tc>
        <w:tc>
          <w:tcPr>
            <w:tcW w:w="2040" w:type="dxa"/>
            <w:vAlign w:val="bottom"/>
          </w:tcPr>
          <w:p>
            <w:pPr>
              <w:jc w:val="center"/>
              <w:ind w:right="453"/>
              <w:spacing w:after="0" w:line="169"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580" w:type="dxa"/>
            <w:vAlign w:val="bottom"/>
            <w:tcBorders>
              <w:bottom w:val="single" w:sz="8" w:color="auto"/>
            </w:tcBorders>
            <w:vMerge w:val="continue"/>
          </w:tcPr>
          <w:p>
            <w:pPr>
              <w:spacing w:after="0"/>
              <w:rPr>
                <w:sz w:val="20"/>
                <w:szCs w:val="20"/>
                <w:color w:val="auto"/>
              </w:rPr>
            </w:pPr>
          </w:p>
        </w:tc>
        <w:tc>
          <w:tcPr>
            <w:tcW w:w="3280" w:type="dxa"/>
            <w:vAlign w:val="bottom"/>
            <w:tcBorders>
              <w:bottom w:val="single" w:sz="8" w:color="auto"/>
            </w:tcBorders>
          </w:tcPr>
          <w:p>
            <w:pPr>
              <w:jc w:val="center"/>
              <w:ind w:left="938"/>
              <w:spacing w:after="0" w:line="235"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0"/>
                <w:szCs w:val="10"/>
                <w:b w:val="1"/>
                <w:bCs w:val="1"/>
                <w:color w:val="auto"/>
              </w:rPr>
              <w:t>(1)</w:t>
            </w:r>
          </w:p>
        </w:tc>
        <w:tc>
          <w:tcPr>
            <w:tcW w:w="1840" w:type="dxa"/>
            <w:vAlign w:val="bottom"/>
            <w:tcBorders>
              <w:bottom w:val="single" w:sz="8" w:color="auto"/>
            </w:tcBorders>
          </w:tcPr>
          <w:p>
            <w:pPr>
              <w:jc w:val="right"/>
              <w:ind w:right="853"/>
              <w:spacing w:after="0" w:line="235"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2"/>
                <w:szCs w:val="22"/>
                <w:b w:val="1"/>
                <w:bCs w:val="1"/>
                <w:color w:val="auto"/>
                <w:vertAlign w:val="superscript"/>
              </w:rPr>
              <w:t>(2)</w:t>
            </w:r>
          </w:p>
        </w:tc>
        <w:tc>
          <w:tcPr>
            <w:tcW w:w="2040" w:type="dxa"/>
            <w:vAlign w:val="bottom"/>
            <w:tcBorders>
              <w:bottom w:val="single" w:sz="8" w:color="auto"/>
            </w:tcBorders>
          </w:tcPr>
          <w:p>
            <w:pPr>
              <w:jc w:val="center"/>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Thomas Aaron</w:t>
            </w:r>
          </w:p>
        </w:tc>
        <w:tc>
          <w:tcPr>
            <w:tcW w:w="3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102,500</w:t>
            </w:r>
          </w:p>
        </w:tc>
        <w:tc>
          <w:tcPr>
            <w:tcW w:w="18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150,000</w:t>
            </w:r>
          </w:p>
        </w:tc>
        <w:tc>
          <w:tcPr>
            <w:tcW w:w="20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252,500</w:t>
            </w:r>
          </w:p>
        </w:tc>
        <w:tc>
          <w:tcPr>
            <w:tcW w:w="0" w:type="dxa"/>
            <w:vAlign w:val="bottom"/>
          </w:tcPr>
          <w:p>
            <w:pPr>
              <w:spacing w:after="0"/>
              <w:rPr>
                <w:sz w:val="1"/>
                <w:szCs w:val="1"/>
                <w:color w:val="auto"/>
              </w:rPr>
            </w:pPr>
          </w:p>
        </w:tc>
      </w:tr>
      <w:tr>
        <w:trPr>
          <w:trHeight w:val="221"/>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Caroline Chu</w:t>
            </w:r>
          </w:p>
        </w:tc>
        <w:tc>
          <w:tcPr>
            <w:tcW w:w="328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100,000</w:t>
            </w:r>
          </w:p>
        </w:tc>
        <w:tc>
          <w:tcPr>
            <w:tcW w:w="18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150,000</w:t>
            </w:r>
          </w:p>
        </w:tc>
        <w:tc>
          <w:tcPr>
            <w:tcW w:w="204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r>
        <w:trPr>
          <w:trHeight w:val="221"/>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Kenneth Higgins</w:t>
            </w:r>
          </w:p>
        </w:tc>
        <w:tc>
          <w:tcPr>
            <w:tcW w:w="32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107,500</w:t>
            </w:r>
          </w:p>
        </w:tc>
        <w:tc>
          <w:tcPr>
            <w:tcW w:w="18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150,000</w:t>
            </w:r>
          </w:p>
        </w:tc>
        <w:tc>
          <w:tcPr>
            <w:tcW w:w="20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257,500</w:t>
            </w:r>
          </w:p>
        </w:tc>
        <w:tc>
          <w:tcPr>
            <w:tcW w:w="0" w:type="dxa"/>
            <w:vAlign w:val="bottom"/>
          </w:tcPr>
          <w:p>
            <w:pPr>
              <w:spacing w:after="0"/>
              <w:rPr>
                <w:sz w:val="1"/>
                <w:szCs w:val="1"/>
                <w:color w:val="auto"/>
              </w:rPr>
            </w:pPr>
          </w:p>
        </w:tc>
      </w:tr>
      <w:tr>
        <w:trPr>
          <w:trHeight w:val="299"/>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Pamela Netzky</w:t>
            </w:r>
            <w:r>
              <w:rPr>
                <w:rFonts w:ascii="Times New Roman" w:cs="Times New Roman" w:eastAsia="Times New Roman" w:hAnsi="Times New Roman"/>
                <w:sz w:val="22"/>
                <w:szCs w:val="22"/>
                <w:b w:val="1"/>
                <w:bCs w:val="1"/>
                <w:color w:val="auto"/>
                <w:vertAlign w:val="superscript"/>
              </w:rPr>
              <w:t>(3)</w:t>
            </w:r>
          </w:p>
        </w:tc>
        <w:tc>
          <w:tcPr>
            <w:tcW w:w="328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82,500</w:t>
            </w:r>
          </w:p>
        </w:tc>
        <w:tc>
          <w:tcPr>
            <w:tcW w:w="18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150,000</w:t>
            </w:r>
          </w:p>
        </w:tc>
        <w:tc>
          <w:tcPr>
            <w:tcW w:w="2040" w:type="dxa"/>
            <w:vAlign w:val="bottom"/>
          </w:tcPr>
          <w:p>
            <w:pPr>
              <w:ind w:left="15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232,500</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320" w:hanging="316"/>
        <w:spacing w:after="0" w:line="283" w:lineRule="auto"/>
        <w:tabs>
          <w:tab w:leader="none" w:pos="3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annual cash retainers, committee chair and committee membership fees. Any director who is an officer of the Company and any director who is nominated by Vesey Street Capital Partners, L.L.C., including Messrs. Feinstein and Sollof, did not receive any AirSculpt director compensation.</w:t>
      </w:r>
    </w:p>
    <w:p>
      <w:pPr>
        <w:spacing w:after="0" w:line="115" w:lineRule="exact"/>
        <w:rPr>
          <w:rFonts w:ascii="Times New Roman" w:cs="Times New Roman" w:eastAsia="Times New Roman" w:hAnsi="Times New Roman"/>
          <w:sz w:val="14"/>
          <w:szCs w:val="14"/>
          <w:color w:val="auto"/>
        </w:rPr>
      </w:pPr>
    </w:p>
    <w:p>
      <w:pPr>
        <w:ind w:left="320" w:hanging="316"/>
        <w:spacing w:after="0" w:line="283" w:lineRule="auto"/>
        <w:tabs>
          <w:tab w:leader="none" w:pos="3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grant date fair value, as determined in accordance with FASB ASC Topic 718, of awards of restricted stock units granted under the 2021 Plan. Aggregate restricted stock unit awards outstanding as of December 31, 2024 are 26,087 for each of Mr. Aaron, Ms. Chu, and Mr. Higgins.</w:t>
      </w:r>
    </w:p>
    <w:p>
      <w:pPr>
        <w:spacing w:after="0" w:line="193"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24, 2024, Ms. Netzky resigned as a director and as a member of the Nominating and Corporate Governance Committee of the Company’s board of directors.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Narrative to Director Compensation Table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connection with our initial public offering, we adopted a formal policy governing the compensation of our non-employee directors. Any director who also serves as an employee receives no additional compensation for services as a director or as a member of a committee of our Board. Compensation for our non-employee directors (other than Adam Feinstein and Daniel Sollof, who are not compensated for their service as directors) includes an annual cash retainer of $75,000. In addition, non-employee directors (other than Adam Feinstein and Daniel Sollof, who are not compensated for their service as directors) also receive an additional cash retainer for service on the audit committee, compensation committee, or nominating and corporate governance committee of our Board. The chairman of the audit committee receives an additional cash retainer of $20,000, and the other members of the audit committee will receive an additional cash retainer of $10,000. The chairmen of the compensation committee or nominating and corporate governance committee each receive an additional cash retainer of $15,000, and each other member of such committee will receive an additional cash retainer of $7,500. All cash retainers for service on committees of our Board are payable quarterly. All cash retainers will be pro-rated for any partial periods of service. In addition to cash compensation, each non-employee director (other than Adam Feinstein and Daniel Sollof, who are not compensated for their service as directors) receives an annual RSU grant, which will be granted at each annual meeting of our stockholders and will vest upon the earlier of (i) the first anniversary of the date of grant or (ii) the day prior to our next annual meeting of stockholders. By completing a deferral election in the year prior to the annual RSU grant, each director may elect to defer all, or a portion, of the RSUs granted to such director in the following year. Settlement of such RSUs may be deferred until the director’s separation from service or a date specified at the time of such election. For Fiscal 2024, we granted 26,087 RSUs under the 2021 Plan to each of our non-employee directors which RSUs will vest on May 7, 2025, subject to each non-employee director's continued service through such 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All compensation and related matters are reviewed by our compensation committee. None of the members of our compensation committee is or has at any time during the past year been an officer or employee of ours. None of our executive officers currently serves, or in the past year has served, as a member of the board of directors or compensation committee of any entity that has one or more executive officers serving on our Board or compensation committee.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 Close in Time to the Release of Material Nonpublic Information</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do not grant stock options, stock appreciation rights, or similar option-like instruments and, as such, do not have any policy or practice in place on the timing of awards of options, stock appreciation rights, or similar option-like instruments in relation to the disclosure of material non-public information. If in the future we anticipate granting stock options, stock</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appreciation rights, or similar option-like instruments, we may establish a policy regarding how the board of directors determines when to grant such awards and how the board of directors or the compensation committee will take material nonpublic information into account when determining the timing and terms of such awards.</w:t>
      </w:r>
    </w:p>
    <w:p>
      <w:pPr>
        <w:spacing w:after="0" w:line="173" w:lineRule="exact"/>
        <w:rPr>
          <w:sz w:val="20"/>
          <w:szCs w:val="20"/>
          <w:color w:val="auto"/>
        </w:rPr>
      </w:pPr>
    </w:p>
    <w:p>
      <w:pPr>
        <w:ind w:right="3120"/>
        <w:spacing w:after="0" w:line="400" w:lineRule="auto"/>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 and Management and Related Stockholder Matters Beneficial Ownership</w:t>
      </w:r>
    </w:p>
    <w:p>
      <w:pPr>
        <w:spacing w:after="0" w:line="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our common stock as of March 13, 2025 by (i) each person, or group of affiliated persons, known by us to beneficially own more than 5% of our common stock, (ii) each of our directors and named executive officers, and (iii) all of our directors and executive officers as a group.</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These rules generally attribute beneficial ownership of securities to persons who possess sole or shared voting power or investment power with respect to such securities. To our knowledge, except as otherwise indicated, all persons listed below have sole voting and investment power with respect to the shares beneficially owned by them, subject to applicable community property laws.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Applicable percentage ownership is based on 58,574,516 shares of common stock outstanding as of March 13, 2025. RSUs that may vest and settle within 60 days of March 13, 2025 are deemed to be outstanding and to be beneficially owned by the person holding the RSUs for the purpose of computing the percentage ownership of that person but are not treated as outstanding for the purpose of computing the percentage ownership of any other person. Unless otherwise indicated, the address for each listed stockholder is: 1111 Lincoln Road, Suite 802, Miami Beach, Florida 33139.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Common Stock beneficially owned</w:t>
            </w:r>
          </w:p>
        </w:tc>
      </w:tr>
      <w:tr>
        <w:trPr>
          <w:trHeight w:val="254"/>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tc>
        <w:tc>
          <w:tcPr>
            <w:tcW w:w="2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20" w:type="dxa"/>
            <w:vAlign w:val="bottom"/>
            <w:gridSpan w:val="2"/>
          </w:tcPr>
          <w:p>
            <w:pPr>
              <w:ind w:left="58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80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Percentage</w:t>
            </w:r>
          </w:p>
        </w:tc>
      </w:tr>
      <w:tr>
        <w:trPr>
          <w:trHeight w:val="228"/>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5% stockholders:</w:t>
            </w:r>
          </w:p>
        </w:tc>
        <w:tc>
          <w:tcPr>
            <w:tcW w:w="20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Dr. Aaron Rollins</w:t>
            </w: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14,718,944</w:t>
            </w:r>
          </w:p>
        </w:tc>
        <w:tc>
          <w:tcPr>
            <w:tcW w:w="3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25.13 %</w:t>
            </w:r>
          </w:p>
        </w:tc>
      </w:tr>
      <w:tr>
        <w:trPr>
          <w:trHeight w:val="234"/>
        </w:trPr>
        <w:tc>
          <w:tcPr>
            <w:tcW w:w="496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7"/>
                <w:szCs w:val="17"/>
                <w:color w:val="auto"/>
              </w:rPr>
              <w:t>Entities affiliated with Vesey Street Capital Partners, L.L.C.</w:t>
            </w:r>
            <w:r>
              <w:rPr>
                <w:rFonts w:ascii="Times New Roman" w:cs="Times New Roman" w:eastAsia="Times New Roman" w:hAnsi="Times New Roman"/>
                <w:sz w:val="22"/>
                <w:szCs w:val="22"/>
                <w:color w:val="auto"/>
                <w:vertAlign w:val="superscript"/>
              </w:rPr>
              <w:t>(1)(2)</w:t>
            </w:r>
          </w:p>
        </w:tc>
        <w:tc>
          <w:tcPr>
            <w:tcW w:w="4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29,324,180</w:t>
            </w:r>
          </w:p>
        </w:tc>
        <w:tc>
          <w:tcPr>
            <w:tcW w:w="3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50.06 %</w:t>
            </w:r>
          </w:p>
        </w:tc>
      </w:tr>
      <w:tr>
        <w:trPr>
          <w:trHeight w:val="234"/>
        </w:trPr>
        <w:tc>
          <w:tcPr>
            <w:tcW w:w="4960" w:type="dxa"/>
            <w:vAlign w:val="bottom"/>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Thrivent Financial for Lutherans </w:t>
            </w:r>
            <w:r>
              <w:rPr>
                <w:rFonts w:ascii="Times New Roman" w:cs="Times New Roman" w:eastAsia="Times New Roman" w:hAnsi="Times New Roman"/>
                <w:sz w:val="22"/>
                <w:szCs w:val="22"/>
                <w:color w:val="auto"/>
                <w:vertAlign w:val="superscript"/>
              </w:rPr>
              <w:t>(3)</w:t>
            </w: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5,169,819</w:t>
            </w:r>
          </w:p>
        </w:tc>
        <w:tc>
          <w:tcPr>
            <w:tcW w:w="3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8.83 %</w:t>
            </w:r>
          </w:p>
        </w:tc>
      </w:tr>
      <w:tr>
        <w:trPr>
          <w:trHeight w:val="234"/>
        </w:trPr>
        <w:tc>
          <w:tcPr>
            <w:tcW w:w="496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SW Investment Management LLC </w:t>
            </w:r>
            <w:r>
              <w:rPr>
                <w:rFonts w:ascii="Times New Roman" w:cs="Times New Roman" w:eastAsia="Times New Roman" w:hAnsi="Times New Roman"/>
                <w:sz w:val="22"/>
                <w:szCs w:val="22"/>
                <w:color w:val="auto"/>
                <w:vertAlign w:val="superscript"/>
              </w:rPr>
              <w:t>(4)</w:t>
            </w:r>
          </w:p>
        </w:tc>
        <w:tc>
          <w:tcPr>
            <w:tcW w:w="4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4,700,000</w:t>
            </w:r>
          </w:p>
        </w:tc>
        <w:tc>
          <w:tcPr>
            <w:tcW w:w="3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8.02 %</w:t>
            </w: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Directors and named executive officers:</w:t>
            </w:r>
          </w:p>
        </w:tc>
        <w:tc>
          <w:tcPr>
            <w:tcW w:w="2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Todd Magazine </w:t>
            </w:r>
            <w:r>
              <w:rPr>
                <w:rFonts w:ascii="Times New Roman" w:cs="Times New Roman" w:eastAsia="Times New Roman" w:hAnsi="Times New Roman"/>
                <w:sz w:val="22"/>
                <w:szCs w:val="22"/>
                <w:color w:val="auto"/>
                <w:vertAlign w:val="superscript"/>
              </w:rPr>
              <w:t>(5)</w:t>
            </w:r>
          </w:p>
        </w:tc>
        <w:tc>
          <w:tcPr>
            <w:tcW w:w="4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268,068</w:t>
            </w:r>
          </w:p>
        </w:tc>
        <w:tc>
          <w:tcPr>
            <w:tcW w:w="34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r>
      <w:tr>
        <w:trPr>
          <w:trHeight w:val="274"/>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Yogi Jashnani </w:t>
            </w:r>
            <w:r>
              <w:rPr>
                <w:rFonts w:ascii="Times New Roman" w:cs="Times New Roman" w:eastAsia="Times New Roman" w:hAnsi="Times New Roman"/>
                <w:sz w:val="22"/>
                <w:szCs w:val="22"/>
                <w:color w:val="auto"/>
                <w:vertAlign w:val="superscript"/>
              </w:rPr>
              <w:t>(6)</w:t>
            </w:r>
          </w:p>
        </w:tc>
        <w:tc>
          <w:tcPr>
            <w:tcW w:w="2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Dennis Dean </w:t>
            </w:r>
            <w:r>
              <w:rPr>
                <w:rFonts w:ascii="Times New Roman" w:cs="Times New Roman" w:eastAsia="Times New Roman" w:hAnsi="Times New Roman"/>
                <w:sz w:val="22"/>
                <w:szCs w:val="22"/>
                <w:color w:val="auto"/>
                <w:vertAlign w:val="superscript"/>
              </w:rPr>
              <w:t>(7)</w:t>
            </w:r>
          </w:p>
        </w:tc>
        <w:tc>
          <w:tcPr>
            <w:tcW w:w="4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542,043</w:t>
            </w:r>
          </w:p>
        </w:tc>
        <w:tc>
          <w:tcPr>
            <w:tcW w:w="34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4960" w:type="dxa"/>
            <w:vAlign w:val="bottom"/>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Dr. Aaron Rollins </w:t>
            </w:r>
            <w:r>
              <w:rPr>
                <w:rFonts w:ascii="Times New Roman" w:cs="Times New Roman" w:eastAsia="Times New Roman" w:hAnsi="Times New Roman"/>
                <w:sz w:val="22"/>
                <w:szCs w:val="22"/>
                <w:color w:val="auto"/>
                <w:vertAlign w:val="superscript"/>
              </w:rPr>
              <w:t>(8)</w:t>
            </w: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14,718,944</w:t>
            </w:r>
          </w:p>
        </w:tc>
        <w:tc>
          <w:tcPr>
            <w:tcW w:w="3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25.13 %</w:t>
            </w:r>
          </w:p>
        </w:tc>
      </w:tr>
      <w:tr>
        <w:trPr>
          <w:trHeight w:val="234"/>
        </w:trPr>
        <w:tc>
          <w:tcPr>
            <w:tcW w:w="496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Adam Feinstein </w:t>
            </w:r>
            <w:r>
              <w:rPr>
                <w:rFonts w:ascii="Times New Roman" w:cs="Times New Roman" w:eastAsia="Times New Roman" w:hAnsi="Times New Roman"/>
                <w:sz w:val="22"/>
                <w:szCs w:val="22"/>
                <w:color w:val="auto"/>
                <w:vertAlign w:val="superscript"/>
              </w:rPr>
              <w:t>(1)</w:t>
            </w:r>
          </w:p>
        </w:tc>
        <w:tc>
          <w:tcPr>
            <w:tcW w:w="4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29,324,180</w:t>
            </w:r>
          </w:p>
        </w:tc>
        <w:tc>
          <w:tcPr>
            <w:tcW w:w="3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50.06 %</w:t>
            </w:r>
          </w:p>
        </w:tc>
      </w:tr>
      <w:tr>
        <w:trPr>
          <w:trHeight w:val="273"/>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Daniel Sollof</w:t>
            </w:r>
          </w:p>
        </w:tc>
        <w:tc>
          <w:tcPr>
            <w:tcW w:w="2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Caroline Chu</w:t>
            </w:r>
          </w:p>
        </w:tc>
        <w:tc>
          <w:tcPr>
            <w:tcW w:w="4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92,099</w:t>
            </w:r>
          </w:p>
        </w:tc>
        <w:tc>
          <w:tcPr>
            <w:tcW w:w="34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Thomas Aaron </w:t>
            </w:r>
            <w:r>
              <w:rPr>
                <w:rFonts w:ascii="Times New Roman" w:cs="Times New Roman" w:eastAsia="Times New Roman" w:hAnsi="Times New Roman"/>
                <w:sz w:val="22"/>
                <w:szCs w:val="22"/>
                <w:color w:val="auto"/>
                <w:vertAlign w:val="superscript"/>
              </w:rPr>
              <w:t>(9)</w:t>
            </w: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91,899</w:t>
            </w:r>
          </w:p>
        </w:tc>
        <w:tc>
          <w:tcPr>
            <w:tcW w:w="340" w:type="dxa"/>
            <w:vAlign w:val="bottom"/>
          </w:tcPr>
          <w:p>
            <w:pPr>
              <w:spacing w:after="0"/>
              <w:rPr>
                <w:sz w:val="22"/>
                <w:szCs w:val="22"/>
                <w:color w:val="auto"/>
              </w:rPr>
            </w:pPr>
          </w:p>
        </w:tc>
        <w:tc>
          <w:tcPr>
            <w:tcW w:w="1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Kenneth Higgins </w:t>
            </w:r>
            <w:r>
              <w:rPr>
                <w:rFonts w:ascii="Times New Roman" w:cs="Times New Roman" w:eastAsia="Times New Roman" w:hAnsi="Times New Roman"/>
                <w:sz w:val="22"/>
                <w:szCs w:val="22"/>
                <w:color w:val="auto"/>
                <w:vertAlign w:val="superscript"/>
              </w:rPr>
              <w:t>(9)</w:t>
            </w:r>
          </w:p>
        </w:tc>
        <w:tc>
          <w:tcPr>
            <w:tcW w:w="4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89,099</w:t>
            </w:r>
          </w:p>
        </w:tc>
        <w:tc>
          <w:tcPr>
            <w:tcW w:w="34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 executive officers and directors as a group (9 persons)</w:t>
            </w:r>
          </w:p>
        </w:tc>
        <w:tc>
          <w:tcPr>
            <w:tcW w:w="4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45,126,332</w:t>
            </w:r>
          </w:p>
        </w:tc>
        <w:tc>
          <w:tcPr>
            <w:tcW w:w="3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77.04 %</w:t>
            </w:r>
          </w:p>
        </w:tc>
      </w:tr>
      <w:tr>
        <w:trPr>
          <w:trHeight w:val="873"/>
        </w:trPr>
        <w:tc>
          <w:tcPr>
            <w:tcW w:w="4960" w:type="dxa"/>
            <w:vAlign w:val="bottom"/>
          </w:tcPr>
          <w:p>
            <w:pPr>
              <w:spacing w:after="0"/>
              <w:rPr>
                <w:sz w:val="24"/>
                <w:szCs w:val="24"/>
                <w:color w:val="auto"/>
              </w:rPr>
            </w:pPr>
          </w:p>
        </w:tc>
        <w:tc>
          <w:tcPr>
            <w:tcW w:w="200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rPr>
              <w:t>101</w:t>
            </w: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10"/>
        </w:trPr>
        <w:tc>
          <w:tcPr>
            <w:tcW w:w="496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 w:hanging="499"/>
        <w:spacing w:after="0"/>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w:t>
      </w:r>
    </w:p>
    <w:p>
      <w:pPr>
        <w:spacing w:after="0" w:line="34" w:lineRule="exact"/>
        <w:rPr>
          <w:sz w:val="20"/>
          <w:szCs w:val="20"/>
          <w:color w:val="auto"/>
        </w:rPr>
      </w:pPr>
    </w:p>
    <w:p>
      <w:pPr>
        <w:jc w:val="both"/>
        <w:ind w:left="520" w:right="20" w:hanging="499"/>
        <w:spacing w:after="0" w:line="216" w:lineRule="auto"/>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13,575,862 shares of common stock held directly by VSCP EBS Aggregator, L.P., a Delaware limited partnership (“VSCP EBS”), 4,374,714 shares of common stock held directly by Vesey Street Capital Partners Healthcare Fund-A, L.P., a Delaware limited partnership (“VSCP Health Fund A”), and 11,373,604 shares of common stock held directly by EBS Aggregator Blocker Holdings, LLC, a Delaware limited liability company (“Aggregator Blocker Holdings”). Mr. Feinstein serves as managing partner of Vesey Street Capital Partners, L.L.C., a Delaware limited liability company (“VSCP Fund”), which is the general partner of Vesey Street Capital Partners Healthcare GP, L.P., a Delaware limited partnership, which serves as the general partner of VSCP EBS and VSCP Health Fund A. and the manager of Aggregator Blocker Holdings. The address for Mr. Feinstein, VSCP EBS, VSCP Health GP, Aggregator Blocker Holdings and VSCP Fund is c/o Adam Feinstein, 428 Greenwich Street, New York, NY 10013.</w:t>
      </w:r>
    </w:p>
    <w:p>
      <w:pPr>
        <w:spacing w:after="0" w:line="16"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voting power and investment power of the 11,373,604 shares of common stock with investors in EBS Aggregator Blocker Holdings, LLC.</w:t>
      </w:r>
    </w:p>
    <w:p>
      <w:pPr>
        <w:spacing w:after="0" w:line="34"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Thrivent Financial for Lutherans is located at 901 Marquette Avenue, Suite 2500, Minneapolis, MN 55402.</w:t>
      </w:r>
    </w:p>
    <w:p>
      <w:pPr>
        <w:spacing w:after="0" w:line="34"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SW Investment Management LLC is located at 215 N. Fir St., Telluride, Colorado, 81435.</w:t>
      </w:r>
    </w:p>
    <w:p>
      <w:pPr>
        <w:spacing w:after="0" w:line="34"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Magazine served as the Company's Chief Executive Officer until August 8, 2024.</w:t>
      </w:r>
    </w:p>
    <w:p>
      <w:pPr>
        <w:spacing w:after="0" w:line="34"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Jashnani was appointed to serve as the Company's Chief Executive Officer and as a director of the Company, effective January 7, 2025.</w:t>
      </w:r>
    </w:p>
    <w:p>
      <w:pPr>
        <w:spacing w:after="0" w:line="34"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14,077 shares of common stock issuable within 60 days of March 13, 2025 pursuant to restricted stock units.</w:t>
      </w:r>
    </w:p>
    <w:p>
      <w:pPr>
        <w:spacing w:after="0" w:line="34" w:lineRule="exact"/>
        <w:rPr>
          <w:rFonts w:ascii="Times New Roman" w:cs="Times New Roman" w:eastAsia="Times New Roman" w:hAnsi="Times New Roman"/>
          <w:sz w:val="14"/>
          <w:szCs w:val="14"/>
          <w:color w:val="auto"/>
        </w:rPr>
      </w:pPr>
    </w:p>
    <w:p>
      <w:pPr>
        <w:ind w:left="520" w:hanging="499"/>
        <w:spacing w:after="0"/>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49,268 shares of common stock issuable within 60 days of March 13, 2025 pursuant to restricted stock units.</w:t>
      </w:r>
    </w:p>
    <w:p>
      <w:pPr>
        <w:spacing w:after="0" w:line="34" w:lineRule="exact"/>
        <w:rPr>
          <w:rFonts w:ascii="Times New Roman" w:cs="Times New Roman" w:eastAsia="Times New Roman" w:hAnsi="Times New Roman"/>
          <w:sz w:val="14"/>
          <w:szCs w:val="14"/>
          <w:color w:val="auto"/>
        </w:rPr>
      </w:pPr>
    </w:p>
    <w:p>
      <w:pPr>
        <w:ind w:left="520" w:right="2700" w:hanging="499"/>
        <w:spacing w:after="0" w:line="226" w:lineRule="auto"/>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29,762 restricted stock units issued to the holder on May 10, 2023, which were deferred pursuant to a Non-Employee Director Restricted Stock Unit Deferral Election, the underlying shares of which could be settled in stock within 30 days upon the holder’s resignation as a director of the Company, without the need to satisfy any additional vesting requirements.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0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The following table provides certain information with respect to all of our equity compensation plans in effect as of December 31, 2024. For purposes of this summary, the Company assumes the market-based PSUs will be issued at 100% of the units within the range of 0% to 200%.</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 securities</w:t>
            </w:r>
          </w:p>
        </w:tc>
      </w:tr>
      <w:tr>
        <w:trPr>
          <w:trHeight w:val="195"/>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 available for future</w:t>
            </w:r>
          </w:p>
        </w:tc>
      </w:tr>
      <w:tr>
        <w:trPr>
          <w:trHeight w:val="182"/>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rPr>
              <w:t>Number of securities to be</w:t>
            </w:r>
          </w:p>
        </w:tc>
        <w:tc>
          <w:tcPr>
            <w:tcW w:w="186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234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rPr>
              <w:t>issuance under equity</w:t>
            </w:r>
          </w:p>
        </w:tc>
      </w:tr>
      <w:tr>
        <w:trPr>
          <w:trHeight w:val="195"/>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issued upon exercise of</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exercise price of</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plans (excluding</w:t>
            </w:r>
          </w:p>
        </w:tc>
      </w:tr>
      <w:tr>
        <w:trPr>
          <w:trHeight w:val="195"/>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outstanding options,</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outstanding options,</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reflected in column</w:t>
            </w:r>
          </w:p>
        </w:tc>
      </w:tr>
      <w:tr>
        <w:trPr>
          <w:trHeight w:val="268"/>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warrants and rights</w:t>
            </w: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warrants and rights</w:t>
            </w:r>
            <w:r>
              <w:rPr>
                <w:rFonts w:ascii="Times New Roman" w:cs="Times New Roman" w:eastAsia="Times New Roman" w:hAnsi="Times New Roman"/>
                <w:sz w:val="22"/>
                <w:szCs w:val="22"/>
                <w:b w:val="1"/>
                <w:bCs w:val="1"/>
                <w:color w:val="auto"/>
                <w:vertAlign w:val="superscript"/>
              </w:rPr>
              <w:t>(2)</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w:t>
            </w:r>
          </w:p>
        </w:tc>
      </w:tr>
      <w:tr>
        <w:trPr>
          <w:trHeight w:val="240"/>
        </w:trPr>
        <w:tc>
          <w:tcPr>
            <w:tcW w:w="4600" w:type="dxa"/>
            <w:vAlign w:val="bottom"/>
            <w:tcBorders>
              <w:top w:val="single" w:sz="8" w:color="auto"/>
            </w:tcBorders>
            <w:shd w:val="clear" w:color="auto" w:fill="CCECFF"/>
          </w:tcPr>
          <w:p>
            <w:pPr>
              <w:ind w:left="20"/>
              <w:spacing w:after="0" w:line="241" w:lineRule="exact"/>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22"/>
                <w:szCs w:val="22"/>
                <w:color w:val="auto"/>
                <w:vertAlign w:val="superscript"/>
              </w:rPr>
              <w:t>(1)</w:t>
            </w:r>
          </w:p>
        </w:tc>
        <w:tc>
          <w:tcPr>
            <w:tcW w:w="280" w:type="dxa"/>
            <w:vAlign w:val="bottom"/>
            <w:tcBorders>
              <w:top w:val="single" w:sz="8" w:color="CCECFF"/>
            </w:tcBorders>
            <w:shd w:val="clear" w:color="auto" w:fill="CCECFF"/>
          </w:tcPr>
          <w:p>
            <w:pPr>
              <w:spacing w:after="0"/>
              <w:rPr>
                <w:sz w:val="20"/>
                <w:szCs w:val="20"/>
                <w:color w:val="auto"/>
              </w:rPr>
            </w:pPr>
          </w:p>
        </w:tc>
        <w:tc>
          <w:tcPr>
            <w:tcW w:w="21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1,615,383</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5,834,850</w:t>
            </w:r>
          </w:p>
        </w:tc>
      </w:tr>
      <w:tr>
        <w:trPr>
          <w:trHeight w:val="227"/>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21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
        </w:trPr>
        <w:tc>
          <w:tcPr>
            <w:tcW w:w="4600" w:type="dxa"/>
            <w:vAlign w:val="bottom"/>
            <w:tcBorders>
              <w:bottom w:val="single" w:sz="8" w:color="CCECFF"/>
            </w:tcBorders>
          </w:tcPr>
          <w:p>
            <w:pPr>
              <w:spacing w:after="0" w:line="20" w:lineRule="exact"/>
              <w:rPr>
                <w:sz w:val="1"/>
                <w:szCs w:val="1"/>
                <w:color w:val="auto"/>
              </w:rPr>
            </w:pPr>
          </w:p>
        </w:tc>
        <w:tc>
          <w:tcPr>
            <w:tcW w:w="280" w:type="dxa"/>
            <w:vAlign w:val="bottom"/>
            <w:tcBorders>
              <w:bottom w:val="single" w:sz="8" w:color="CCEC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220"/>
        </w:trPr>
        <w:tc>
          <w:tcPr>
            <w:tcW w:w="48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1,615,383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5,834,850</w:t>
            </w:r>
          </w:p>
        </w:tc>
      </w:tr>
      <w:tr>
        <w:trPr>
          <w:trHeight w:val="21"/>
        </w:trPr>
        <w:tc>
          <w:tcPr>
            <w:tcW w:w="4600" w:type="dxa"/>
            <w:vAlign w:val="bottom"/>
            <w:shd w:val="clear" w:color="auto" w:fill="CCECFF"/>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r>
    </w:tbl>
    <w:p>
      <w:pPr>
        <w:spacing w:after="0" w:line="95" w:lineRule="exact"/>
        <w:rPr>
          <w:sz w:val="20"/>
          <w:szCs w:val="20"/>
          <w:color w:val="auto"/>
        </w:rPr>
      </w:pPr>
    </w:p>
    <w:p>
      <w:pPr>
        <w:ind w:left="620" w:right="200" w:hanging="599"/>
        <w:spacing w:after="0" w:line="223" w:lineRule="auto"/>
        <w:tabs>
          <w:tab w:leader="none" w:pos="6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reflects outstanding stock options, RSUs and PSUs granted pursuant to our 2021 Equity Incentive Plan as of December 31, 2024. The number of shares of common stock reserved for issuance under the 2021 Plan will automatically increase on January 1 of each year, beginning on January 1, 2023, and continuing through and including January 1, 2031, by four percent (4%) of the aggregate number of shares of common stock issued and outstanding on December 31 of the preceding calendar year, or a lesser number of shares determined by our board of directors prior to the applicable January 1.</w:t>
      </w:r>
    </w:p>
    <w:p>
      <w:pPr>
        <w:spacing w:after="0" w:line="13" w:lineRule="exact"/>
        <w:rPr>
          <w:rFonts w:ascii="Times New Roman" w:cs="Times New Roman" w:eastAsia="Times New Roman" w:hAnsi="Times New Roman"/>
          <w:sz w:val="14"/>
          <w:szCs w:val="14"/>
          <w:color w:val="auto"/>
        </w:rPr>
      </w:pPr>
    </w:p>
    <w:p>
      <w:pPr>
        <w:ind w:left="620" w:hanging="599"/>
        <w:spacing w:after="0"/>
        <w:tabs>
          <w:tab w:leader="none" w:pos="6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of outstanding options, warrants and rights is $0 because there are no outstanding options and the outstanding RSUs and PSUs have no exercise price.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16(a) Reporting</w:t>
      </w:r>
    </w:p>
    <w:p>
      <w:pPr>
        <w:spacing w:after="0" w:line="13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7"/>
          <w:szCs w:val="17"/>
          <w:color w:val="auto"/>
        </w:rPr>
        <w:t>Section 16(a) of the Exchange Act requires that our directors, executive officers, and persons who beneficially own more than 10% of our common stock file reports with the SEC relating to their initial beneficial ownership of our securities and any subsequent changes. These reports are commonly referred to as Form 3, Form 4 and Form 5 reports.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Based solely on a review of the copies of such forms in our possession, and on written representations from the reporting persons, we believe that all of these reporting persons complied with their filing requirements on a timely basis for the fiscal year ended December 31, 2024, except for three Form 4s, which were filed by Dr. Aaron Rollins, Todd Magazine and Dennis Dean after the time period allowed for disclosing compensatory grants of awards of 136,141, 38,898 and 108,913 Restricted Stock Units, respectively, made on February 20, 2024 pursuant to the Company's 2021 Equity Incentive Plan.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 Services Agreements and Continuity Agreements</w:t>
      </w:r>
    </w:p>
    <w:p>
      <w:pPr>
        <w:spacing w:after="0" w:line="1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have entered into MSAs with Elite Body Sculpture, PC (California), EBS Florida, PLLC, EBS Minnesota, LLC, Madison Avenue Medical PLLC (New York) (the “New York Professional Association”), EBS Tennessee, PLLC, EBS—Texas, PLLC, EBS Utah, LLC, EBS Virginia, LLC, and EBS Washington, PLLC. Each of these Professional Associations is owned by Dr. Aaron Rollins. Dr. Aaron Rollins does not receive any additional compensation as a result of his ownership interest in these Professional Associations.</w:t>
      </w:r>
    </w:p>
    <w:p>
      <w:pPr>
        <w:spacing w:after="0" w:line="10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July 2020, we entered into an MSA with EBS Arizona, LLC, which is owned by Dr. Aaron Rollins’ father, Dr. Arlen J. Rollins. Pursuant to this MSA, during Fiscal 2024 and Fiscal 2023, Dr. Arlen J. Rollins received compensation of $48,000 and $48,000, respectively, for his role as medical director of our center located in Scottsdale, Arizona.</w:t>
      </w:r>
    </w:p>
    <w:p>
      <w:pPr>
        <w:spacing w:after="0" w:line="9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In connection with each of the MSAs, we entered into Continuity Agreements with Dr. Aaron Rollins and Dr. Arlen J. Rollins; provided that, because of limitations under New York law, there is no Continuity Agreement in place with respect to the New York Professional Association.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Stockholders Agreement</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our initial public offering, we entered into the Stockholders Agreement, which requires us to, among other things, nominate a number of individuals designated by affiliates of our Sponsor for election to the Board at any meeting of our stockholders (each a “Sponsor Director”) such that, upon the election of each such individual, and each other individual nominated by or at the direction of our Board or a duly-authorized committee of the Board, as a director of our Company, and taking into account any director continuing to serve without the need for re-election, the number of Sponsor Directors serving as directors of our Company will be equal to:</w:t>
      </w:r>
    </w:p>
    <w:p>
      <w:pPr>
        <w:spacing w:after="0" w:line="106" w:lineRule="exact"/>
        <w:rPr>
          <w:sz w:val="20"/>
          <w:szCs w:val="20"/>
          <w:color w:val="auto"/>
        </w:rPr>
      </w:pPr>
    </w:p>
    <w:p>
      <w:pPr>
        <w:ind w:left="620" w:hanging="303"/>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affiliates of our Sponsor together beneficially own 25% or more of our outstanding shares of common stock, two Sponsor Directors; and</w:t>
      </w:r>
    </w:p>
    <w:p>
      <w:pPr>
        <w:spacing w:after="0" w:line="143" w:lineRule="exact"/>
        <w:rPr>
          <w:rFonts w:ascii="Times New Roman" w:cs="Times New Roman" w:eastAsia="Times New Roman" w:hAnsi="Times New Roman"/>
          <w:sz w:val="17"/>
          <w:szCs w:val="17"/>
          <w:color w:val="auto"/>
        </w:rPr>
      </w:pPr>
    </w:p>
    <w:p>
      <w:pPr>
        <w:ind w:left="620" w:hanging="303"/>
        <w:spacing w:after="0" w:line="267" w:lineRule="auto"/>
        <w:tabs>
          <w:tab w:leader="none" w:pos="61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affiliates of our Sponsor together beneficially own 10 % or more, but less than 25%, of our outstanding shares of common stock, one Sponsor Director.</w:t>
      </w:r>
    </w:p>
    <w:p>
      <w:pPr>
        <w:spacing w:after="0" w:line="3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For so long as the Stockholders Agreement remains in effect, Sponsor Directors may be removed only with the consent of our Sponsor. In the case of a vacancy on our Board created by the removal or resignation of a Sponsor Director, the Stockholders Agreement requires us to nominate an individual designated by affiliates of our Sponsor for election to fill the vacancy. Additionally, for so long as affiliates of our Sponsor hold at least 25% of our outstanding shares of common stock, we must take all necessary action to ensure that the number of directors serving on our Board will not exceed eight without the consent of affiliates of our Sponsor. Further, for so long as affiliates of our Sponsor are entitled to designate two Sponsor Directors for election to our Board, we are required to take all necessary action to cause the chairperson of our Board to be an individual chosen by affiliates of our Sponsor.</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Additionally, the Stockholders Agreement grants Dr. Aaron Rollins the right to nominate one director (the “Rollins Director”) to our Board for so long as Dr. Aaron Rollins beneficially owns 10% or more of our outstanding shares of common stock. For so long as the Stockholders Agreement remains in effect, the Rollins Director may be removed only with the consent of Dr. Aaron Rollins. In the case of a vacancy on our Board created by the removal or resignation of the Rollins Director, the Stockholders Agreement requires us to nominate an individual designated by Dr. Aaron Rollins for election to fill the vacancy.</w:t>
      </w:r>
    </w:p>
    <w:p>
      <w:pPr>
        <w:spacing w:after="0" w:line="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July 30, 2024, the Company, Sponsor and Dr. Rollins entered into an amendment to the Stockholders Agreement, which provides that the Board and any committee thereof shall have no obligation to recommend a Sponsor Director or a Rollins Director for election to the Board at a meeting of stockholders called for the purpose of electing directors if the Board or such committee, in exercising its fiduciary duties to the Company and its stockholders, does not believe that such Sponsor Director or Rollins Director should be elected to the Board.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Stockholders Agreement also requires us to obtain customary director indemnity insurance and enter into indemnification agreements with the Sponsor Directors and the Rollins Director.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our initial public offering, we entered into a registration rights agreement with our Sponsor and Dr. Aaron Rollins. The registration rights agreement provides our Sponsor and Dr. Aaron Rollins with certain demand registration rights, including shelf registration rights, in respect of any shares of our common stock held by it, subject to certain conditions. In addition, in the event that we register additional shares of common stock for sale to the public, we will be required to give notice of such registration to our Sponsor and Dr. Aaron Rollins, and, subject to certain limitations, include shares of common stock held by them in such registration. The agreement includes customary indemnification provisions in favor of our Sponsor and Dr. Aaron Rollins, any person who is or might be deemed a control person (within the meaning of the Securities Act and the Exchange Act) and related parties against certain losses and liabilities (including reasonable costs of investigation and legal expenses) arising out of or based upon any filing or other disclosure made by us under the securities laws relating to any such registration.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of Officers and Directors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are party to indemnification agreements with each of our officers and directors. The indemnification agreements provide the officers and directors with contractual rights to indemnification, expense advancement and reimbursement, to the fullest extent permitted under Delaware law. Additionally, we may enter into indemnification agreements with any new directors or officers that may be broader in scope than the specific indemnification provisions contained in Delaware law. Insofar as indemnification for liabilities arising under the Securities Act may be permitted to our officers and directors pursuant to the foregoing agreements, we have been advised that, in the opinion of the SEC, such indemnification is against public policy as expressed in the Securities Act, and is therefore unenforceable.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Limited Guarantee</w:t>
      </w:r>
    </w:p>
    <w:p>
      <w:pPr>
        <w:spacing w:after="0" w:line="14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7"/>
          <w:szCs w:val="17"/>
          <w:color w:val="auto"/>
        </w:rPr>
        <w:t>In connection with the Third Amendment, the Company, SVB and our Sponsor (through certain affiliated entities) entered into the Limited Guarantee, pursuant to which our Sponsor agreed to provide a $10.0 million limited guaranty of the Company’s obligations under the Credit Agreement. The Limited Guarantee is callable on June 15, 2025 (or upon the earlier occurrence of certain defaults described therein) if the Company has not prepaid the Term Loan (excluding regularly scheduled amortization) by $10.0 million as of such date. Under the terms of the Limited Guarantee, if Sponsor is required to make any payment under the Limited Guarantee (other than as a result of a bankruptcy event), then Sponsor will be deemed to have purchased shares of common stock of the Company having an aggregate value equal to the amount of such payment. The Company has agreed to issue a subordinated note to Sponsor if a payment occurs under the Limited Guarantee, to the extent such payment does not result from the issuance of shares of common stock by the Company to Sponsor.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Party Transactions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audit committee charter provides that the audit committee has the primary responsibility for reviewing and approving or disapproving “related party transactions,” which are transactions between us and related persons in which the aggregate amount involved exceeds or may be expected to exceed the lesser of $120,000 or 1% of the average of our total assets at year end for the last two completed fiscal years,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Our Board adopted a policy governing the review and approval of related party transactions by the audit committee.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4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Board has undertaken a review of the independence of each director. Based on information provided by each director concerning his or her background, employment and affiliations, our Board has determined that Caroline Chu, Thomas Aaron, Kenneth Higgins, Daniel Sollof and Adam Feinstein do not have a relationship that would interfere with the exercise of independent judgment in carrying out the responsibilities of a director and that each of these directors is “independent” as that term is defined under Rule 5605(a) of the Nasdaq listing standards. In making determinations under Rule 5605(d) of the Nasdaq listing standards, our Board considered the current and prior relationships that each non-employee director has with our company, including the fact that Daniel Sollof and Adam Feinstein are affiliates of our Sponsor, which owns 50.1% of our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SEC regulations and the Nasdaq listing standards require our audit committee to engage, retain, and supervise our independent registered public accounting firm. Our audit committee annually reviews our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Grant Thornton LLP has served as our independent registered public accounting firm since 2018.</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on Audit Committee Pre-Approval of Audit and Permissible Non-Audit Services of Independent Registered Public Accounting Firm</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Pursuant to the audit committee charter, the audit committee is responsible for the oversight of our accounting, reporting, and financial practices. The audit committee has the responsibility to select, appoint, engage, oversee, retain, evaluate, and terminate our external auditors; pre-approve all audit and non-audit services to be provided, consistent with all applicable laws, to us by our external auditors; and establish the fees and other compensation to be paid to our external auditors. During 2024, the audit committee pre-approved all audit and permitted non-audit services provided by Grant Thornton LLP.</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sets forth fees billed by Grant Thornton LLP for the audit of our annual financial statements and other services rendered for the fiscal years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and December 31, 2023:</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Fiscal year ended December 31,</w:t>
            </w:r>
          </w:p>
        </w:tc>
      </w:tr>
      <w:tr>
        <w:trPr>
          <w:trHeight w:val="319"/>
        </w:trPr>
        <w:tc>
          <w:tcPr>
            <w:tcW w:w="7360" w:type="dxa"/>
            <w:vAlign w:val="bottom"/>
            <w:tcBorders>
              <w:bottom w:val="single" w:sz="8" w:color="CCEC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720" w:type="dxa"/>
            <w:vAlign w:val="bottom"/>
            <w:tcBorders>
              <w:bottom w:val="single" w:sz="8" w:color="CCEC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332"/>
        </w:trPr>
        <w:tc>
          <w:tcPr>
            <w:tcW w:w="7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b w:val="1"/>
                <w:bCs w:val="1"/>
                <w:color w:val="auto"/>
              </w:rPr>
              <w:t>Audit fees</w:t>
            </w:r>
            <w:r>
              <w:rPr>
                <w:rFonts w:ascii="Times New Roman" w:cs="Times New Roman" w:eastAsia="Times New Roman" w:hAnsi="Times New Roman"/>
                <w:sz w:val="22"/>
                <w:szCs w:val="22"/>
                <w:b w:val="1"/>
                <w:bCs w:val="1"/>
                <w:color w:val="auto"/>
                <w:vertAlign w:val="superscript"/>
              </w:rPr>
              <w:t>(1)</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509,370</w:t>
            </w:r>
          </w:p>
        </w:tc>
        <w:tc>
          <w:tcPr>
            <w:tcW w:w="10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441,176</w:t>
            </w:r>
          </w:p>
        </w:tc>
      </w:tr>
      <w:tr>
        <w:trPr>
          <w:trHeight w:val="352"/>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Audit-related fees</w:t>
            </w: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52"/>
        </w:trPr>
        <w:tc>
          <w:tcPr>
            <w:tcW w:w="7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b w:val="1"/>
                <w:bCs w:val="1"/>
                <w:color w:val="auto"/>
              </w:rPr>
              <w:t>Tax fees</w:t>
            </w:r>
            <w:r>
              <w:rPr>
                <w:rFonts w:ascii="Times New Roman" w:cs="Times New Roman" w:eastAsia="Times New Roman" w:hAnsi="Times New Roman"/>
                <w:sz w:val="22"/>
                <w:szCs w:val="22"/>
                <w:b w:val="1"/>
                <w:bCs w:val="1"/>
                <w:color w:val="auto"/>
                <w:vertAlign w:val="superscript"/>
              </w:rPr>
              <w:t>(2)</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CFF"/>
          </w:tcPr>
          <w:p>
            <w:pPr>
              <w:spacing w:after="0"/>
              <w:rPr>
                <w:sz w:val="24"/>
                <w:szCs w:val="24"/>
                <w:color w:val="auto"/>
              </w:rPr>
            </w:pPr>
          </w:p>
        </w:tc>
        <w:tc>
          <w:tcPr>
            <w:tcW w:w="360" w:type="dxa"/>
            <w:vAlign w:val="bottom"/>
            <w:shd w:val="clear" w:color="auto" w:fill="CCECFF"/>
          </w:tcPr>
          <w:p>
            <w:pPr>
              <w:spacing w:after="0"/>
              <w:rPr>
                <w:sz w:val="24"/>
                <w:szCs w:val="2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rPr>
              <w:t>31,610</w:t>
            </w:r>
          </w:p>
        </w:tc>
      </w:tr>
      <w:tr>
        <w:trPr>
          <w:trHeight w:val="352"/>
        </w:trPr>
        <w:tc>
          <w:tcPr>
            <w:tcW w:w="7360" w:type="dxa"/>
            <w:vAlign w:val="bottom"/>
            <w:tcBorders>
              <w:bottom w:val="single" w:sz="8" w:color="CCEC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All other fees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C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26"/>
        </w:trPr>
        <w:tc>
          <w:tcPr>
            <w:tcW w:w="7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360" w:type="dxa"/>
            <w:vAlign w:val="bottom"/>
            <w:shd w:val="clear" w:color="auto" w:fill="CCEC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b w:val="1"/>
                <w:bCs w:val="1"/>
                <w:color w:val="auto"/>
              </w:rPr>
              <w:t>509,370</w:t>
            </w:r>
          </w:p>
        </w:tc>
        <w:tc>
          <w:tcPr>
            <w:tcW w:w="10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b w:val="1"/>
                <w:bCs w:val="1"/>
                <w:color w:val="auto"/>
              </w:rPr>
              <w:t>472,786</w:t>
            </w:r>
          </w:p>
        </w:tc>
      </w:tr>
      <w:tr>
        <w:trPr>
          <w:trHeight w:val="20"/>
        </w:trPr>
        <w:tc>
          <w:tcPr>
            <w:tcW w:w="736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C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580" w:right="540" w:hanging="559"/>
        <w:spacing w:after="0" w:line="243" w:lineRule="auto"/>
        <w:tabs>
          <w:tab w:leader="none" w:pos="5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 fees</w:t>
      </w:r>
      <w:r>
        <w:rPr>
          <w:rFonts w:ascii="Times New Roman" w:cs="Times New Roman" w:eastAsia="Times New Roman" w:hAnsi="Times New Roman"/>
          <w:sz w:val="14"/>
          <w:szCs w:val="14"/>
          <w:color w:val="auto"/>
        </w:rPr>
        <w:t>” include fees for professional services rendered for the audit of our consolidated financial statements, reviews of the interim consolidated financial statements included in quarterly reports and services that are normally provided by Grant Thornton in connection with the financial statement audit.</w:t>
      </w:r>
    </w:p>
    <w:p>
      <w:pPr>
        <w:ind w:left="580" w:hanging="559"/>
        <w:spacing w:after="0"/>
        <w:tabs>
          <w:tab w:leader="none" w:pos="5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fees</w:t>
      </w:r>
      <w:r>
        <w:rPr>
          <w:rFonts w:ascii="Times New Roman" w:cs="Times New Roman" w:eastAsia="Times New Roman" w:hAnsi="Times New Roman"/>
          <w:sz w:val="14"/>
          <w:szCs w:val="14"/>
          <w:color w:val="auto"/>
        </w:rPr>
        <w:t>” include fees for tax compliance and advice.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15.</w:t>
        <w:tab/>
        <w:t>Exhibits, Financial Statement Schedules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Financial Statements, Financial Statement Schedules and Exhibits</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 Financial Statements;</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Our Consolidated Financial Statements and Notes thereto are set forth starting on page 85 of this Annual Report on Form 10-K.</w:t>
      </w:r>
    </w:p>
    <w:p>
      <w:pPr>
        <w:ind w:left="620"/>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All financial schedules have been omitted either because they are not applicable or because the required information is provided in our Consolidated Financial Statements and Notes thereto, starting on page 85 of this Annual Report on Form 10-K.</w:t>
      </w:r>
    </w:p>
    <w:p>
      <w:pPr>
        <w:spacing w:after="0" w:line="1" w:lineRule="exact"/>
        <w:rPr>
          <w:sz w:val="20"/>
          <w:szCs w:val="20"/>
          <w:color w:val="auto"/>
        </w:rPr>
      </w:pPr>
    </w:p>
    <w:p>
      <w:pPr>
        <w:ind w:left="880" w:hanging="251"/>
        <w:spacing w:after="0"/>
        <w:tabs>
          <w:tab w:leader="none" w:pos="8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1" w:lineRule="exact"/>
        <w:rPr>
          <w:rFonts w:ascii="Times New Roman" w:cs="Times New Roman" w:eastAsia="Times New Roman" w:hAnsi="Times New Roman"/>
          <w:sz w:val="17"/>
          <w:szCs w:val="17"/>
          <w:color w:val="auto"/>
        </w:rPr>
      </w:pP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exhibits listed below are filed as part of or incorporated by reference into this Annual Report on Form 10-K.</w:t>
      </w:r>
    </w:p>
    <w:p>
      <w:pPr>
        <w:spacing w:after="0" w:line="1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p>
      <w:pPr>
        <w:sectPr>
          <w:pgSz w:w="11900" w:h="16838" w:orient="portrait"/>
          <w:cols w:equalWidth="0" w:num="1">
            <w:col w:w="11240"/>
          </w:cols>
          <w:pgMar w:left="320" w:top="499" w:right="339" w:bottom="1440" w:gutter="0" w:footer="0" w:header="0"/>
        </w:sectPr>
      </w:pPr>
    </w:p>
    <w:p>
      <w:pPr>
        <w:spacing w:after="0" w:line="26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9842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spacing w:after="0" w:line="2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3.1</w:t>
      </w:r>
    </w:p>
    <w:p>
      <w:pPr>
        <w:spacing w:after="0" w:line="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3.2</w:t>
      </w:r>
    </w:p>
    <w:p>
      <w:pPr>
        <w:spacing w:after="0" w:line="1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wp:posOffset>
            </wp:positionV>
            <wp:extent cx="30187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018790" cy="8255"/>
                    </a:xfrm>
                    <a:prstGeom prst="rect">
                      <a:avLst/>
                    </a:prstGeom>
                    <a:noFill/>
                  </pic:spPr>
                </pic:pic>
              </a:graphicData>
            </a:graphic>
          </wp:anchor>
        </w:drawing>
      </w:r>
    </w:p>
    <w:p>
      <w:pPr>
        <w:spacing w:after="0" w:line="21" w:lineRule="exact"/>
        <w:rPr>
          <w:sz w:val="20"/>
          <w:szCs w:val="20"/>
          <w:color w:val="auto"/>
        </w:rPr>
      </w:pPr>
    </w:p>
    <w:p>
      <w:pPr>
        <w:ind w:right="940"/>
        <w:spacing w:after="0" w:line="303" w:lineRule="auto"/>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7"/>
            <w:szCs w:val="17"/>
            <w:u w:val="single" w:color="auto"/>
            <w:color w:val="0000FF"/>
          </w:rPr>
          <w:t>Amended and Restated Articles of Incorporation</w:t>
        </w:r>
      </w:hyperlink>
      <w:r>
        <w:rPr>
          <w:rFonts w:ascii="Times New Roman" w:cs="Times New Roman" w:eastAsia="Times New Roman" w:hAnsi="Times New Roman"/>
          <w:sz w:val="17"/>
          <w:szCs w:val="17"/>
          <w:u w:val="single" w:color="auto"/>
          <w:color w:val="0000FF"/>
        </w:rPr>
        <w:t xml:space="preserve"> </w:t>
      </w:r>
      <w:hyperlink r:id="rId161">
        <w:r>
          <w:rPr>
            <w:rFonts w:ascii="Times New Roman" w:cs="Times New Roman" w:eastAsia="Times New Roman" w:hAnsi="Times New Roman"/>
            <w:sz w:val="17"/>
            <w:szCs w:val="17"/>
            <w:u w:val="single" w:color="auto"/>
            <w:color w:val="0000FF"/>
          </w:rPr>
          <w:t>Amended and Restated Bylaws</w:t>
        </w:r>
      </w:hyperlink>
    </w:p>
    <w:p>
      <w:pPr>
        <w:spacing w:after="0" w:line="1" w:lineRule="exact"/>
        <w:rPr>
          <w:sz w:val="20"/>
          <w:szCs w:val="20"/>
          <w:color w:val="auto"/>
        </w:rPr>
      </w:pPr>
    </w:p>
    <w:p>
      <w:pPr>
        <w:spacing w:after="0" w:line="271" w:lineRule="auto"/>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Specimen Common Stock Certificate evidencing the shares of</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Common Stock</w:t>
        </w:r>
      </w:hyperlink>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ind w:left="380"/>
              <w:spacing w:after="0" w:line="181" w:lineRule="exact"/>
              <w:rPr>
                <w:sz w:val="20"/>
                <w:szCs w:val="20"/>
                <w:color w:val="auto"/>
              </w:rPr>
            </w:pPr>
            <w:r>
              <w:rPr>
                <w:rFonts w:ascii="Times New Roman" w:cs="Times New Roman" w:eastAsia="Times New Roman" w:hAnsi="Times New Roman"/>
                <w:sz w:val="17"/>
                <w:szCs w:val="17"/>
                <w:b w:val="1"/>
                <w:bCs w:val="1"/>
                <w:color w:val="auto"/>
              </w:rPr>
              <w:t>File</w:t>
            </w:r>
          </w:p>
        </w:tc>
      </w:tr>
      <w:tr>
        <w:trPr>
          <w:trHeight w:val="255"/>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Schedule/Form</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File Number</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220"/>
        </w:trPr>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10-Q</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001-40973</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8/11/23</w:t>
            </w:r>
          </w:p>
        </w:tc>
      </w:tr>
      <w:tr>
        <w:trPr>
          <w:trHeight w:val="242"/>
        </w:trPr>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001-40973</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12/03/21</w:t>
            </w:r>
          </w:p>
        </w:tc>
      </w:tr>
      <w:tr>
        <w:trPr>
          <w:trHeight w:val="339"/>
        </w:trPr>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S-1/A</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333-260067</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10/28/21</w:t>
            </w:r>
          </w:p>
        </w:tc>
      </w:tr>
    </w:tbl>
    <w:p>
      <w:pPr>
        <w:spacing w:after="0" w:line="124" w:lineRule="exact"/>
        <w:rPr>
          <w:sz w:val="20"/>
          <w:szCs w:val="20"/>
          <w:color w:val="auto"/>
        </w:rPr>
      </w:pPr>
    </w:p>
    <w:p>
      <w:pPr>
        <w:sectPr>
          <w:pgSz w:w="11900" w:h="16838" w:orient="portrait"/>
          <w:cols w:equalWidth="0" w:num="3">
            <w:col w:w="1060" w:space="600"/>
            <w:col w:w="4320" w:space="520"/>
            <w:col w:w="4740"/>
          </w:cols>
          <w:pgMar w:left="320" w:top="499" w:right="339" w:bottom="1440" w:gutter="0" w:footer="0" w:header="0"/>
          <w:type w:val="continuous"/>
        </w:sectPr>
      </w:pPr>
    </w:p>
    <w:p>
      <w:pPr>
        <w:spacing w:after="0" w:line="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4.2</w:t>
      </w:r>
    </w:p>
    <w:p>
      <w:pPr>
        <w:spacing w:after="0" w:line="3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br w:type="column"/>
      </w:r>
    </w:p>
    <w:p>
      <w:pPr>
        <w:ind w:right="140"/>
        <w:spacing w:after="0" w:line="271" w:lineRule="auto"/>
        <w:rPr>
          <w:rFonts w:ascii="Times New Roman" w:cs="Times New Roman" w:eastAsia="Times New Roman" w:hAnsi="Times New Roman"/>
          <w:sz w:val="17"/>
          <w:szCs w:val="17"/>
          <w:u w:val="single" w:color="auto"/>
          <w:color w:val="0000FF"/>
        </w:rPr>
      </w:pPr>
      <w:hyperlink r:id="rId163">
        <w:r>
          <w:rPr>
            <w:rFonts w:ascii="Times New Roman" w:cs="Times New Roman" w:eastAsia="Times New Roman" w:hAnsi="Times New Roman"/>
            <w:sz w:val="17"/>
            <w:szCs w:val="17"/>
            <w:u w:val="single" w:color="auto"/>
            <w:color w:val="0000FF"/>
          </w:rPr>
          <w:t>Registration Rights Agreement by and between the Company and</w:t>
        </w:r>
      </w:hyperlink>
      <w:r>
        <w:rPr>
          <w:rFonts w:ascii="Times New Roman" w:cs="Times New Roman" w:eastAsia="Times New Roman" w:hAnsi="Times New Roman"/>
          <w:sz w:val="17"/>
          <w:szCs w:val="17"/>
          <w:u w:val="single" w:color="auto"/>
          <w:color w:val="0000FF"/>
        </w:rPr>
        <w:t xml:space="preserve"> </w:t>
      </w:r>
      <w:hyperlink r:id="rId163">
        <w:r>
          <w:rPr>
            <w:rFonts w:ascii="Times New Roman" w:cs="Times New Roman" w:eastAsia="Times New Roman" w:hAnsi="Times New Roman"/>
            <w:sz w:val="17"/>
            <w:szCs w:val="17"/>
            <w:u w:val="single" w:color="auto"/>
            <w:color w:val="0000FF"/>
          </w:rPr>
          <w:t>the Sponsor, dated November 2, 2021</w:t>
        </w:r>
      </w:hyperlink>
    </w:p>
    <w:p>
      <w:pPr>
        <w:spacing w:after="0" w:line="1" w:lineRule="exact"/>
        <w:rPr>
          <w:sz w:val="20"/>
          <w:szCs w:val="20"/>
          <w:color w:val="auto"/>
        </w:rPr>
      </w:pPr>
    </w:p>
    <w:p>
      <w:pPr>
        <w:spacing w:after="0" w:line="259" w:lineRule="auto"/>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Stockholders Agreement by and between the Company, VSCP EBS</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Aggregator, LP, Dr. Aaron Rollins, and JCBI II LLC, dated</w:t>
        </w:r>
      </w:hyperlink>
      <w:r>
        <w:rPr>
          <w:rFonts w:ascii="Times New Roman" w:cs="Times New Roman" w:eastAsia="Times New Roman" w:hAnsi="Times New Roman"/>
          <w:sz w:val="17"/>
          <w:szCs w:val="17"/>
          <w:u w:val="single" w:color="auto"/>
          <w:color w:val="0000FF"/>
        </w:rPr>
        <w:t xml:space="preserve"> </w:t>
      </w:r>
      <w:hyperlink r:id="rId164">
        <w:r>
          <w:rPr>
            <w:rFonts w:ascii="Times New Roman" w:cs="Times New Roman" w:eastAsia="Times New Roman" w:hAnsi="Times New Roman"/>
            <w:sz w:val="17"/>
            <w:szCs w:val="17"/>
            <w:u w:val="single" w:color="auto"/>
            <w:color w:val="0000FF"/>
          </w:rPr>
          <w:t>November 2, 2021, as amended on July 30, 2024</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72" w:lineRule="exact"/>
        <w:rPr>
          <w:rFonts w:ascii="Times New Roman" w:cs="Times New Roman" w:eastAsia="Times New Roman" w:hAnsi="Times New Roman"/>
          <w:sz w:val="17"/>
          <w:szCs w:val="17"/>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27"/>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10-Q</w:t>
            </w: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001-40973</w:t>
            </w: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10.15</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12/03/21</w:t>
            </w:r>
          </w:p>
        </w:tc>
      </w:tr>
      <w:tr>
        <w:trPr>
          <w:trHeight w:val="547"/>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10-Q</w:t>
            </w: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001-40973</w:t>
            </w: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10.1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11/08/24</w:t>
            </w:r>
          </w:p>
        </w:tc>
      </w:tr>
    </w:tbl>
    <w:p>
      <w:pPr>
        <w:spacing w:after="0" w:line="211" w:lineRule="exact"/>
        <w:rPr>
          <w:rFonts w:ascii="Times New Roman" w:cs="Times New Roman" w:eastAsia="Times New Roman" w:hAnsi="Times New Roman"/>
          <w:sz w:val="17"/>
          <w:szCs w:val="17"/>
          <w:u w:val="single" w:color="auto"/>
          <w:color w:val="0000FF"/>
        </w:rPr>
      </w:pPr>
    </w:p>
    <w:p>
      <w:pPr>
        <w:sectPr>
          <w:pgSz w:w="11900" w:h="16838" w:orient="portrait"/>
          <w:cols w:equalWidth="0" w:num="3">
            <w:col w:w="940" w:space="720"/>
            <w:col w:w="4700" w:space="540"/>
            <w:col w:w="4340"/>
          </w:cols>
          <w:pgMar w:left="320" w:top="499" w:right="339" w:bottom="1440" w:gutter="0" w:footer="0" w:header="0"/>
          <w:type w:val="continuous"/>
        </w:sectPr>
      </w:pPr>
    </w:p>
    <w:tbl>
      <w:tblPr>
        <w:tblLayout w:type="fixed"/>
        <w:tblInd w:w="620" w:type="dxa"/>
        <w:tblCellMar>
          <w:top w:w="0" w:type="dxa"/>
          <w:left w:w="0" w:type="dxa"/>
          <w:bottom w:w="0" w:type="dxa"/>
          <w:right w:w="0" w:type="dxa"/>
        </w:tblCellMar>
      </w:tblPr>
      <w:tr>
        <w:trPr>
          <w:trHeight w:val="193"/>
        </w:trPr>
        <w:tc>
          <w:tcPr>
            <w:tcW w:w="1040" w:type="dxa"/>
            <w:vAlign w:val="bottom"/>
          </w:tcPr>
          <w:p>
            <w:pPr>
              <w:jc w:val="right"/>
              <w:ind w:right="693"/>
              <w:spacing w:after="0" w:line="193" w:lineRule="exact"/>
              <w:rPr>
                <w:sz w:val="20"/>
                <w:szCs w:val="20"/>
                <w:color w:val="auto"/>
              </w:rPr>
            </w:pPr>
            <w:r>
              <w:rPr>
                <w:rFonts w:ascii="Times New Roman" w:cs="Times New Roman" w:eastAsia="Times New Roman" w:hAnsi="Times New Roman"/>
                <w:sz w:val="17"/>
                <w:szCs w:val="17"/>
                <w:color w:val="auto"/>
              </w:rPr>
              <w:t>4.4</w:t>
            </w:r>
          </w:p>
        </w:tc>
        <w:tc>
          <w:tcPr>
            <w:tcW w:w="4640" w:type="dxa"/>
            <w:vAlign w:val="bottom"/>
            <w:gridSpan w:val="3"/>
          </w:tcPr>
          <w:p>
            <w:pPr>
              <w:spacing w:after="0" w:line="193"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Description of Registrant’s Securities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0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auto"/>
              </w:rPr>
              <w:t>10.1</w:t>
            </w:r>
          </w:p>
        </w:tc>
        <w:tc>
          <w:tcPr>
            <w:tcW w:w="4640" w:type="dxa"/>
            <w:vAlign w:val="bottom"/>
            <w:tcBorders>
              <w:bottom w:val="single" w:sz="8" w:color="0000FF"/>
            </w:tcBorders>
            <w:gridSpan w:val="3"/>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Form of Indemnification Agreement by and between the Company</w:t>
              </w:r>
            </w:hyperlink>
          </w:p>
        </w:tc>
        <w:tc>
          <w:tcPr>
            <w:tcW w:w="0" w:type="dxa"/>
            <w:vAlign w:val="bottom"/>
          </w:tcPr>
          <w:p>
            <w:pPr>
              <w:spacing w:after="0"/>
              <w:rPr>
                <w:sz w:val="1"/>
                <w:szCs w:val="1"/>
                <w:color w:val="auto"/>
              </w:rPr>
            </w:pPr>
          </w:p>
        </w:tc>
      </w:tr>
      <w:tr>
        <w:trPr>
          <w:trHeight w:val="110"/>
        </w:trPr>
        <w:tc>
          <w:tcPr>
            <w:tcW w:w="1040" w:type="dxa"/>
            <w:vAlign w:val="bottom"/>
            <w:vMerge w:val="continue"/>
          </w:tcPr>
          <w:p>
            <w:pPr>
              <w:spacing w:after="0"/>
              <w:rPr>
                <w:sz w:val="9"/>
                <w:szCs w:val="9"/>
                <w:color w:val="auto"/>
              </w:rPr>
            </w:pPr>
          </w:p>
        </w:tc>
        <w:tc>
          <w:tcPr>
            <w:tcW w:w="4640" w:type="dxa"/>
            <w:vAlign w:val="bottom"/>
            <w:gridSpan w:val="3"/>
            <w:vMerge w:val="restart"/>
          </w:tcPr>
          <w:p>
            <w:pPr>
              <w:spacing w:after="0" w:line="176"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and each of its directors and officers</w:t>
              </w:r>
            </w:hyperlink>
          </w:p>
        </w:tc>
        <w:tc>
          <w:tcPr>
            <w:tcW w:w="0" w:type="dxa"/>
            <w:vAlign w:val="bottom"/>
          </w:tcPr>
          <w:p>
            <w:pPr>
              <w:spacing w:after="0"/>
              <w:rPr>
                <w:sz w:val="1"/>
                <w:szCs w:val="1"/>
                <w:color w:val="auto"/>
              </w:rPr>
            </w:pPr>
          </w:p>
        </w:tc>
      </w:tr>
      <w:tr>
        <w:trPr>
          <w:trHeight w:val="65"/>
        </w:trPr>
        <w:tc>
          <w:tcPr>
            <w:tcW w:w="1040" w:type="dxa"/>
            <w:vAlign w:val="bottom"/>
          </w:tcPr>
          <w:p>
            <w:pPr>
              <w:spacing w:after="0"/>
              <w:rPr>
                <w:sz w:val="5"/>
                <w:szCs w:val="5"/>
                <w:color w:val="auto"/>
              </w:rPr>
            </w:pPr>
          </w:p>
        </w:tc>
        <w:tc>
          <w:tcPr>
            <w:tcW w:w="46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4680" w:type="dxa"/>
            <w:vAlign w:val="bottom"/>
            <w:gridSpan w:val="9"/>
          </w:tcPr>
          <w:p>
            <w:pPr>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Credit Agreement dated as of November 7, 2022, among AirSculpt</w:t>
              </w:r>
            </w:hyperlink>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4660" w:type="dxa"/>
            <w:vAlign w:val="bottom"/>
            <w:tcBorders>
              <w:top w:val="single" w:sz="8" w:color="0000FF"/>
            </w:tcBorders>
            <w:gridSpan w:val="8"/>
          </w:tcPr>
          <w:p>
            <w:pPr>
              <w:spacing w:after="0" w:line="176"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Technologies, Inc., as Holdings, EBS Intermediate Parent LLC, as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auto"/>
              </w:rPr>
              <w:t>10.2</w:t>
            </w:r>
          </w:p>
        </w:tc>
        <w:tc>
          <w:tcPr>
            <w:tcW w:w="4600" w:type="dxa"/>
            <w:vAlign w:val="bottom"/>
            <w:tcBorders>
              <w:top w:val="single" w:sz="8" w:color="0000FF"/>
              <w:bottom w:val="single" w:sz="8" w:color="0000FF"/>
            </w:tcBorders>
            <w:gridSpan w:val="6"/>
          </w:tcPr>
          <w:p>
            <w:pPr>
              <w:spacing w:after="0" w:line="176"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Intermediate Holdings, EBS Enterprises LLC, as the Borrower, the</w:t>
              </w:r>
            </w:hyperlink>
          </w:p>
        </w:tc>
        <w:tc>
          <w:tcPr>
            <w:tcW w:w="4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1040" w:type="dxa"/>
            <w:vAlign w:val="bottom"/>
            <w:vMerge w:val="continue"/>
          </w:tcPr>
          <w:p>
            <w:pPr>
              <w:spacing w:after="0"/>
              <w:rPr>
                <w:sz w:val="9"/>
                <w:szCs w:val="9"/>
                <w:color w:val="auto"/>
              </w:rPr>
            </w:pPr>
          </w:p>
        </w:tc>
        <w:tc>
          <w:tcPr>
            <w:tcW w:w="4680" w:type="dxa"/>
            <w:vAlign w:val="bottom"/>
            <w:gridSpan w:val="9"/>
            <w:vMerge w:val="restart"/>
          </w:tcPr>
          <w:p>
            <w:pPr>
              <w:spacing w:after="0" w:line="176"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several lenders from time to time party hereto, and Silicon Valley</w:t>
              </w:r>
            </w:hyperlink>
          </w:p>
        </w:tc>
        <w:tc>
          <w:tcPr>
            <w:tcW w:w="0" w:type="dxa"/>
            <w:vAlign w:val="bottom"/>
          </w:tcPr>
          <w:p>
            <w:pPr>
              <w:spacing w:after="0"/>
              <w:rPr>
                <w:sz w:val="1"/>
                <w:szCs w:val="1"/>
                <w:color w:val="auto"/>
              </w:rPr>
            </w:pPr>
          </w:p>
        </w:tc>
      </w:tr>
      <w:tr>
        <w:trPr>
          <w:trHeight w:val="65"/>
        </w:trPr>
        <w:tc>
          <w:tcPr>
            <w:tcW w:w="1040" w:type="dxa"/>
            <w:vAlign w:val="bottom"/>
          </w:tcPr>
          <w:p>
            <w:pPr>
              <w:spacing w:after="0"/>
              <w:rPr>
                <w:sz w:val="5"/>
                <w:szCs w:val="5"/>
                <w:color w:val="auto"/>
              </w:rPr>
            </w:pPr>
          </w:p>
        </w:tc>
        <w:tc>
          <w:tcPr>
            <w:tcW w:w="468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4540" w:type="dxa"/>
            <w:vAlign w:val="bottom"/>
            <w:tcBorders>
              <w:top w:val="single" w:sz="8" w:color="0000FF"/>
            </w:tcBorders>
            <w:gridSpan w:val="5"/>
          </w:tcPr>
          <w:p>
            <w:pPr>
              <w:spacing w:after="0" w:line="176"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Bank, as Administrative Agent, Issuing Lender and Swingline</w:t>
              </w:r>
            </w:hyperlink>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500" w:type="dxa"/>
            <w:vAlign w:val="bottom"/>
            <w:tcBorders>
              <w:top w:val="single" w:sz="8" w:color="0000FF"/>
              <w:bottom w:val="single" w:sz="8" w:color="0000FF"/>
            </w:tcBorders>
            <w:gridSpan w:val="2"/>
          </w:tcPr>
          <w:p>
            <w:pPr>
              <w:spacing w:after="0" w:line="176" w:lineRule="exact"/>
              <w:rPr>
                <w:rFonts w:ascii="Times New Roman" w:cs="Times New Roman" w:eastAsia="Times New Roman" w:hAnsi="Times New Roman"/>
                <w:sz w:val="17"/>
                <w:szCs w:val="17"/>
                <w:color w:val="0000FF"/>
                <w:w w:val="99"/>
              </w:rPr>
            </w:pPr>
            <w:hyperlink r:id="rId167">
              <w:r>
                <w:rPr>
                  <w:rFonts w:ascii="Times New Roman" w:cs="Times New Roman" w:eastAsia="Times New Roman" w:hAnsi="Times New Roman"/>
                  <w:sz w:val="17"/>
                  <w:szCs w:val="17"/>
                  <w:color w:val="0000FF"/>
                  <w:w w:val="99"/>
                </w:rPr>
                <w:t>Lender</w:t>
              </w:r>
            </w:hyperlink>
          </w:p>
        </w:tc>
        <w:tc>
          <w:tcPr>
            <w:tcW w:w="38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0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auto"/>
              </w:rPr>
              <w:t>10.3</w:t>
            </w:r>
          </w:p>
        </w:tc>
        <w:tc>
          <w:tcPr>
            <w:tcW w:w="4680" w:type="dxa"/>
            <w:vAlign w:val="bottom"/>
            <w:gridSpan w:val="9"/>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Second Amendment to Credit Agreement, dated September 13,</w:t>
              </w:r>
            </w:hyperlink>
          </w:p>
        </w:tc>
        <w:tc>
          <w:tcPr>
            <w:tcW w:w="0" w:type="dxa"/>
            <w:vAlign w:val="bottom"/>
          </w:tcPr>
          <w:p>
            <w:pPr>
              <w:spacing w:after="0"/>
              <w:rPr>
                <w:sz w:val="1"/>
                <w:szCs w:val="1"/>
                <w:color w:val="auto"/>
              </w:rPr>
            </w:pPr>
          </w:p>
        </w:tc>
      </w:tr>
      <w:tr>
        <w:trPr>
          <w:trHeight w:val="110"/>
        </w:trPr>
        <w:tc>
          <w:tcPr>
            <w:tcW w:w="1040" w:type="dxa"/>
            <w:vAlign w:val="bottom"/>
            <w:vMerge w:val="continue"/>
          </w:tcPr>
          <w:p>
            <w:pPr>
              <w:spacing w:after="0"/>
              <w:rPr>
                <w:sz w:val="9"/>
                <w:szCs w:val="9"/>
                <w:color w:val="auto"/>
              </w:rPr>
            </w:pPr>
          </w:p>
        </w:tc>
        <w:tc>
          <w:tcPr>
            <w:tcW w:w="340" w:type="dxa"/>
            <w:vAlign w:val="bottom"/>
            <w:tcBorders>
              <w:top w:val="single" w:sz="8" w:color="0000FF"/>
            </w:tcBorders>
            <w:vMerge w:val="restart"/>
          </w:tcPr>
          <w:p>
            <w:pPr>
              <w:spacing w:after="0" w:line="176" w:lineRule="exact"/>
              <w:rPr>
                <w:rFonts w:ascii="Times New Roman" w:cs="Times New Roman" w:eastAsia="Times New Roman" w:hAnsi="Times New Roman"/>
                <w:sz w:val="17"/>
                <w:szCs w:val="17"/>
                <w:color w:val="0000FF"/>
                <w:w w:val="93"/>
              </w:rPr>
            </w:pPr>
            <w:hyperlink r:id="rId168">
              <w:r>
                <w:rPr>
                  <w:rFonts w:ascii="Times New Roman" w:cs="Times New Roman" w:eastAsia="Times New Roman" w:hAnsi="Times New Roman"/>
                  <w:sz w:val="17"/>
                  <w:szCs w:val="17"/>
                  <w:color w:val="0000FF"/>
                  <w:w w:val="93"/>
                </w:rPr>
                <w:t>2024</w:t>
              </w:r>
            </w:hyperlink>
          </w:p>
        </w:tc>
        <w:tc>
          <w:tcPr>
            <w:tcW w:w="160" w:type="dxa"/>
            <w:vAlign w:val="bottom"/>
            <w:tcBorders>
              <w:top w:val="single" w:sz="8" w:color="0000FF"/>
            </w:tcBorders>
          </w:tcPr>
          <w:p>
            <w:pPr>
              <w:spacing w:after="0"/>
              <w:rPr>
                <w:sz w:val="9"/>
                <w:szCs w:val="9"/>
                <w:color w:val="auto"/>
              </w:rPr>
            </w:pPr>
          </w:p>
        </w:tc>
        <w:tc>
          <w:tcPr>
            <w:tcW w:w="38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040" w:type="dxa"/>
            <w:vAlign w:val="bottom"/>
          </w:tcPr>
          <w:p>
            <w:pPr>
              <w:spacing w:after="0"/>
              <w:rPr>
                <w:sz w:val="5"/>
                <w:szCs w:val="5"/>
                <w:color w:val="auto"/>
              </w:rPr>
            </w:pPr>
          </w:p>
        </w:tc>
        <w:tc>
          <w:tcPr>
            <w:tcW w:w="340" w:type="dxa"/>
            <w:vAlign w:val="bottom"/>
            <w:tcBorders>
              <w:bottom w:val="single" w:sz="8" w:color="0000FF"/>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3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20" w:type="dxa"/>
            <w:vAlign w:val="bottom"/>
          </w:tcPr>
          <w:p>
            <w:pPr>
              <w:jc w:val="center"/>
              <w:ind w:right="173"/>
              <w:spacing w:after="0"/>
              <w:rPr>
                <w:sz w:val="20"/>
                <w:szCs w:val="20"/>
                <w:color w:val="auto"/>
              </w:rPr>
            </w:pPr>
            <w:r>
              <w:rPr>
                <w:rFonts w:ascii="Times New Roman" w:cs="Times New Roman" w:eastAsia="Times New Roman" w:hAnsi="Times New Roman"/>
                <w:sz w:val="17"/>
                <w:szCs w:val="17"/>
                <w:color w:val="auto"/>
              </w:rPr>
              <w:t>10-K</w:t>
            </w:r>
          </w:p>
        </w:tc>
        <w:tc>
          <w:tcPr>
            <w:tcW w:w="150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001-40973</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03/11/22</w:t>
            </w:r>
          </w:p>
        </w:tc>
      </w:tr>
      <w:tr>
        <w:trPr>
          <w:trHeight w:val="326"/>
        </w:trPr>
        <w:tc>
          <w:tcPr>
            <w:tcW w:w="620" w:type="dxa"/>
            <w:vAlign w:val="bottom"/>
          </w:tcPr>
          <w:p>
            <w:pPr>
              <w:jc w:val="center"/>
              <w:ind w:right="173"/>
              <w:spacing w:after="0"/>
              <w:rPr>
                <w:sz w:val="20"/>
                <w:szCs w:val="20"/>
                <w:color w:val="auto"/>
              </w:rPr>
            </w:pPr>
            <w:r>
              <w:rPr>
                <w:rFonts w:ascii="Times New Roman" w:cs="Times New Roman" w:eastAsia="Times New Roman" w:hAnsi="Times New Roman"/>
                <w:sz w:val="17"/>
                <w:szCs w:val="17"/>
                <w:color w:val="auto"/>
              </w:rPr>
              <w:t>10-Q</w:t>
            </w:r>
          </w:p>
        </w:tc>
        <w:tc>
          <w:tcPr>
            <w:tcW w:w="15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001-40973</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12/03/21</w:t>
            </w:r>
          </w:p>
        </w:tc>
      </w:tr>
      <w:tr>
        <w:trPr>
          <w:trHeight w:val="834"/>
        </w:trPr>
        <w:tc>
          <w:tcPr>
            <w:tcW w:w="620" w:type="dxa"/>
            <w:vAlign w:val="bottom"/>
          </w:tcPr>
          <w:p>
            <w:pPr>
              <w:jc w:val="center"/>
              <w:ind w:right="173"/>
              <w:spacing w:after="0"/>
              <w:rPr>
                <w:sz w:val="20"/>
                <w:szCs w:val="20"/>
                <w:color w:val="auto"/>
              </w:rPr>
            </w:pPr>
            <w:r>
              <w:rPr>
                <w:rFonts w:ascii="Times New Roman" w:cs="Times New Roman" w:eastAsia="Times New Roman" w:hAnsi="Times New Roman"/>
                <w:sz w:val="17"/>
                <w:szCs w:val="17"/>
                <w:color w:val="auto"/>
              </w:rPr>
              <w:t>8-K</w:t>
            </w:r>
          </w:p>
        </w:tc>
        <w:tc>
          <w:tcPr>
            <w:tcW w:w="15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001-40973</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11/09/22</w:t>
            </w:r>
          </w:p>
        </w:tc>
      </w:tr>
      <w:tr>
        <w:trPr>
          <w:trHeight w:val="834"/>
        </w:trPr>
        <w:tc>
          <w:tcPr>
            <w:tcW w:w="620" w:type="dxa"/>
            <w:vAlign w:val="bottom"/>
          </w:tcPr>
          <w:p>
            <w:pPr>
              <w:jc w:val="center"/>
              <w:ind w:right="173"/>
              <w:spacing w:after="0"/>
              <w:rPr>
                <w:sz w:val="20"/>
                <w:szCs w:val="20"/>
                <w:color w:val="auto"/>
              </w:rPr>
            </w:pPr>
            <w:r>
              <w:rPr>
                <w:rFonts w:ascii="Times New Roman" w:cs="Times New Roman" w:eastAsia="Times New Roman" w:hAnsi="Times New Roman"/>
                <w:sz w:val="17"/>
                <w:szCs w:val="17"/>
                <w:color w:val="auto"/>
              </w:rPr>
              <w:t>8-K</w:t>
            </w:r>
          </w:p>
        </w:tc>
        <w:tc>
          <w:tcPr>
            <w:tcW w:w="15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001-40973</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09/13/24</w:t>
            </w:r>
          </w:p>
        </w:tc>
      </w:tr>
    </w:tbl>
    <w:p>
      <w:pPr>
        <w:spacing w:after="0" w:line="117" w:lineRule="exact"/>
        <w:rPr>
          <w:sz w:val="20"/>
          <w:szCs w:val="20"/>
          <w:color w:val="auto"/>
        </w:rPr>
      </w:pPr>
    </w:p>
    <w:p>
      <w:pPr>
        <w:sectPr>
          <w:pgSz w:w="11900" w:h="16838" w:orient="portrait"/>
          <w:cols w:equalWidth="0" w:num="2">
            <w:col w:w="6320" w:space="580"/>
            <w:col w:w="4340"/>
          </w:cols>
          <w:pgMar w:left="320" w:top="499" w:right="339" w:bottom="1440" w:gutter="0" w:footer="0" w:header="0"/>
          <w:type w:val="continuous"/>
        </w:sectPr>
      </w:pPr>
    </w:p>
    <w:tbl>
      <w:tblPr>
        <w:tblLayout w:type="fixed"/>
        <w:tblInd w:w="580" w:type="dxa"/>
        <w:tblCellMar>
          <w:top w:w="0" w:type="dxa"/>
          <w:left w:w="0" w:type="dxa"/>
          <w:bottom w:w="0" w:type="dxa"/>
          <w:right w:w="0" w:type="dxa"/>
        </w:tblCellMar>
      </w:tblPr>
      <w:tr>
        <w:trPr>
          <w:trHeight w:val="195"/>
        </w:trPr>
        <w:tc>
          <w:tcPr>
            <w:tcW w:w="1080" w:type="dxa"/>
            <w:vAlign w:val="bottom"/>
          </w:tcPr>
          <w:p>
            <w:pPr>
              <w:jc w:val="center"/>
              <w:ind w:right="593"/>
              <w:spacing w:after="0"/>
              <w:rPr>
                <w:sz w:val="20"/>
                <w:szCs w:val="20"/>
                <w:color w:val="auto"/>
              </w:rPr>
            </w:pPr>
            <w:r>
              <w:rPr>
                <w:rFonts w:ascii="Times New Roman" w:cs="Times New Roman" w:eastAsia="Times New Roman" w:hAnsi="Times New Roman"/>
                <w:sz w:val="17"/>
                <w:szCs w:val="17"/>
                <w:color w:val="auto"/>
              </w:rPr>
              <w:t>10.4</w:t>
            </w:r>
          </w:p>
        </w:tc>
        <w:tc>
          <w:tcPr>
            <w:tcW w:w="43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Third Amendment to Credit Agreement, dated March 12, 2025</w:t>
            </w:r>
          </w:p>
        </w:tc>
        <w:tc>
          <w:tcPr>
            <w:tcW w:w="0" w:type="dxa"/>
            <w:vAlign w:val="bottom"/>
          </w:tcPr>
          <w:p>
            <w:pPr>
              <w:spacing w:after="0"/>
              <w:rPr>
                <w:sz w:val="1"/>
                <w:szCs w:val="1"/>
                <w:color w:val="auto"/>
              </w:rPr>
            </w:pPr>
          </w:p>
        </w:tc>
      </w:tr>
      <w:tr>
        <w:trPr>
          <w:trHeight w:val="227"/>
        </w:trPr>
        <w:tc>
          <w:tcPr>
            <w:tcW w:w="1080" w:type="dxa"/>
            <w:vAlign w:val="bottom"/>
          </w:tcPr>
          <w:p>
            <w:pPr>
              <w:jc w:val="center"/>
              <w:ind w:right="593"/>
              <w:spacing w:after="0"/>
              <w:rPr>
                <w:sz w:val="20"/>
                <w:szCs w:val="20"/>
                <w:color w:val="auto"/>
              </w:rPr>
            </w:pPr>
            <w:r>
              <w:rPr>
                <w:rFonts w:ascii="Times New Roman" w:cs="Times New Roman" w:eastAsia="Times New Roman" w:hAnsi="Times New Roman"/>
                <w:sz w:val="17"/>
                <w:szCs w:val="17"/>
                <w:color w:val="auto"/>
              </w:rPr>
              <w:t>10.5</w:t>
            </w:r>
          </w:p>
        </w:tc>
        <w:tc>
          <w:tcPr>
            <w:tcW w:w="2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Limited Guarantee, dated March 12, 2025</w:t>
            </w:r>
          </w:p>
        </w:tc>
        <w:tc>
          <w:tcPr>
            <w:tcW w:w="1440" w:type="dxa"/>
            <w:vAlign w:val="bottom"/>
            <w:tcBorders>
              <w:top w:val="single" w:sz="8" w:color="0000FF"/>
            </w:tcBorders>
            <w:gridSpan w:val="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080" w:type="dxa"/>
            <w:vAlign w:val="bottom"/>
          </w:tcPr>
          <w:p>
            <w:pPr>
              <w:jc w:val="center"/>
              <w:ind w:right="593"/>
              <w:spacing w:after="0"/>
              <w:rPr>
                <w:sz w:val="20"/>
                <w:szCs w:val="20"/>
                <w:color w:val="auto"/>
              </w:rPr>
            </w:pPr>
            <w:r>
              <w:rPr>
                <w:rFonts w:ascii="Times New Roman" w:cs="Times New Roman" w:eastAsia="Times New Roman" w:hAnsi="Times New Roman"/>
                <w:sz w:val="17"/>
                <w:szCs w:val="17"/>
                <w:color w:val="auto"/>
              </w:rPr>
              <w:t>10.6†</w:t>
            </w:r>
          </w:p>
        </w:tc>
        <w:tc>
          <w:tcPr>
            <w:tcW w:w="4380" w:type="dxa"/>
            <w:vAlign w:val="bottom"/>
            <w:gridSpan w:val="8"/>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Form of Management Services Agreement</w:t>
              </w:r>
            </w:hyperlink>
          </w:p>
        </w:tc>
        <w:tc>
          <w:tcPr>
            <w:tcW w:w="0" w:type="dxa"/>
            <w:vAlign w:val="bottom"/>
          </w:tcPr>
          <w:p>
            <w:pPr>
              <w:spacing w:after="0"/>
              <w:rPr>
                <w:sz w:val="1"/>
                <w:szCs w:val="1"/>
                <w:color w:val="auto"/>
              </w:rPr>
            </w:pPr>
          </w:p>
        </w:tc>
      </w:tr>
      <w:tr>
        <w:trPr>
          <w:trHeight w:val="227"/>
        </w:trPr>
        <w:tc>
          <w:tcPr>
            <w:tcW w:w="1080" w:type="dxa"/>
            <w:vAlign w:val="bottom"/>
          </w:tcPr>
          <w:p>
            <w:pPr>
              <w:jc w:val="center"/>
              <w:ind w:right="593"/>
              <w:spacing w:after="0"/>
              <w:rPr>
                <w:sz w:val="20"/>
                <w:szCs w:val="20"/>
                <w:color w:val="auto"/>
              </w:rPr>
            </w:pPr>
            <w:r>
              <w:rPr>
                <w:rFonts w:ascii="Times New Roman" w:cs="Times New Roman" w:eastAsia="Times New Roman" w:hAnsi="Times New Roman"/>
                <w:sz w:val="17"/>
                <w:szCs w:val="17"/>
                <w:color w:val="auto"/>
              </w:rPr>
              <w:t>10.7†</w:t>
            </w:r>
          </w:p>
        </w:tc>
        <w:tc>
          <w:tcPr>
            <w:tcW w:w="2960" w:type="dxa"/>
            <w:vAlign w:val="bottom"/>
            <w:tcBorders>
              <w:top w:val="single" w:sz="8" w:color="0000FF"/>
            </w:tcBorders>
            <w:gridSpan w:val="5"/>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Form of Continuity Agreement</w:t>
              </w:r>
            </w:hyperlink>
          </w:p>
        </w:tc>
        <w:tc>
          <w:tcPr>
            <w:tcW w:w="14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080" w:type="dxa"/>
            <w:vAlign w:val="bottom"/>
          </w:tcPr>
          <w:p>
            <w:pPr>
              <w:jc w:val="center"/>
              <w:ind w:right="593"/>
              <w:spacing w:after="0"/>
              <w:rPr>
                <w:sz w:val="20"/>
                <w:szCs w:val="20"/>
                <w:color w:val="auto"/>
              </w:rPr>
            </w:pPr>
            <w:r>
              <w:rPr>
                <w:rFonts w:ascii="Times New Roman" w:cs="Times New Roman" w:eastAsia="Times New Roman" w:hAnsi="Times New Roman"/>
                <w:sz w:val="17"/>
                <w:szCs w:val="17"/>
                <w:color w:val="auto"/>
              </w:rPr>
              <w:t>10.8†</w:t>
            </w:r>
          </w:p>
        </w:tc>
        <w:tc>
          <w:tcPr>
            <w:tcW w:w="1900" w:type="dxa"/>
            <w:vAlign w:val="bottom"/>
            <w:tcBorders>
              <w:top w:val="single" w:sz="8" w:color="0000FF"/>
              <w:bottom w:val="single" w:sz="8" w:color="0000FF"/>
            </w:tcBorders>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2021 Equity Incentive Plan</w:t>
              </w:r>
            </w:hyperlink>
          </w:p>
        </w:tc>
        <w:tc>
          <w:tcPr>
            <w:tcW w:w="260" w:type="dxa"/>
            <w:vAlign w:val="bottom"/>
            <w:tcBorders>
              <w:top w:val="single" w:sz="8" w:color="0000FF"/>
            </w:tcBorders>
          </w:tcPr>
          <w:p>
            <w:pPr>
              <w:spacing w:after="0"/>
              <w:rPr>
                <w:sz w:val="19"/>
                <w:szCs w:val="19"/>
                <w:color w:val="auto"/>
              </w:rPr>
            </w:pPr>
          </w:p>
        </w:tc>
        <w:tc>
          <w:tcPr>
            <w:tcW w:w="22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080" w:type="dxa"/>
            <w:vAlign w:val="bottom"/>
            <w:vMerge w:val="restart"/>
          </w:tcPr>
          <w:p>
            <w:pPr>
              <w:jc w:val="center"/>
              <w:ind w:right="593"/>
              <w:spacing w:after="0"/>
              <w:rPr>
                <w:sz w:val="20"/>
                <w:szCs w:val="20"/>
                <w:color w:val="auto"/>
              </w:rPr>
            </w:pPr>
            <w:r>
              <w:rPr>
                <w:rFonts w:ascii="Times New Roman" w:cs="Times New Roman" w:eastAsia="Times New Roman" w:hAnsi="Times New Roman"/>
                <w:sz w:val="17"/>
                <w:szCs w:val="17"/>
                <w:color w:val="auto"/>
              </w:rPr>
              <w:t>10.9†</w:t>
            </w:r>
          </w:p>
        </w:tc>
        <w:tc>
          <w:tcPr>
            <w:tcW w:w="4380" w:type="dxa"/>
            <w:vAlign w:val="bottom"/>
            <w:gridSpan w:val="8"/>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Employment Agreement between the Company and Todd</w:t>
              </w:r>
            </w:hyperlink>
          </w:p>
        </w:tc>
        <w:tc>
          <w:tcPr>
            <w:tcW w:w="0" w:type="dxa"/>
            <w:vAlign w:val="bottom"/>
          </w:tcPr>
          <w:p>
            <w:pPr>
              <w:spacing w:after="0"/>
              <w:rPr>
                <w:sz w:val="1"/>
                <w:szCs w:val="1"/>
                <w:color w:val="auto"/>
              </w:rPr>
            </w:pPr>
          </w:p>
        </w:tc>
      </w:tr>
      <w:tr>
        <w:trPr>
          <w:trHeight w:val="110"/>
        </w:trPr>
        <w:tc>
          <w:tcPr>
            <w:tcW w:w="1080" w:type="dxa"/>
            <w:vAlign w:val="bottom"/>
            <w:vMerge w:val="continue"/>
          </w:tcPr>
          <w:p>
            <w:pPr>
              <w:spacing w:after="0"/>
              <w:rPr>
                <w:sz w:val="9"/>
                <w:szCs w:val="9"/>
                <w:color w:val="auto"/>
              </w:rPr>
            </w:pPr>
          </w:p>
        </w:tc>
        <w:tc>
          <w:tcPr>
            <w:tcW w:w="2560" w:type="dxa"/>
            <w:vAlign w:val="bottom"/>
            <w:tcBorders>
              <w:top w:val="single" w:sz="8" w:color="0000FF"/>
            </w:tcBorders>
            <w:gridSpan w:val="3"/>
            <w:vMerge w:val="restart"/>
          </w:tcPr>
          <w:p>
            <w:pPr>
              <w:spacing w:after="0" w:line="176"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Magazine, dated December 29, 2022</w:t>
              </w:r>
            </w:hyperlink>
          </w:p>
        </w:tc>
        <w:tc>
          <w:tcPr>
            <w:tcW w:w="1440" w:type="dxa"/>
            <w:vAlign w:val="bottom"/>
            <w:tcBorders>
              <w:top w:val="single" w:sz="8" w:color="0000FF"/>
            </w:tcBorders>
            <w:gridSpan w:val="3"/>
            <w:vMerge w:val="restart"/>
          </w:tcPr>
          <w:p>
            <w:pPr>
              <w:spacing w:after="0"/>
              <w:rPr>
                <w:sz w:val="9"/>
                <w:szCs w:val="9"/>
                <w:color w:val="auto"/>
              </w:rPr>
            </w:pPr>
          </w:p>
        </w:tc>
        <w:tc>
          <w:tcPr>
            <w:tcW w:w="38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080" w:type="dxa"/>
            <w:vAlign w:val="bottom"/>
          </w:tcPr>
          <w:p>
            <w:pPr>
              <w:spacing w:after="0"/>
              <w:rPr>
                <w:sz w:val="5"/>
                <w:szCs w:val="5"/>
                <w:color w:val="auto"/>
              </w:rPr>
            </w:pPr>
          </w:p>
        </w:tc>
        <w:tc>
          <w:tcPr>
            <w:tcW w:w="2560" w:type="dxa"/>
            <w:vAlign w:val="bottom"/>
            <w:tcBorders>
              <w:bottom w:val="single" w:sz="8" w:color="0000FF"/>
            </w:tcBorders>
            <w:gridSpan w:val="3"/>
            <w:vMerge w:val="continue"/>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700" w:type="dxa"/>
            <w:vAlign w:val="bottom"/>
          </w:tcPr>
          <w:p>
            <w:pPr>
              <w:jc w:val="center"/>
              <w:ind w:right="253"/>
              <w:spacing w:after="0"/>
              <w:rPr>
                <w:sz w:val="20"/>
                <w:szCs w:val="20"/>
                <w:color w:val="auto"/>
              </w:rPr>
            </w:pPr>
            <w:r>
              <w:rPr>
                <w:rFonts w:ascii="Times New Roman" w:cs="Times New Roman" w:eastAsia="Times New Roman" w:hAnsi="Times New Roman"/>
                <w:sz w:val="17"/>
                <w:szCs w:val="17"/>
                <w:color w:val="auto"/>
              </w:rPr>
              <w:t>10-Q</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001-40973</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10.3</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12/03/21</w:t>
            </w:r>
          </w:p>
        </w:tc>
      </w:tr>
      <w:tr>
        <w:trPr>
          <w:trHeight w:val="247"/>
        </w:trPr>
        <w:tc>
          <w:tcPr>
            <w:tcW w:w="700" w:type="dxa"/>
            <w:vAlign w:val="bottom"/>
          </w:tcPr>
          <w:p>
            <w:pPr>
              <w:jc w:val="center"/>
              <w:ind w:right="253"/>
              <w:spacing w:after="0"/>
              <w:rPr>
                <w:sz w:val="20"/>
                <w:szCs w:val="20"/>
                <w:color w:val="auto"/>
              </w:rPr>
            </w:pPr>
            <w:r>
              <w:rPr>
                <w:rFonts w:ascii="Times New Roman" w:cs="Times New Roman" w:eastAsia="Times New Roman" w:hAnsi="Times New Roman"/>
                <w:sz w:val="17"/>
                <w:szCs w:val="17"/>
                <w:color w:val="auto"/>
              </w:rPr>
              <w:t>10-Q</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001-40973</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10.4</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12/03/21</w:t>
            </w:r>
          </w:p>
        </w:tc>
      </w:tr>
      <w:tr>
        <w:trPr>
          <w:trHeight w:val="247"/>
        </w:trPr>
        <w:tc>
          <w:tcPr>
            <w:tcW w:w="700" w:type="dxa"/>
            <w:vAlign w:val="bottom"/>
          </w:tcPr>
          <w:p>
            <w:pPr>
              <w:jc w:val="center"/>
              <w:ind w:right="253"/>
              <w:spacing w:after="0"/>
              <w:rPr>
                <w:sz w:val="20"/>
                <w:szCs w:val="20"/>
                <w:color w:val="auto"/>
              </w:rPr>
            </w:pPr>
            <w:r>
              <w:rPr>
                <w:rFonts w:ascii="Times New Roman" w:cs="Times New Roman" w:eastAsia="Times New Roman" w:hAnsi="Times New Roman"/>
                <w:sz w:val="17"/>
                <w:szCs w:val="17"/>
                <w:color w:val="auto"/>
              </w:rPr>
              <w:t>10-Q</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001-40973</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10.6</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12/03/21</w:t>
            </w:r>
          </w:p>
        </w:tc>
      </w:tr>
      <w:tr>
        <w:trPr>
          <w:trHeight w:val="339"/>
        </w:trPr>
        <w:tc>
          <w:tcPr>
            <w:tcW w:w="700" w:type="dxa"/>
            <w:vAlign w:val="bottom"/>
          </w:tcPr>
          <w:p>
            <w:pPr>
              <w:jc w:val="center"/>
              <w:ind w:right="253"/>
              <w:spacing w:after="0"/>
              <w:rPr>
                <w:sz w:val="20"/>
                <w:szCs w:val="20"/>
                <w:color w:val="auto"/>
              </w:rPr>
            </w:pPr>
            <w:r>
              <w:rPr>
                <w:rFonts w:ascii="Times New Roman" w:cs="Times New Roman" w:eastAsia="Times New Roman" w:hAnsi="Times New Roman"/>
                <w:sz w:val="17"/>
                <w:szCs w:val="17"/>
                <w:color w:val="auto"/>
              </w:rPr>
              <w:t>8-K</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001-40973</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10.1</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01/06/23</w:t>
            </w:r>
          </w:p>
        </w:tc>
      </w:tr>
    </w:tbl>
    <w:p>
      <w:pPr>
        <w:spacing w:after="0" w:line="117" w:lineRule="exact"/>
        <w:rPr>
          <w:sz w:val="20"/>
          <w:szCs w:val="20"/>
          <w:color w:val="auto"/>
        </w:rPr>
      </w:pPr>
    </w:p>
    <w:p>
      <w:pPr>
        <w:sectPr>
          <w:pgSz w:w="11900" w:h="16838" w:orient="portrait"/>
          <w:cols w:equalWidth="0" w:num="2">
            <w:col w:w="6180" w:space="720"/>
            <w:col w:w="4340"/>
          </w:cols>
          <w:pgMar w:left="320" w:top="499"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34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auto"/>
              </w:rPr>
              <w:t>10.10†</w:t>
            </w:r>
          </w:p>
        </w:tc>
        <w:tc>
          <w:tcPr>
            <w:tcW w:w="320" w:type="dxa"/>
            <w:vAlign w:val="bottom"/>
          </w:tcPr>
          <w:p>
            <w:pPr>
              <w:spacing w:after="0"/>
              <w:rPr>
                <w:sz w:val="16"/>
                <w:szCs w:val="16"/>
                <w:color w:val="auto"/>
              </w:rPr>
            </w:pPr>
          </w:p>
        </w:tc>
        <w:tc>
          <w:tcPr>
            <w:tcW w:w="4860" w:type="dxa"/>
            <w:vAlign w:val="bottom"/>
            <w:gridSpan w:val="3"/>
          </w:tcPr>
          <w:p>
            <w:pPr>
              <w:spacing w:after="0"/>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Transition Services Agreement between the Company and Todd</w:t>
              </w:r>
            </w:hyperlink>
          </w:p>
        </w:tc>
        <w:tc>
          <w:tcPr>
            <w:tcW w:w="106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auto"/>
              </w:rPr>
              <w:t>8-K</w:t>
            </w:r>
          </w:p>
        </w:tc>
        <w:tc>
          <w:tcPr>
            <w:tcW w:w="144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color w:val="auto"/>
              </w:rPr>
              <w:t>001-40973</w:t>
            </w:r>
          </w:p>
        </w:tc>
        <w:tc>
          <w:tcPr>
            <w:tcW w:w="100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color w:val="auto"/>
              </w:rPr>
              <w:t>10.1</w:t>
            </w:r>
          </w:p>
        </w:tc>
        <w:tc>
          <w:tcPr>
            <w:tcW w:w="122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auto"/>
              </w:rPr>
              <w:t>08/09/24</w:t>
            </w:r>
          </w:p>
        </w:tc>
        <w:tc>
          <w:tcPr>
            <w:tcW w:w="0" w:type="dxa"/>
            <w:vAlign w:val="bottom"/>
          </w:tcPr>
          <w:p>
            <w:pPr>
              <w:spacing w:after="0"/>
              <w:rPr>
                <w:sz w:val="1"/>
                <w:szCs w:val="1"/>
                <w:color w:val="auto"/>
              </w:rPr>
            </w:pPr>
          </w:p>
        </w:tc>
      </w:tr>
      <w:tr>
        <w:trPr>
          <w:trHeight w:val="110"/>
        </w:trPr>
        <w:tc>
          <w:tcPr>
            <w:tcW w:w="1340" w:type="dxa"/>
            <w:vAlign w:val="bottom"/>
            <w:vMerge w:val="continue"/>
          </w:tcPr>
          <w:p>
            <w:pPr>
              <w:spacing w:after="0"/>
              <w:rPr>
                <w:sz w:val="9"/>
                <w:szCs w:val="9"/>
                <w:color w:val="auto"/>
              </w:rPr>
            </w:pPr>
          </w:p>
        </w:tc>
        <w:tc>
          <w:tcPr>
            <w:tcW w:w="320" w:type="dxa"/>
            <w:vAlign w:val="bottom"/>
            <w:vMerge w:val="restart"/>
          </w:tcPr>
          <w:p>
            <w:pPr>
              <w:spacing w:after="0"/>
              <w:rPr>
                <w:sz w:val="9"/>
                <w:szCs w:val="9"/>
                <w:color w:val="auto"/>
              </w:rPr>
            </w:pPr>
          </w:p>
        </w:tc>
        <w:tc>
          <w:tcPr>
            <w:tcW w:w="2260" w:type="dxa"/>
            <w:vAlign w:val="bottom"/>
            <w:tcBorders>
              <w:top w:val="single" w:sz="8" w:color="0000FF"/>
            </w:tcBorders>
            <w:vMerge w:val="restart"/>
          </w:tcPr>
          <w:p>
            <w:pPr>
              <w:spacing w:after="0" w:line="176"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Magazine, dated August 8, 2024</w:t>
              </w:r>
            </w:hyperlink>
          </w:p>
        </w:tc>
        <w:tc>
          <w:tcPr>
            <w:tcW w:w="2180" w:type="dxa"/>
            <w:vAlign w:val="bottom"/>
            <w:tcBorders>
              <w:top w:val="single" w:sz="8" w:color="0000FF"/>
            </w:tcBorders>
            <w:vMerge w:val="restart"/>
          </w:tcPr>
          <w:p>
            <w:pPr>
              <w:spacing w:after="0"/>
              <w:rPr>
                <w:sz w:val="9"/>
                <w:szCs w:val="9"/>
                <w:color w:val="auto"/>
              </w:rPr>
            </w:pPr>
          </w:p>
        </w:tc>
        <w:tc>
          <w:tcPr>
            <w:tcW w:w="420" w:type="dxa"/>
            <w:vAlign w:val="bottom"/>
            <w:vMerge w:val="restart"/>
          </w:tcPr>
          <w:p>
            <w:pPr>
              <w:spacing w:after="0"/>
              <w:rPr>
                <w:sz w:val="9"/>
                <w:szCs w:val="9"/>
                <w:color w:val="auto"/>
              </w:rPr>
            </w:pPr>
          </w:p>
        </w:tc>
        <w:tc>
          <w:tcPr>
            <w:tcW w:w="10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3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2260" w:type="dxa"/>
            <w:vAlign w:val="bottom"/>
            <w:tcBorders>
              <w:bottom w:val="single" w:sz="8" w:color="0000FF"/>
            </w:tcBorders>
            <w:vMerge w:val="continue"/>
          </w:tcPr>
          <w:p>
            <w:pPr>
              <w:spacing w:after="0"/>
              <w:rPr>
                <w:sz w:val="5"/>
                <w:szCs w:val="5"/>
                <w:color w:val="auto"/>
              </w:rPr>
            </w:pPr>
          </w:p>
        </w:tc>
        <w:tc>
          <w:tcPr>
            <w:tcW w:w="218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8"/>
        </w:trPr>
        <w:tc>
          <w:tcPr>
            <w:tcW w:w="1340" w:type="dxa"/>
            <w:vAlign w:val="bottom"/>
          </w:tcPr>
          <w:p>
            <w:pPr>
              <w:spacing w:after="0"/>
              <w:rPr>
                <w:sz w:val="24"/>
                <w:szCs w:val="24"/>
                <w:color w:val="auto"/>
              </w:rPr>
            </w:pPr>
          </w:p>
        </w:tc>
        <w:tc>
          <w:tcPr>
            <w:tcW w:w="47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106</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10.11†</w:t>
      </w:r>
    </w:p>
    <w:p>
      <w:pPr>
        <w:spacing w:after="0" w:line="2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10.12†</w:t>
      </w:r>
    </w:p>
    <w:p>
      <w:pPr>
        <w:spacing w:after="0" w:line="2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10.13†</w:t>
      </w:r>
    </w:p>
    <w:p>
      <w:pPr>
        <w:spacing w:after="0" w:line="2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10.14†</w:t>
      </w:r>
    </w:p>
    <w:p>
      <w:pPr>
        <w:spacing w:after="0" w:line="2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10.15†</w:t>
      </w:r>
    </w:p>
    <w:p>
      <w:pPr>
        <w:spacing w:after="0" w:line="2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10.16†</w:t>
      </w:r>
    </w:p>
    <w:p>
      <w:pPr>
        <w:spacing w:after="0" w:line="2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10.17†</w:t>
      </w:r>
    </w:p>
    <w:p>
      <w:pPr>
        <w:spacing w:after="0" w:line="3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10.18†</w:t>
      </w:r>
    </w:p>
    <w:p>
      <w:pPr>
        <w:spacing w:after="0" w:line="3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10.19†</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19.1</w:t>
      </w:r>
    </w:p>
    <w:p>
      <w:pPr>
        <w:spacing w:after="0" w:line="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21.1</w:t>
      </w:r>
    </w:p>
    <w:p>
      <w:pPr>
        <w:spacing w:after="0" w:line="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80"/>
        <w:spacing w:after="0" w:line="271" w:lineRule="auto"/>
        <w:rPr>
          <w:rFonts w:ascii="Times New Roman" w:cs="Times New Roman" w:eastAsia="Times New Roman" w:hAnsi="Times New Roman"/>
          <w:sz w:val="17"/>
          <w:szCs w:val="17"/>
          <w:u w:val="single" w:color="auto"/>
          <w:color w:val="0000FF"/>
        </w:rPr>
      </w:pPr>
      <w:hyperlink r:id="rId176">
        <w:r>
          <w:rPr>
            <w:rFonts w:ascii="Times New Roman" w:cs="Times New Roman" w:eastAsia="Times New Roman" w:hAnsi="Times New Roman"/>
            <w:sz w:val="17"/>
            <w:szCs w:val="17"/>
            <w:u w:val="single" w:color="auto"/>
            <w:color w:val="0000FF"/>
          </w:rPr>
          <w:t>Second Amended and Restated Employment Agreement between</w:t>
        </w:r>
      </w:hyperlink>
      <w:r>
        <w:rPr>
          <w:rFonts w:ascii="Times New Roman" w:cs="Times New Roman" w:eastAsia="Times New Roman" w:hAnsi="Times New Roman"/>
          <w:sz w:val="17"/>
          <w:szCs w:val="17"/>
          <w:u w:val="single" w:color="auto"/>
          <w:color w:val="0000FF"/>
        </w:rPr>
        <w:t xml:space="preserve"> </w:t>
      </w:r>
      <w:hyperlink r:id="rId176">
        <w:r>
          <w:rPr>
            <w:rFonts w:ascii="Times New Roman" w:cs="Times New Roman" w:eastAsia="Times New Roman" w:hAnsi="Times New Roman"/>
            <w:sz w:val="17"/>
            <w:szCs w:val="17"/>
            <w:u w:val="single" w:color="auto"/>
            <w:color w:val="0000FF"/>
          </w:rPr>
          <w:t>the Company and Dr. Rollins, dated January 3, 2023</w:t>
        </w:r>
      </w:hyperlink>
    </w:p>
    <w:p>
      <w:pPr>
        <w:spacing w:after="0" w:line="1" w:lineRule="exact"/>
        <w:rPr>
          <w:sz w:val="20"/>
          <w:szCs w:val="20"/>
          <w:color w:val="auto"/>
        </w:rPr>
      </w:pPr>
    </w:p>
    <w:p>
      <w:pPr>
        <w:ind w:right="380"/>
        <w:spacing w:after="0" w:line="271" w:lineRule="auto"/>
        <w:rPr>
          <w:rFonts w:ascii="Times New Roman" w:cs="Times New Roman" w:eastAsia="Times New Roman" w:hAnsi="Times New Roman"/>
          <w:sz w:val="17"/>
          <w:szCs w:val="17"/>
          <w:u w:val="single" w:color="auto"/>
          <w:color w:val="0000FF"/>
        </w:rPr>
      </w:pPr>
      <w:hyperlink r:id="rId177">
        <w:r>
          <w:rPr>
            <w:rFonts w:ascii="Times New Roman" w:cs="Times New Roman" w:eastAsia="Times New Roman" w:hAnsi="Times New Roman"/>
            <w:sz w:val="17"/>
            <w:szCs w:val="17"/>
            <w:u w:val="single" w:color="auto"/>
            <w:color w:val="0000FF"/>
          </w:rPr>
          <w:t>Amended and Restated Employment Agreement between EBS</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Enterprises, LLC and Dennis Dean</w:t>
        </w:r>
      </w:hyperlink>
    </w:p>
    <w:p>
      <w:pPr>
        <w:spacing w:after="0" w:line="1" w:lineRule="exact"/>
        <w:rPr>
          <w:sz w:val="20"/>
          <w:szCs w:val="20"/>
          <w:color w:val="auto"/>
        </w:rPr>
      </w:pPr>
    </w:p>
    <w:p>
      <w:pPr>
        <w:ind w:right="560"/>
        <w:spacing w:after="0" w:line="271" w:lineRule="auto"/>
        <w:rPr>
          <w:rFonts w:ascii="Times New Roman" w:cs="Times New Roman" w:eastAsia="Times New Roman" w:hAnsi="Times New Roman"/>
          <w:sz w:val="17"/>
          <w:szCs w:val="17"/>
          <w:u w:val="single" w:color="auto"/>
          <w:color w:val="0000FF"/>
        </w:rPr>
      </w:pPr>
      <w:hyperlink r:id="rId178">
        <w:r>
          <w:rPr>
            <w:rFonts w:ascii="Times New Roman" w:cs="Times New Roman" w:eastAsia="Times New Roman" w:hAnsi="Times New Roman"/>
            <w:sz w:val="17"/>
            <w:szCs w:val="17"/>
            <w:u w:val="single" w:color="auto"/>
            <w:color w:val="0000FF"/>
          </w:rPr>
          <w:t>Employment Agreement between the Company and Yogesh</w:t>
        </w:r>
      </w:hyperlink>
      <w:r>
        <w:rPr>
          <w:rFonts w:ascii="Times New Roman" w:cs="Times New Roman" w:eastAsia="Times New Roman" w:hAnsi="Times New Roman"/>
          <w:sz w:val="17"/>
          <w:szCs w:val="17"/>
          <w:u w:val="single" w:color="auto"/>
          <w:color w:val="0000FF"/>
        </w:rPr>
        <w:t xml:space="preserve"> </w:t>
      </w:r>
      <w:hyperlink r:id="rId178">
        <w:r>
          <w:rPr>
            <w:rFonts w:ascii="Times New Roman" w:cs="Times New Roman" w:eastAsia="Times New Roman" w:hAnsi="Times New Roman"/>
            <w:sz w:val="17"/>
            <w:szCs w:val="17"/>
            <w:u w:val="single" w:color="auto"/>
            <w:color w:val="0000FF"/>
          </w:rPr>
          <w:t>Jashnani, dated December 6, 2024</w:t>
        </w:r>
      </w:hyperlink>
    </w:p>
    <w:p>
      <w:pPr>
        <w:spacing w:after="0" w:line="1" w:lineRule="exact"/>
        <w:rPr>
          <w:sz w:val="20"/>
          <w:szCs w:val="20"/>
          <w:color w:val="auto"/>
        </w:rPr>
      </w:pPr>
    </w:p>
    <w:p>
      <w:pPr>
        <w:spacing w:after="0" w:line="271" w:lineRule="auto"/>
        <w:rPr>
          <w:rFonts w:ascii="Times New Roman" w:cs="Times New Roman" w:eastAsia="Times New Roman" w:hAnsi="Times New Roman"/>
          <w:sz w:val="17"/>
          <w:szCs w:val="17"/>
          <w:u w:val="single" w:color="auto"/>
          <w:color w:val="0000FF"/>
        </w:rPr>
      </w:pPr>
      <w:hyperlink r:id="rId179">
        <w:r>
          <w:rPr>
            <w:rFonts w:ascii="Times New Roman" w:cs="Times New Roman" w:eastAsia="Times New Roman" w:hAnsi="Times New Roman"/>
            <w:sz w:val="17"/>
            <w:szCs w:val="17"/>
            <w:u w:val="single" w:color="auto"/>
            <w:color w:val="0000FF"/>
          </w:rPr>
          <w:t>Form of AirSculpt Technologies, Inc. RSU Award Grant Notice and</w:t>
        </w:r>
      </w:hyperlink>
      <w:r>
        <w:rPr>
          <w:rFonts w:ascii="Times New Roman" w:cs="Times New Roman" w:eastAsia="Times New Roman" w:hAnsi="Times New Roman"/>
          <w:sz w:val="17"/>
          <w:szCs w:val="17"/>
          <w:u w:val="single" w:color="auto"/>
          <w:color w:val="0000FF"/>
        </w:rPr>
        <w:t xml:space="preserve"> </w:t>
      </w:r>
      <w:hyperlink r:id="rId179">
        <w:r>
          <w:rPr>
            <w:rFonts w:ascii="Times New Roman" w:cs="Times New Roman" w:eastAsia="Times New Roman" w:hAnsi="Times New Roman"/>
            <w:sz w:val="17"/>
            <w:szCs w:val="17"/>
            <w:u w:val="single" w:color="auto"/>
            <w:color w:val="0000FF"/>
          </w:rPr>
          <w:t>Award Agreement (IPO Grants)</w:t>
        </w:r>
      </w:hyperlink>
    </w:p>
    <w:p>
      <w:pPr>
        <w:spacing w:after="0" w:line="1" w:lineRule="exact"/>
        <w:rPr>
          <w:sz w:val="20"/>
          <w:szCs w:val="20"/>
          <w:color w:val="auto"/>
        </w:rPr>
      </w:pPr>
    </w:p>
    <w:p>
      <w:pPr>
        <w:ind w:right="20"/>
        <w:spacing w:after="0" w:line="271" w:lineRule="auto"/>
        <w:rPr>
          <w:rFonts w:ascii="Times New Roman" w:cs="Times New Roman" w:eastAsia="Times New Roman" w:hAnsi="Times New Roman"/>
          <w:sz w:val="17"/>
          <w:szCs w:val="17"/>
          <w:u w:val="single" w:color="auto"/>
          <w:color w:val="0000FF"/>
        </w:rPr>
      </w:pPr>
      <w:hyperlink r:id="rId180">
        <w:r>
          <w:rPr>
            <w:rFonts w:ascii="Times New Roman" w:cs="Times New Roman" w:eastAsia="Times New Roman" w:hAnsi="Times New Roman"/>
            <w:sz w:val="17"/>
            <w:szCs w:val="17"/>
            <w:u w:val="single" w:color="auto"/>
            <w:color w:val="0000FF"/>
          </w:rPr>
          <w:t>Form of AirSculpt Technologies, Inc. PSU Award Grant Notice and</w:t>
        </w:r>
      </w:hyperlink>
      <w:r>
        <w:rPr>
          <w:rFonts w:ascii="Times New Roman" w:cs="Times New Roman" w:eastAsia="Times New Roman" w:hAnsi="Times New Roman"/>
          <w:sz w:val="17"/>
          <w:szCs w:val="17"/>
          <w:u w:val="single" w:color="auto"/>
          <w:color w:val="0000FF"/>
        </w:rPr>
        <w:t xml:space="preserve"> </w:t>
      </w:r>
      <w:hyperlink r:id="rId180">
        <w:r>
          <w:rPr>
            <w:rFonts w:ascii="Times New Roman" w:cs="Times New Roman" w:eastAsia="Times New Roman" w:hAnsi="Times New Roman"/>
            <w:sz w:val="17"/>
            <w:szCs w:val="17"/>
            <w:u w:val="single" w:color="auto"/>
            <w:color w:val="0000FF"/>
          </w:rPr>
          <w:t>Award Agreement (IPO Grants)</w:t>
        </w:r>
      </w:hyperlink>
    </w:p>
    <w:p>
      <w:pPr>
        <w:spacing w:after="0" w:line="1" w:lineRule="exact"/>
        <w:rPr>
          <w:sz w:val="20"/>
          <w:szCs w:val="20"/>
          <w:color w:val="auto"/>
        </w:rPr>
      </w:pPr>
    </w:p>
    <w:p>
      <w:pPr>
        <w:ind w:right="420"/>
        <w:spacing w:after="0" w:line="271" w:lineRule="auto"/>
        <w:rPr>
          <w:rFonts w:ascii="Times New Roman" w:cs="Times New Roman" w:eastAsia="Times New Roman" w:hAnsi="Times New Roman"/>
          <w:sz w:val="17"/>
          <w:szCs w:val="17"/>
          <w:u w:val="single" w:color="auto"/>
          <w:color w:val="0000FF"/>
        </w:rPr>
      </w:pPr>
      <w:hyperlink r:id="rId181">
        <w:r>
          <w:rPr>
            <w:rFonts w:ascii="Times New Roman" w:cs="Times New Roman" w:eastAsia="Times New Roman" w:hAnsi="Times New Roman"/>
            <w:sz w:val="17"/>
            <w:szCs w:val="17"/>
            <w:u w:val="single" w:color="auto"/>
            <w:color w:val="0000FF"/>
          </w:rPr>
          <w:t>Form of AirSculpt Technologies, Inc. 2021 RSU Award Grant</w:t>
        </w:r>
      </w:hyperlink>
      <w:r>
        <w:rPr>
          <w:rFonts w:ascii="Times New Roman" w:cs="Times New Roman" w:eastAsia="Times New Roman" w:hAnsi="Times New Roman"/>
          <w:sz w:val="17"/>
          <w:szCs w:val="17"/>
          <w:u w:val="single" w:color="auto"/>
          <w:color w:val="0000FF"/>
        </w:rPr>
        <w:t xml:space="preserve"> </w:t>
      </w:r>
      <w:hyperlink r:id="rId181">
        <w:r>
          <w:rPr>
            <w:rFonts w:ascii="Times New Roman" w:cs="Times New Roman" w:eastAsia="Times New Roman" w:hAnsi="Times New Roman"/>
            <w:sz w:val="17"/>
            <w:szCs w:val="17"/>
            <w:u w:val="single" w:color="auto"/>
            <w:color w:val="0000FF"/>
          </w:rPr>
          <w:t>Notice and Award Agreement</w:t>
        </w:r>
      </w:hyperlink>
    </w:p>
    <w:p>
      <w:pPr>
        <w:spacing w:after="0" w:line="1" w:lineRule="exact"/>
        <w:rPr>
          <w:sz w:val="20"/>
          <w:szCs w:val="20"/>
          <w:color w:val="auto"/>
        </w:rPr>
      </w:pPr>
    </w:p>
    <w:p>
      <w:pPr>
        <w:ind w:right="160"/>
        <w:spacing w:after="0" w:line="271" w:lineRule="auto"/>
        <w:rPr>
          <w:rFonts w:ascii="Times New Roman" w:cs="Times New Roman" w:eastAsia="Times New Roman" w:hAnsi="Times New Roman"/>
          <w:sz w:val="17"/>
          <w:szCs w:val="17"/>
          <w:u w:val="single" w:color="auto"/>
          <w:color w:val="0000FF"/>
        </w:rPr>
      </w:pPr>
      <w:hyperlink r:id="rId182">
        <w:r>
          <w:rPr>
            <w:rFonts w:ascii="Times New Roman" w:cs="Times New Roman" w:eastAsia="Times New Roman" w:hAnsi="Times New Roman"/>
            <w:sz w:val="17"/>
            <w:szCs w:val="17"/>
            <w:u w:val="single" w:color="auto"/>
            <w:color w:val="0000FF"/>
          </w:rPr>
          <w:t>Employee Covenants Agreement, dated as of October 2, 2018, by</w:t>
        </w:r>
      </w:hyperlink>
      <w:r>
        <w:rPr>
          <w:rFonts w:ascii="Times New Roman" w:cs="Times New Roman" w:eastAsia="Times New Roman" w:hAnsi="Times New Roman"/>
          <w:sz w:val="17"/>
          <w:szCs w:val="17"/>
          <w:u w:val="single" w:color="auto"/>
          <w:color w:val="0000FF"/>
        </w:rPr>
        <w:t xml:space="preserve"> </w:t>
      </w:r>
      <w:hyperlink r:id="rId182">
        <w:r>
          <w:rPr>
            <w:rFonts w:ascii="Times New Roman" w:cs="Times New Roman" w:eastAsia="Times New Roman" w:hAnsi="Times New Roman"/>
            <w:sz w:val="17"/>
            <w:szCs w:val="17"/>
            <w:u w:val="single" w:color="auto"/>
            <w:color w:val="0000FF"/>
          </w:rPr>
          <w:t>and between EBS Enterprises, LLC and Dr. Aaron Rollins</w:t>
        </w:r>
      </w:hyperlink>
    </w:p>
    <w:p>
      <w:pPr>
        <w:spacing w:after="0" w:line="1" w:lineRule="exact"/>
        <w:rPr>
          <w:sz w:val="20"/>
          <w:szCs w:val="20"/>
          <w:color w:val="auto"/>
        </w:rPr>
      </w:pPr>
    </w:p>
    <w:p>
      <w:pPr>
        <w:ind w:right="140"/>
        <w:spacing w:after="0" w:line="259" w:lineRule="auto"/>
        <w:rPr>
          <w:rFonts w:ascii="Times New Roman" w:cs="Times New Roman" w:eastAsia="Times New Roman" w:hAnsi="Times New Roman"/>
          <w:sz w:val="17"/>
          <w:szCs w:val="17"/>
          <w:u w:val="single" w:color="auto"/>
          <w:color w:val="0000FF"/>
        </w:rPr>
      </w:pPr>
      <w:hyperlink r:id="rId183">
        <w:r>
          <w:rPr>
            <w:rFonts w:ascii="Times New Roman" w:cs="Times New Roman" w:eastAsia="Times New Roman" w:hAnsi="Times New Roman"/>
            <w:sz w:val="17"/>
            <w:szCs w:val="17"/>
            <w:u w:val="single" w:color="auto"/>
            <w:color w:val="0000FF"/>
          </w:rPr>
          <w:t>First Amendment to Employee Covenants Agreement, dated as of</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October 5, 2021, by and between EBS Enterprises, LLC and Dr.</w:t>
        </w:r>
      </w:hyperlink>
      <w:r>
        <w:rPr>
          <w:rFonts w:ascii="Times New Roman" w:cs="Times New Roman" w:eastAsia="Times New Roman" w:hAnsi="Times New Roman"/>
          <w:sz w:val="17"/>
          <w:szCs w:val="17"/>
          <w:u w:val="single" w:color="auto"/>
          <w:color w:val="0000FF"/>
        </w:rPr>
        <w:t xml:space="preserve"> </w:t>
      </w:r>
      <w:hyperlink r:id="rId183">
        <w:r>
          <w:rPr>
            <w:rFonts w:ascii="Times New Roman" w:cs="Times New Roman" w:eastAsia="Times New Roman" w:hAnsi="Times New Roman"/>
            <w:sz w:val="17"/>
            <w:szCs w:val="17"/>
            <w:u w:val="single" w:color="auto"/>
            <w:color w:val="0000FF"/>
          </w:rPr>
          <w:t>Aaron Rollins</w:t>
        </w:r>
      </w:hyperlink>
    </w:p>
    <w:p>
      <w:pPr>
        <w:spacing w:after="0" w:line="5" w:lineRule="exact"/>
        <w:rPr>
          <w:rFonts w:ascii="Times New Roman" w:cs="Times New Roman" w:eastAsia="Times New Roman" w:hAnsi="Times New Roman"/>
          <w:sz w:val="17"/>
          <w:szCs w:val="17"/>
          <w:u w:val="single" w:color="auto"/>
          <w:color w:val="0000FF"/>
        </w:rPr>
      </w:pPr>
    </w:p>
    <w:p>
      <w:pPr>
        <w:ind w:right="440"/>
        <w:spacing w:after="0" w:line="271" w:lineRule="auto"/>
        <w:rPr>
          <w:rFonts w:ascii="Times New Roman" w:cs="Times New Roman" w:eastAsia="Times New Roman" w:hAnsi="Times New Roman"/>
          <w:sz w:val="17"/>
          <w:szCs w:val="17"/>
          <w:u w:val="single" w:color="auto"/>
          <w:color w:val="0000FF"/>
        </w:rPr>
      </w:pPr>
      <w:hyperlink r:id="rId184">
        <w:r>
          <w:rPr>
            <w:rFonts w:ascii="Times New Roman" w:cs="Times New Roman" w:eastAsia="Times New Roman" w:hAnsi="Times New Roman"/>
            <w:sz w:val="17"/>
            <w:szCs w:val="17"/>
            <w:u w:val="single" w:color="auto"/>
            <w:color w:val="0000FF"/>
          </w:rPr>
          <w:t>Form of AirSculpt Technologies, Inc. 2022 PSU Award Grant</w:t>
        </w:r>
      </w:hyperlink>
      <w:r>
        <w:rPr>
          <w:rFonts w:ascii="Times New Roman" w:cs="Times New Roman" w:eastAsia="Times New Roman" w:hAnsi="Times New Roman"/>
          <w:sz w:val="17"/>
          <w:szCs w:val="17"/>
          <w:u w:val="single" w:color="auto"/>
          <w:color w:val="0000FF"/>
        </w:rPr>
        <w:t xml:space="preserve"> </w:t>
      </w:r>
      <w:hyperlink r:id="rId184">
        <w:r>
          <w:rPr>
            <w:rFonts w:ascii="Times New Roman" w:cs="Times New Roman" w:eastAsia="Times New Roman" w:hAnsi="Times New Roman"/>
            <w:sz w:val="17"/>
            <w:szCs w:val="17"/>
            <w:u w:val="single" w:color="auto"/>
            <w:color w:val="0000FF"/>
          </w:rPr>
          <w:t>Notice and Award Agreement</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Insider Trading Policy</w:t>
      </w:r>
    </w:p>
    <w:p>
      <w:pPr>
        <w:spacing w:after="0" w:line="52"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85">
        <w:r>
          <w:rPr>
            <w:rFonts w:ascii="Times New Roman" w:cs="Times New Roman" w:eastAsia="Times New Roman" w:hAnsi="Times New Roman"/>
            <w:sz w:val="17"/>
            <w:szCs w:val="17"/>
            <w:u w:val="single" w:color="auto"/>
            <w:color w:val="0000FF"/>
          </w:rPr>
          <w:t>List of Subsidiaries</w:t>
        </w:r>
      </w:hyperlink>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Grant Thornton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7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10.30</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01/06/23</w:t>
            </w:r>
          </w:p>
        </w:tc>
      </w:tr>
      <w:tr>
        <w:trPr>
          <w:trHeight w:val="443"/>
        </w:trPr>
        <w:tc>
          <w:tcPr>
            <w:tcW w:w="7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10.10</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12/03/21</w:t>
            </w:r>
          </w:p>
        </w:tc>
      </w:tr>
      <w:tr>
        <w:trPr>
          <w:trHeight w:val="443"/>
        </w:trPr>
        <w:tc>
          <w:tcPr>
            <w:tcW w:w="7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12/17/24</w:t>
            </w:r>
          </w:p>
        </w:tc>
      </w:tr>
      <w:tr>
        <w:trPr>
          <w:trHeight w:val="443"/>
        </w:trPr>
        <w:tc>
          <w:tcPr>
            <w:tcW w:w="7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12/03/21</w:t>
            </w:r>
          </w:p>
        </w:tc>
      </w:tr>
      <w:tr>
        <w:trPr>
          <w:trHeight w:val="443"/>
        </w:trPr>
        <w:tc>
          <w:tcPr>
            <w:tcW w:w="7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12/03/21</w:t>
            </w:r>
          </w:p>
        </w:tc>
      </w:tr>
      <w:tr>
        <w:trPr>
          <w:trHeight w:val="443"/>
        </w:trPr>
        <w:tc>
          <w:tcPr>
            <w:tcW w:w="7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12/03/21</w:t>
            </w:r>
          </w:p>
        </w:tc>
      </w:tr>
      <w:tr>
        <w:trPr>
          <w:trHeight w:val="443"/>
        </w:trPr>
        <w:tc>
          <w:tcPr>
            <w:tcW w:w="7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12/03/21</w:t>
            </w:r>
          </w:p>
        </w:tc>
      </w:tr>
      <w:tr>
        <w:trPr>
          <w:trHeight w:val="547"/>
        </w:trPr>
        <w:tc>
          <w:tcPr>
            <w:tcW w:w="7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10-Q</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10.14</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12/03/21</w:t>
            </w:r>
          </w:p>
        </w:tc>
      </w:tr>
      <w:tr>
        <w:trPr>
          <w:trHeight w:val="534"/>
        </w:trPr>
        <w:tc>
          <w:tcPr>
            <w:tcW w:w="7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8-K</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03/03/21</w:t>
            </w:r>
          </w:p>
        </w:tc>
      </w:tr>
      <w:tr>
        <w:trPr>
          <w:trHeight w:val="599"/>
        </w:trPr>
        <w:tc>
          <w:tcPr>
            <w:tcW w:w="7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w w:val="98"/>
              </w:rPr>
              <w:t>S-1/A</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333-260067</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21.1</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10/28/21</w:t>
            </w:r>
          </w:p>
        </w:tc>
      </w:tr>
    </w:tbl>
    <w:p>
      <w:pPr>
        <w:spacing w:after="0" w:line="268" w:lineRule="exact"/>
        <w:rPr>
          <w:sz w:val="20"/>
          <w:szCs w:val="20"/>
          <w:color w:val="auto"/>
        </w:rPr>
      </w:pPr>
    </w:p>
    <w:p>
      <w:pPr>
        <w:sectPr>
          <w:pgSz w:w="11900" w:h="16838" w:orient="portrait"/>
          <w:cols w:equalWidth="0" w:num="3">
            <w:col w:w="1240" w:space="440"/>
            <w:col w:w="4720" w:space="500"/>
            <w:col w:w="4100"/>
          </w:cols>
          <w:pgMar w:left="320" w:top="499" w:right="579" w:bottom="1440" w:gutter="0" w:footer="0" w:header="0"/>
        </w:sectPr>
      </w:pPr>
    </w:p>
    <w:tbl>
      <w:tblPr>
        <w:tblLayout w:type="fixed"/>
        <w:tblInd w:w="640" w:type="dxa"/>
        <w:tblCellMar>
          <w:top w:w="0" w:type="dxa"/>
          <w:left w:w="0" w:type="dxa"/>
          <w:bottom w:w="0" w:type="dxa"/>
          <w:right w:w="0" w:type="dxa"/>
        </w:tblCellMar>
      </w:tblPr>
      <w:tr>
        <w:trPr>
          <w:trHeight w:val="195"/>
        </w:trPr>
        <w:tc>
          <w:tcPr>
            <w:tcW w:w="104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auto"/>
                <w:w w:val="93"/>
              </w:rPr>
              <w:t>24.1</w:t>
            </w: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Power of Attorney (set forth on the signature page to this Annual</w:t>
            </w:r>
          </w:p>
        </w:tc>
        <w:tc>
          <w:tcPr>
            <w:tcW w:w="0" w:type="dxa"/>
            <w:vAlign w:val="bottom"/>
          </w:tcPr>
          <w:p>
            <w:pPr>
              <w:spacing w:after="0"/>
              <w:rPr>
                <w:sz w:val="1"/>
                <w:szCs w:val="1"/>
                <w:color w:val="auto"/>
              </w:rPr>
            </w:pPr>
          </w:p>
        </w:tc>
      </w:tr>
      <w:tr>
        <w:trPr>
          <w:trHeight w:val="122"/>
        </w:trPr>
        <w:tc>
          <w:tcPr>
            <w:tcW w:w="1040" w:type="dxa"/>
            <w:vAlign w:val="bottom"/>
            <w:vMerge w:val="continue"/>
          </w:tcPr>
          <w:p>
            <w:pPr>
              <w:spacing w:after="0"/>
              <w:rPr>
                <w:sz w:val="10"/>
                <w:szCs w:val="10"/>
                <w:color w:val="auto"/>
              </w:rPr>
            </w:pPr>
          </w:p>
        </w:tc>
        <w:tc>
          <w:tcPr>
            <w:tcW w:w="47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auto"/>
              </w:rPr>
              <w:t>Report on Form 10-K)</w:t>
            </w:r>
          </w:p>
        </w:tc>
        <w:tc>
          <w:tcPr>
            <w:tcW w:w="0" w:type="dxa"/>
            <w:vAlign w:val="bottom"/>
          </w:tcPr>
          <w:p>
            <w:pPr>
              <w:spacing w:after="0"/>
              <w:rPr>
                <w:sz w:val="1"/>
                <w:szCs w:val="1"/>
                <w:color w:val="auto"/>
              </w:rPr>
            </w:pPr>
          </w:p>
        </w:tc>
      </w:tr>
      <w:tr>
        <w:trPr>
          <w:trHeight w:val="104"/>
        </w:trPr>
        <w:tc>
          <w:tcPr>
            <w:tcW w:w="1040" w:type="dxa"/>
            <w:vAlign w:val="bottom"/>
          </w:tcPr>
          <w:p>
            <w:pPr>
              <w:spacing w:after="0"/>
              <w:rPr>
                <w:sz w:val="9"/>
                <w:szCs w:val="9"/>
                <w:color w:val="auto"/>
              </w:rPr>
            </w:pPr>
          </w:p>
        </w:tc>
        <w:tc>
          <w:tcPr>
            <w:tcW w:w="47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04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auto"/>
                <w:w w:val="93"/>
              </w:rPr>
              <w:t>31.1</w:t>
            </w: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required by Rule 13a-</w:t>
            </w:r>
          </w:p>
        </w:tc>
        <w:tc>
          <w:tcPr>
            <w:tcW w:w="0" w:type="dxa"/>
            <w:vAlign w:val="bottom"/>
          </w:tcPr>
          <w:p>
            <w:pPr>
              <w:spacing w:after="0"/>
              <w:rPr>
                <w:sz w:val="1"/>
                <w:szCs w:val="1"/>
                <w:color w:val="auto"/>
              </w:rPr>
            </w:pPr>
          </w:p>
        </w:tc>
      </w:tr>
      <w:tr>
        <w:trPr>
          <w:trHeight w:val="110"/>
        </w:trPr>
        <w:tc>
          <w:tcPr>
            <w:tcW w:w="1040" w:type="dxa"/>
            <w:vAlign w:val="bottom"/>
            <w:vMerge w:val="continue"/>
          </w:tcPr>
          <w:p>
            <w:pPr>
              <w:spacing w:after="0"/>
              <w:rPr>
                <w:sz w:val="9"/>
                <w:szCs w:val="9"/>
                <w:color w:val="auto"/>
              </w:rPr>
            </w:pPr>
          </w:p>
        </w:tc>
        <w:tc>
          <w:tcPr>
            <w:tcW w:w="1700" w:type="dxa"/>
            <w:vAlign w:val="bottom"/>
            <w:tcBorders>
              <w:top w:val="single" w:sz="8" w:color="0000FF"/>
            </w:tcBorders>
            <w:gridSpan w:val="2"/>
            <w:vMerge w:val="restart"/>
          </w:tcPr>
          <w:p>
            <w:pPr>
              <w:spacing w:after="0" w:line="176" w:lineRule="exact"/>
              <w:rPr>
                <w:sz w:val="20"/>
                <w:szCs w:val="20"/>
                <w:color w:val="auto"/>
              </w:rPr>
            </w:pPr>
            <w:r>
              <w:rPr>
                <w:rFonts w:ascii="Times New Roman" w:cs="Times New Roman" w:eastAsia="Times New Roman" w:hAnsi="Times New Roman"/>
                <w:sz w:val="17"/>
                <w:szCs w:val="17"/>
                <w:color w:val="0000FF"/>
              </w:rPr>
              <w:t>14(a) or Rule 15d-14(a).</w:t>
            </w:r>
          </w:p>
        </w:tc>
        <w:tc>
          <w:tcPr>
            <w:tcW w:w="2880" w:type="dxa"/>
            <w:vAlign w:val="bottom"/>
            <w:tcBorders>
              <w:top w:val="single" w:sz="8" w:color="0000FF"/>
            </w:tcBorders>
            <w:gridSpan w:val="2"/>
            <w:vMerge w:val="restart"/>
          </w:tcPr>
          <w:p>
            <w:pPr>
              <w:spacing w:after="0"/>
              <w:rPr>
                <w:sz w:val="9"/>
                <w:szCs w:val="9"/>
                <w:color w:val="auto"/>
              </w:rPr>
            </w:pPr>
          </w:p>
        </w:tc>
        <w:tc>
          <w:tcPr>
            <w:tcW w:w="18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040" w:type="dxa"/>
            <w:vAlign w:val="bottom"/>
          </w:tcPr>
          <w:p>
            <w:pPr>
              <w:spacing w:after="0"/>
              <w:rPr>
                <w:sz w:val="5"/>
                <w:szCs w:val="5"/>
                <w:color w:val="auto"/>
              </w:rPr>
            </w:pPr>
          </w:p>
        </w:tc>
        <w:tc>
          <w:tcPr>
            <w:tcW w:w="1700" w:type="dxa"/>
            <w:vAlign w:val="bottom"/>
            <w:tcBorders>
              <w:bottom w:val="single" w:sz="8" w:color="0000FF"/>
            </w:tcBorders>
            <w:gridSpan w:val="2"/>
            <w:vMerge w:val="continue"/>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04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auto"/>
                <w:w w:val="93"/>
              </w:rPr>
              <w:t>31.2</w:t>
            </w:r>
          </w:p>
        </w:tc>
        <w:tc>
          <w:tcPr>
            <w:tcW w:w="4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required by Rule 13a-</w:t>
            </w:r>
          </w:p>
        </w:tc>
        <w:tc>
          <w:tcPr>
            <w:tcW w:w="2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40" w:type="dxa"/>
            <w:vAlign w:val="bottom"/>
            <w:vMerge w:val="continue"/>
          </w:tcPr>
          <w:p>
            <w:pPr>
              <w:spacing w:after="0"/>
              <w:rPr>
                <w:sz w:val="9"/>
                <w:szCs w:val="9"/>
                <w:color w:val="auto"/>
              </w:rPr>
            </w:pPr>
          </w:p>
        </w:tc>
        <w:tc>
          <w:tcPr>
            <w:tcW w:w="1700" w:type="dxa"/>
            <w:vAlign w:val="bottom"/>
            <w:gridSpan w:val="2"/>
            <w:vMerge w:val="restart"/>
          </w:tcPr>
          <w:p>
            <w:pPr>
              <w:spacing w:after="0" w:line="176" w:lineRule="exact"/>
              <w:rPr>
                <w:sz w:val="20"/>
                <w:szCs w:val="20"/>
                <w:color w:val="auto"/>
              </w:rPr>
            </w:pPr>
            <w:r>
              <w:rPr>
                <w:rFonts w:ascii="Times New Roman" w:cs="Times New Roman" w:eastAsia="Times New Roman" w:hAnsi="Times New Roman"/>
                <w:sz w:val="17"/>
                <w:szCs w:val="17"/>
                <w:color w:val="0000FF"/>
              </w:rPr>
              <w:t>14(a) or Rule 15d-14(a).</w:t>
            </w:r>
          </w:p>
        </w:tc>
        <w:tc>
          <w:tcPr>
            <w:tcW w:w="3060" w:type="dxa"/>
            <w:vAlign w:val="bottom"/>
            <w:gridSpan w:val="4"/>
            <w:vMerge w:val="restart"/>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040" w:type="dxa"/>
            <w:vAlign w:val="bottom"/>
          </w:tcPr>
          <w:p>
            <w:pPr>
              <w:spacing w:after="0"/>
              <w:rPr>
                <w:sz w:val="5"/>
                <w:szCs w:val="5"/>
                <w:color w:val="auto"/>
              </w:rPr>
            </w:pPr>
          </w:p>
        </w:tc>
        <w:tc>
          <w:tcPr>
            <w:tcW w:w="1700" w:type="dxa"/>
            <w:vAlign w:val="bottom"/>
            <w:tcBorders>
              <w:bottom w:val="single" w:sz="8" w:color="0000FF"/>
            </w:tcBorders>
            <w:gridSpan w:val="2"/>
            <w:vMerge w:val="continue"/>
          </w:tcPr>
          <w:p>
            <w:pPr>
              <w:spacing w:after="0"/>
              <w:rPr>
                <w:sz w:val="5"/>
                <w:szCs w:val="5"/>
                <w:color w:val="auto"/>
              </w:rPr>
            </w:pPr>
          </w:p>
        </w:tc>
        <w:tc>
          <w:tcPr>
            <w:tcW w:w="30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04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auto"/>
                <w:w w:val="93"/>
              </w:rPr>
              <w:t>32.1</w:t>
            </w:r>
          </w:p>
        </w:tc>
        <w:tc>
          <w:tcPr>
            <w:tcW w:w="47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and the Chief Financial</w:t>
            </w:r>
          </w:p>
        </w:tc>
        <w:tc>
          <w:tcPr>
            <w:tcW w:w="0" w:type="dxa"/>
            <w:vAlign w:val="bottom"/>
          </w:tcPr>
          <w:p>
            <w:pPr>
              <w:spacing w:after="0"/>
              <w:rPr>
                <w:sz w:val="1"/>
                <w:szCs w:val="1"/>
                <w:color w:val="auto"/>
              </w:rPr>
            </w:pPr>
          </w:p>
        </w:tc>
      </w:tr>
      <w:tr>
        <w:trPr>
          <w:trHeight w:val="175"/>
        </w:trPr>
        <w:tc>
          <w:tcPr>
            <w:tcW w:w="1040" w:type="dxa"/>
            <w:vAlign w:val="bottom"/>
            <w:vMerge w:val="continue"/>
          </w:tcPr>
          <w:p>
            <w:pPr>
              <w:spacing w:after="0"/>
              <w:rPr>
                <w:sz w:val="15"/>
                <w:szCs w:val="15"/>
                <w:color w:val="auto"/>
              </w:rPr>
            </w:pPr>
          </w:p>
        </w:tc>
        <w:tc>
          <w:tcPr>
            <w:tcW w:w="4700" w:type="dxa"/>
            <w:vAlign w:val="bottom"/>
            <w:tcBorders>
              <w:top w:val="single" w:sz="8" w:color="0000FF"/>
              <w:bottom w:val="single" w:sz="8" w:color="0000FF"/>
            </w:tcBorders>
            <w:gridSpan w:val="5"/>
          </w:tcPr>
          <w:p>
            <w:pPr>
              <w:spacing w:after="0" w:line="176" w:lineRule="exact"/>
              <w:rPr>
                <w:sz w:val="20"/>
                <w:szCs w:val="20"/>
                <w:color w:val="auto"/>
              </w:rPr>
            </w:pPr>
            <w:r>
              <w:rPr>
                <w:rFonts w:ascii="Times New Roman" w:cs="Times New Roman" w:eastAsia="Times New Roman" w:hAnsi="Times New Roman"/>
                <w:sz w:val="17"/>
                <w:szCs w:val="17"/>
                <w:color w:val="0000FF"/>
              </w:rPr>
              <w:t>Officer required by Rule 13a-14(b) or Rule 15d-14(b) and 18 U.S.C.</w:t>
            </w:r>
          </w:p>
        </w:tc>
        <w:tc>
          <w:tcPr>
            <w:tcW w:w="60" w:type="dxa"/>
            <w:vAlign w:val="bottom"/>
            <w:tcBorders>
              <w:bottom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380" w:type="dxa"/>
            <w:vAlign w:val="bottom"/>
            <w:tcBorders>
              <w:bottom w:val="single" w:sz="8" w:color="0000FF"/>
            </w:tcBorders>
          </w:tcPr>
          <w:p>
            <w:pPr>
              <w:spacing w:after="0" w:line="176" w:lineRule="exact"/>
              <w:rPr>
                <w:sz w:val="20"/>
                <w:szCs w:val="20"/>
                <w:color w:val="auto"/>
              </w:rPr>
            </w:pPr>
            <w:r>
              <w:rPr>
                <w:rFonts w:ascii="Times New Roman" w:cs="Times New Roman" w:eastAsia="Times New Roman" w:hAnsi="Times New Roman"/>
                <w:sz w:val="17"/>
                <w:szCs w:val="17"/>
                <w:color w:val="0000FF"/>
                <w:w w:val="93"/>
              </w:rPr>
              <w:t>1350.</w:t>
            </w:r>
          </w:p>
        </w:tc>
        <w:tc>
          <w:tcPr>
            <w:tcW w:w="1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680" w:hanging="981"/>
        <w:spacing w:after="0"/>
        <w:tabs>
          <w:tab w:leader="none" w:pos="1680" w:val="left"/>
        </w:tabs>
        <w:numPr>
          <w:ilvl w:val="0"/>
          <w:numId w:val="69"/>
        </w:numPr>
        <w:rPr>
          <w:rFonts w:ascii="Times New Roman" w:cs="Times New Roman" w:eastAsia="Times New Roman" w:hAnsi="Times New Roman"/>
          <w:sz w:val="17"/>
          <w:szCs w:val="17"/>
          <w:u w:val="single" w:color="auto"/>
          <w:color w:val="0000FF"/>
        </w:rPr>
      </w:pPr>
      <w:hyperlink r:id="rId186">
        <w:r>
          <w:rPr>
            <w:rFonts w:ascii="Times New Roman" w:cs="Times New Roman" w:eastAsia="Times New Roman" w:hAnsi="Times New Roman"/>
            <w:sz w:val="17"/>
            <w:szCs w:val="17"/>
            <w:u w:val="single" w:color="auto"/>
            <w:color w:val="0000FF"/>
          </w:rPr>
          <w:t>Compensation Clawback Policy, effective as of October 2, 2023</w:t>
        </w:r>
      </w:hyperlink>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940" w:type="dxa"/>
            <w:vAlign w:val="bottom"/>
          </w:tcPr>
          <w:p>
            <w:pPr>
              <w:spacing w:after="0"/>
              <w:rPr>
                <w:sz w:val="16"/>
                <w:szCs w:val="16"/>
                <w:color w:val="auto"/>
              </w:rPr>
            </w:pPr>
          </w:p>
        </w:tc>
        <w:tc>
          <w:tcPr>
            <w:tcW w:w="50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Inline XBRL Instance (the instance document does not appear in the</w:t>
            </w:r>
          </w:p>
        </w:tc>
      </w:tr>
      <w:tr>
        <w:trPr>
          <w:trHeight w:val="195"/>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7"/>
                <w:szCs w:val="17"/>
                <w:color w:val="auto"/>
              </w:rPr>
              <w:t>101.INS</w:t>
            </w:r>
          </w:p>
        </w:tc>
        <w:tc>
          <w:tcPr>
            <w:tcW w:w="50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Interactive Data File because its XBRL tags are embedded within</w:t>
            </w:r>
          </w:p>
        </w:tc>
      </w:tr>
      <w:tr>
        <w:trPr>
          <w:trHeight w:val="227"/>
        </w:trPr>
        <w:tc>
          <w:tcPr>
            <w:tcW w:w="940" w:type="dxa"/>
            <w:vAlign w:val="bottom"/>
          </w:tcPr>
          <w:p>
            <w:pPr>
              <w:spacing w:after="0"/>
              <w:rPr>
                <w:sz w:val="19"/>
                <w:szCs w:val="19"/>
                <w:color w:val="auto"/>
              </w:rPr>
            </w:pPr>
          </w:p>
        </w:tc>
        <w:tc>
          <w:tcPr>
            <w:tcW w:w="50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the Inline XBRL document)</w:t>
            </w:r>
          </w:p>
        </w:tc>
      </w:tr>
      <w:tr>
        <w:trPr>
          <w:trHeight w:val="247"/>
        </w:trPr>
        <w:tc>
          <w:tcPr>
            <w:tcW w:w="94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101.SCH</w:t>
            </w:r>
          </w:p>
        </w:tc>
        <w:tc>
          <w:tcPr>
            <w:tcW w:w="50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Inline XBRL Taxonomy Extension Schema</w:t>
            </w:r>
          </w:p>
        </w:tc>
      </w:tr>
      <w:tr>
        <w:trPr>
          <w:trHeight w:val="247"/>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7"/>
                <w:szCs w:val="17"/>
                <w:color w:val="auto"/>
              </w:rPr>
              <w:t>101.CAL</w:t>
            </w:r>
          </w:p>
        </w:tc>
        <w:tc>
          <w:tcPr>
            <w:tcW w:w="50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Inline XBRL Taxonomy Extension Calculation</w:t>
            </w:r>
          </w:p>
        </w:tc>
      </w:tr>
      <w:tr>
        <w:trPr>
          <w:trHeight w:val="247"/>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7"/>
                <w:szCs w:val="17"/>
                <w:color w:val="auto"/>
              </w:rPr>
              <w:t>101.LAB</w:t>
            </w:r>
          </w:p>
        </w:tc>
        <w:tc>
          <w:tcPr>
            <w:tcW w:w="50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Inline XBRL Taxonomy Extension Labels</w:t>
            </w:r>
          </w:p>
        </w:tc>
      </w:tr>
      <w:tr>
        <w:trPr>
          <w:trHeight w:val="247"/>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7"/>
                <w:szCs w:val="17"/>
                <w:color w:val="auto"/>
              </w:rPr>
              <w:t>101.PRE</w:t>
            </w:r>
          </w:p>
        </w:tc>
        <w:tc>
          <w:tcPr>
            <w:tcW w:w="50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Inline XBRL Taxonomy Extension Presentation</w:t>
            </w:r>
          </w:p>
        </w:tc>
      </w:tr>
      <w:tr>
        <w:trPr>
          <w:trHeight w:val="899"/>
        </w:trPr>
        <w:tc>
          <w:tcPr>
            <w:tcW w:w="940" w:type="dxa"/>
            <w:vAlign w:val="bottom"/>
          </w:tcPr>
          <w:p>
            <w:pPr>
              <w:spacing w:after="0"/>
              <w:rPr>
                <w:sz w:val="24"/>
                <w:szCs w:val="24"/>
                <w:color w:val="auto"/>
              </w:rPr>
            </w:pPr>
          </w:p>
        </w:tc>
        <w:tc>
          <w:tcPr>
            <w:tcW w:w="5020" w:type="dxa"/>
            <w:vAlign w:val="bottom"/>
          </w:tcPr>
          <w:p>
            <w:pPr>
              <w:ind w:left="4100"/>
              <w:spacing w:after="0"/>
              <w:rPr>
                <w:sz w:val="20"/>
                <w:szCs w:val="20"/>
                <w:color w:val="auto"/>
              </w:rPr>
            </w:pPr>
            <w:r>
              <w:rPr>
                <w:rFonts w:ascii="Times New Roman" w:cs="Times New Roman" w:eastAsia="Times New Roman" w:hAnsi="Times New Roman"/>
                <w:sz w:val="17"/>
                <w:szCs w:val="17"/>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45085</wp:posOffset>
            </wp:positionV>
            <wp:extent cx="716280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820" w:val="left"/>
          <w:tab w:leader="none" w:pos="2460" w:val="left"/>
          <w:tab w:leader="none" w:pos="3440" w:val="left"/>
        </w:tabs>
        <w:rPr>
          <w:sz w:val="20"/>
          <w:szCs w:val="20"/>
          <w:color w:val="auto"/>
        </w:rPr>
      </w:pPr>
      <w:r>
        <w:rPr>
          <w:rFonts w:ascii="Times New Roman" w:cs="Times New Roman" w:eastAsia="Times New Roman" w:hAnsi="Times New Roman"/>
          <w:sz w:val="17"/>
          <w:szCs w:val="17"/>
          <w:color w:val="auto"/>
        </w:rPr>
        <w:t>10-K</w:t>
      </w:r>
      <w:r>
        <w:rPr>
          <w:sz w:val="20"/>
          <w:szCs w:val="20"/>
          <w:color w:val="auto"/>
        </w:rPr>
        <w:tab/>
      </w:r>
      <w:r>
        <w:rPr>
          <w:rFonts w:ascii="Times New Roman" w:cs="Times New Roman" w:eastAsia="Times New Roman" w:hAnsi="Times New Roman"/>
          <w:sz w:val="17"/>
          <w:szCs w:val="17"/>
          <w:color w:val="auto"/>
        </w:rPr>
        <w:t>001-40973</w:t>
      </w:r>
      <w:r>
        <w:rPr>
          <w:sz w:val="20"/>
          <w:szCs w:val="20"/>
          <w:color w:val="auto"/>
        </w:rPr>
        <w:tab/>
      </w:r>
      <w:r>
        <w:rPr>
          <w:rFonts w:ascii="Times New Roman" w:cs="Times New Roman" w:eastAsia="Times New Roman" w:hAnsi="Times New Roman"/>
          <w:sz w:val="17"/>
          <w:szCs w:val="17"/>
          <w:color w:val="auto"/>
        </w:rPr>
        <w:t>97</w:t>
      </w:r>
      <w:r>
        <w:rPr>
          <w:sz w:val="20"/>
          <w:szCs w:val="20"/>
          <w:color w:val="auto"/>
        </w:rPr>
        <w:tab/>
      </w:r>
      <w:r>
        <w:rPr>
          <w:rFonts w:ascii="Times New Roman" w:cs="Times New Roman" w:eastAsia="Times New Roman" w:hAnsi="Times New Roman"/>
          <w:sz w:val="17"/>
          <w:szCs w:val="17"/>
          <w:color w:val="auto"/>
        </w:rPr>
        <w:t>02/27/24</w:t>
      </w:r>
    </w:p>
    <w:p>
      <w:pPr>
        <w:sectPr>
          <w:pgSz w:w="11900" w:h="16838" w:orient="portrait"/>
          <w:cols w:equalWidth="0" w:num="2">
            <w:col w:w="6440" w:space="480"/>
            <w:col w:w="4080"/>
          </w:cols>
          <w:pgMar w:left="320" w:top="499" w:right="57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tabs>
          <w:tab w:leader="none" w:pos="1660" w:val="left"/>
        </w:tabs>
        <w:rPr>
          <w:sz w:val="20"/>
          <w:szCs w:val="20"/>
          <w:color w:val="auto"/>
        </w:rPr>
      </w:pPr>
      <w:r>
        <w:rPr>
          <w:rFonts w:ascii="Times New Roman" w:cs="Times New Roman" w:eastAsia="Times New Roman" w:hAnsi="Times New Roman"/>
          <w:sz w:val="17"/>
          <w:szCs w:val="17"/>
          <w:color w:val="auto"/>
        </w:rPr>
        <w:t>101.DEF</w:t>
      </w:r>
      <w:r>
        <w:rPr>
          <w:sz w:val="20"/>
          <w:szCs w:val="20"/>
          <w:color w:val="auto"/>
        </w:rPr>
        <w:tab/>
      </w:r>
      <w:r>
        <w:rPr>
          <w:rFonts w:ascii="Times New Roman" w:cs="Times New Roman" w:eastAsia="Times New Roman" w:hAnsi="Times New Roman"/>
          <w:sz w:val="17"/>
          <w:szCs w:val="17"/>
          <w:color w:val="auto"/>
        </w:rPr>
        <w:t>Inline XBRL Taxonomy Extension Definition</w:t>
      </w:r>
    </w:p>
    <w:p>
      <w:pPr>
        <w:spacing w:after="0" w:line="52" w:lineRule="exact"/>
        <w:rPr>
          <w:sz w:val="20"/>
          <w:szCs w:val="20"/>
          <w:color w:val="auto"/>
        </w:rPr>
      </w:pPr>
    </w:p>
    <w:p>
      <w:pPr>
        <w:ind w:left="1680" w:right="3979" w:hanging="1025"/>
        <w:spacing w:after="0" w:line="183" w:lineRule="auto"/>
        <w:tabs>
          <w:tab w:leader="none" w:pos="1680" w:val="left"/>
        </w:tabs>
        <w:numPr>
          <w:ilvl w:val="1"/>
          <w:numId w:val="70"/>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319" w:lineRule="exact"/>
        <w:rPr>
          <w:rFonts w:ascii="Times New Roman" w:cs="Times New Roman" w:eastAsia="Times New Roman" w:hAnsi="Times New Roman"/>
          <w:sz w:val="32"/>
          <w:szCs w:val="32"/>
          <w:color w:val="auto"/>
          <w:vertAlign w:val="subscript"/>
        </w:rPr>
      </w:pPr>
    </w:p>
    <w:p>
      <w:pPr>
        <w:ind w:left="140" w:hanging="136"/>
        <w:spacing w:after="0"/>
        <w:tabs>
          <w:tab w:leader="none" w:pos="140" w:val="left"/>
        </w:tabs>
        <w:numPr>
          <w:ilvl w:val="0"/>
          <w:numId w:val="7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Indicates a management or compensatory plan or arrangement in which directors or executive officers are eligible to participate.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AIRSCULPT TECHNOLOGIES, INC.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14, 2025</w:t>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By: /s/ Yogi Jashnani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-17145</wp:posOffset>
            </wp:positionV>
            <wp:extent cx="7759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ind w:left="4380"/>
        <w:spacing w:after="0"/>
        <w:rPr>
          <w:sz w:val="20"/>
          <w:szCs w:val="20"/>
          <w:color w:val="auto"/>
        </w:rPr>
      </w:pPr>
      <w:r>
        <w:rPr>
          <w:rFonts w:ascii="Times New Roman" w:cs="Times New Roman" w:eastAsia="Times New Roman" w:hAnsi="Times New Roman"/>
          <w:sz w:val="17"/>
          <w:szCs w:val="17"/>
          <w:color w:val="auto"/>
        </w:rPr>
        <w:t>Yogi Jashnani</w:t>
      </w:r>
    </w:p>
    <w:p>
      <w:pPr>
        <w:spacing w:after="0" w:line="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Chief Executive Officer</w:t>
      </w:r>
    </w:p>
    <w:p>
      <w:pPr>
        <w:ind w:left="43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Yogi Jashnani and Dennis Dean,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00"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716280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tc>
        <w:tc>
          <w:tcPr>
            <w:tcW w:w="4180" w:type="dxa"/>
            <w:vAlign w:val="bottom"/>
          </w:tcPr>
          <w:p>
            <w:pPr>
              <w:jc w:val="center"/>
              <w:ind w:left="173"/>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560" w:type="dxa"/>
            <w:vAlign w:val="bottom"/>
          </w:tcPr>
          <w:p>
            <w:pPr>
              <w:jc w:val="center"/>
              <w:ind w:left="373"/>
              <w:spacing w:after="0"/>
              <w:rPr>
                <w:sz w:val="20"/>
                <w:szCs w:val="20"/>
                <w:color w:val="auto"/>
              </w:rPr>
            </w:pPr>
            <w:r>
              <w:rPr>
                <w:rFonts w:ascii="Times New Roman" w:cs="Times New Roman" w:eastAsia="Times New Roman" w:hAnsi="Times New Roman"/>
                <w:sz w:val="17"/>
                <w:szCs w:val="17"/>
                <w:b w:val="1"/>
                <w:bCs w:val="1"/>
                <w:color w:val="auto"/>
                <w:w w:val="97"/>
              </w:rPr>
              <w:t>DATE</w:t>
            </w:r>
          </w:p>
        </w:tc>
      </w:tr>
      <w:tr>
        <w:trPr>
          <w:trHeight w:val="430"/>
        </w:trPr>
        <w:tc>
          <w:tcPr>
            <w:tcW w:w="4820" w:type="dxa"/>
            <w:vAlign w:val="bottom"/>
          </w:tcPr>
          <w:p>
            <w:pPr>
              <w:spacing w:after="0"/>
              <w:rPr>
                <w:sz w:val="24"/>
                <w:szCs w:val="24"/>
                <w:color w:val="auto"/>
              </w:rPr>
            </w:pPr>
          </w:p>
        </w:tc>
        <w:tc>
          <w:tcPr>
            <w:tcW w:w="418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Chief Executive Officer, Director</w:t>
            </w:r>
          </w:p>
        </w:tc>
        <w:tc>
          <w:tcPr>
            <w:tcW w:w="1560" w:type="dxa"/>
            <w:vAlign w:val="bottom"/>
          </w:tcPr>
          <w:p>
            <w:pPr>
              <w:spacing w:after="0"/>
              <w:rPr>
                <w:sz w:val="24"/>
                <w:szCs w:val="24"/>
                <w:color w:val="auto"/>
              </w:rPr>
            </w:pPr>
          </w:p>
        </w:tc>
      </w:tr>
      <w:tr>
        <w:trPr>
          <w:trHeight w:val="234"/>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Yogi Jashnani</w:t>
            </w:r>
          </w:p>
        </w:tc>
        <w:tc>
          <w:tcPr>
            <w:tcW w:w="418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56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March 14, 2025</w:t>
            </w:r>
          </w:p>
        </w:tc>
      </w:tr>
      <w:tr>
        <w:trPr>
          <w:trHeight w:val="220"/>
        </w:trPr>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Yogi Jashnani</w:t>
            </w:r>
          </w:p>
        </w:tc>
        <w:tc>
          <w:tcPr>
            <w:tcW w:w="41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25"/>
        </w:trPr>
        <w:tc>
          <w:tcPr>
            <w:tcW w:w="4820" w:type="dxa"/>
            <w:vAlign w:val="bottom"/>
          </w:tcPr>
          <w:p>
            <w:pPr>
              <w:spacing w:after="0"/>
              <w:rPr>
                <w:sz w:val="24"/>
                <w:szCs w:val="24"/>
                <w:color w:val="auto"/>
              </w:rPr>
            </w:pPr>
          </w:p>
        </w:tc>
        <w:tc>
          <w:tcPr>
            <w:tcW w:w="418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Chief Financial Officer (Principal Financial</w:t>
            </w:r>
          </w:p>
        </w:tc>
        <w:tc>
          <w:tcPr>
            <w:tcW w:w="1560" w:type="dxa"/>
            <w:vAlign w:val="bottom"/>
          </w:tcPr>
          <w:p>
            <w:pPr>
              <w:spacing w:after="0"/>
              <w:rPr>
                <w:sz w:val="24"/>
                <w:szCs w:val="24"/>
                <w:color w:val="auto"/>
              </w:rPr>
            </w:pPr>
          </w:p>
        </w:tc>
      </w:tr>
      <w:tr>
        <w:trPr>
          <w:trHeight w:val="234"/>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Dennis Dean</w:t>
            </w:r>
          </w:p>
        </w:tc>
        <w:tc>
          <w:tcPr>
            <w:tcW w:w="418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Officer)</w:t>
            </w:r>
          </w:p>
        </w:tc>
        <w:tc>
          <w:tcPr>
            <w:tcW w:w="156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March 14, 2025</w:t>
            </w:r>
          </w:p>
        </w:tc>
      </w:tr>
      <w:tr>
        <w:trPr>
          <w:trHeight w:val="220"/>
        </w:trPr>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Dennis Dean</w:t>
            </w:r>
          </w:p>
        </w:tc>
        <w:tc>
          <w:tcPr>
            <w:tcW w:w="41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25"/>
        </w:trPr>
        <w:tc>
          <w:tcPr>
            <w:tcW w:w="4820" w:type="dxa"/>
            <w:vAlign w:val="bottom"/>
          </w:tcPr>
          <w:p>
            <w:pPr>
              <w:spacing w:after="0"/>
              <w:rPr>
                <w:sz w:val="24"/>
                <w:szCs w:val="24"/>
                <w:color w:val="auto"/>
              </w:rPr>
            </w:pPr>
          </w:p>
        </w:tc>
        <w:tc>
          <w:tcPr>
            <w:tcW w:w="418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Chief Accounting Officer</w:t>
            </w:r>
          </w:p>
        </w:tc>
        <w:tc>
          <w:tcPr>
            <w:tcW w:w="1560" w:type="dxa"/>
            <w:vAlign w:val="bottom"/>
          </w:tcPr>
          <w:p>
            <w:pPr>
              <w:spacing w:after="0"/>
              <w:rPr>
                <w:sz w:val="24"/>
                <w:szCs w:val="24"/>
                <w:color w:val="auto"/>
              </w:rPr>
            </w:pPr>
          </w:p>
        </w:tc>
      </w:tr>
      <w:tr>
        <w:trPr>
          <w:trHeight w:val="234"/>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Philip Bodie</w:t>
            </w:r>
          </w:p>
        </w:tc>
        <w:tc>
          <w:tcPr>
            <w:tcW w:w="418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156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March 14, 2025</w:t>
            </w:r>
          </w:p>
        </w:tc>
      </w:tr>
      <w:tr>
        <w:trPr>
          <w:trHeight w:val="220"/>
        </w:trPr>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Philip Bodie</w:t>
            </w:r>
          </w:p>
        </w:tc>
        <w:tc>
          <w:tcPr>
            <w:tcW w:w="41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77"/>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Dr. Aaron Rollins</w:t>
            </w:r>
          </w:p>
        </w:tc>
        <w:tc>
          <w:tcPr>
            <w:tcW w:w="418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Executive Chairman of the Board</w:t>
            </w:r>
          </w:p>
        </w:tc>
        <w:tc>
          <w:tcPr>
            <w:tcW w:w="156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March 14, 2025</w:t>
            </w:r>
          </w:p>
        </w:tc>
      </w:tr>
      <w:tr>
        <w:trPr>
          <w:trHeight w:val="220"/>
        </w:trPr>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Dr. Aaron Rollins</w:t>
            </w:r>
          </w:p>
        </w:tc>
        <w:tc>
          <w:tcPr>
            <w:tcW w:w="41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77"/>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Adam Feinstein</w:t>
            </w:r>
          </w:p>
        </w:tc>
        <w:tc>
          <w:tcPr>
            <w:tcW w:w="418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Director</w:t>
            </w:r>
          </w:p>
        </w:tc>
        <w:tc>
          <w:tcPr>
            <w:tcW w:w="156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March 14, 2025</w:t>
            </w:r>
          </w:p>
        </w:tc>
      </w:tr>
      <w:tr>
        <w:trPr>
          <w:trHeight w:val="220"/>
        </w:trPr>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Adam Feinstein</w:t>
            </w:r>
          </w:p>
        </w:tc>
        <w:tc>
          <w:tcPr>
            <w:tcW w:w="41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77"/>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Daniel Sollof</w:t>
            </w:r>
          </w:p>
        </w:tc>
        <w:tc>
          <w:tcPr>
            <w:tcW w:w="418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Director</w:t>
            </w:r>
          </w:p>
        </w:tc>
        <w:tc>
          <w:tcPr>
            <w:tcW w:w="156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March 14, 2025</w:t>
            </w:r>
          </w:p>
        </w:tc>
      </w:tr>
      <w:tr>
        <w:trPr>
          <w:trHeight w:val="220"/>
        </w:trPr>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Daniel Sollof</w:t>
            </w:r>
          </w:p>
        </w:tc>
        <w:tc>
          <w:tcPr>
            <w:tcW w:w="41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77"/>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Caroline Chu</w:t>
            </w:r>
          </w:p>
        </w:tc>
        <w:tc>
          <w:tcPr>
            <w:tcW w:w="418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Director</w:t>
            </w:r>
          </w:p>
        </w:tc>
        <w:tc>
          <w:tcPr>
            <w:tcW w:w="156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March 14, 2025</w:t>
            </w:r>
          </w:p>
        </w:tc>
      </w:tr>
      <w:tr>
        <w:trPr>
          <w:trHeight w:val="220"/>
        </w:trPr>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Caroline Chu</w:t>
            </w:r>
          </w:p>
        </w:tc>
        <w:tc>
          <w:tcPr>
            <w:tcW w:w="41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77"/>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Thomas Aaron</w:t>
            </w:r>
          </w:p>
        </w:tc>
        <w:tc>
          <w:tcPr>
            <w:tcW w:w="418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Director</w:t>
            </w:r>
          </w:p>
        </w:tc>
        <w:tc>
          <w:tcPr>
            <w:tcW w:w="156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March 14, 2025</w:t>
            </w:r>
          </w:p>
        </w:tc>
      </w:tr>
      <w:tr>
        <w:trPr>
          <w:trHeight w:val="220"/>
        </w:trPr>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Thomas Aaron</w:t>
            </w:r>
          </w:p>
        </w:tc>
        <w:tc>
          <w:tcPr>
            <w:tcW w:w="41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77"/>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Kenneth Higgins</w:t>
            </w:r>
          </w:p>
        </w:tc>
        <w:tc>
          <w:tcPr>
            <w:tcW w:w="418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Director</w:t>
            </w:r>
          </w:p>
        </w:tc>
        <w:tc>
          <w:tcPr>
            <w:tcW w:w="1560" w:type="dxa"/>
            <w:vAlign w:val="bottom"/>
          </w:tcPr>
          <w:p>
            <w:pPr>
              <w:jc w:val="center"/>
              <w:ind w:left="373"/>
              <w:spacing w:after="0"/>
              <w:rPr>
                <w:sz w:val="20"/>
                <w:szCs w:val="20"/>
                <w:color w:val="auto"/>
              </w:rPr>
            </w:pPr>
            <w:r>
              <w:rPr>
                <w:rFonts w:ascii="Times New Roman" w:cs="Times New Roman" w:eastAsia="Times New Roman" w:hAnsi="Times New Roman"/>
                <w:sz w:val="17"/>
                <w:szCs w:val="17"/>
                <w:color w:val="auto"/>
              </w:rPr>
              <w:t>March 14, 2025</w:t>
            </w:r>
          </w:p>
        </w:tc>
      </w:tr>
      <w:tr>
        <w:trPr>
          <w:trHeight w:val="220"/>
        </w:trPr>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Kenneth Higgins</w:t>
            </w:r>
          </w:p>
        </w:tc>
        <w:tc>
          <w:tcPr>
            <w:tcW w:w="418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0560"/>
          </w:cols>
          <w:pgMar w:left="320" w:top="499" w:right="10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THIRD AMENDMENT TO CREDIT AGREEMENT</w:t>
      </w:r>
    </w:p>
    <w:p>
      <w:pPr>
        <w:spacing w:after="0" w:line="222" w:lineRule="exact"/>
        <w:rPr>
          <w:sz w:val="20"/>
          <w:szCs w:val="20"/>
          <w:color w:val="auto"/>
        </w:rPr>
      </w:pPr>
    </w:p>
    <w:p>
      <w:pPr>
        <w:jc w:val="both"/>
        <w:ind w:firstLine="625"/>
        <w:spacing w:after="0" w:line="260" w:lineRule="auto"/>
        <w:rPr>
          <w:sz w:val="20"/>
          <w:szCs w:val="20"/>
          <w:color w:val="auto"/>
        </w:rPr>
      </w:pPr>
      <w:r>
        <w:rPr>
          <w:rFonts w:ascii="Times New Roman" w:cs="Times New Roman" w:eastAsia="Times New Roman" w:hAnsi="Times New Roman"/>
          <w:sz w:val="19"/>
          <w:szCs w:val="19"/>
          <w:color w:val="auto"/>
        </w:rPr>
        <w:t>This Third Amendment to Credit Agreement, dated as of March 12, 2025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xml:space="preserve">”), by and among </w:t>
      </w:r>
      <w:r>
        <w:rPr>
          <w:rFonts w:ascii="Times New Roman" w:cs="Times New Roman" w:eastAsia="Times New Roman" w:hAnsi="Times New Roman"/>
          <w:sz w:val="19"/>
          <w:szCs w:val="19"/>
          <w:b w:val="1"/>
          <w:bCs w:val="1"/>
          <w:color w:val="auto"/>
        </w:rPr>
        <w:t>AIRSCULPT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TECHNOLOGIES, INC.</w:t>
      </w:r>
      <w:r>
        <w:rPr>
          <w:rFonts w:ascii="Times New Roman" w:cs="Times New Roman" w:eastAsia="Times New Roman" w:hAnsi="Times New Roman"/>
          <w:sz w:val="19"/>
          <w:szCs w:val="19"/>
          <w:color w:val="auto"/>
        </w:rPr>
        <w:t>, a Delaware corporation (“</w:t>
      </w:r>
      <w:r>
        <w:rPr>
          <w:rFonts w:ascii="Times New Roman" w:cs="Times New Roman" w:eastAsia="Times New Roman" w:hAnsi="Times New Roman"/>
          <w:sz w:val="19"/>
          <w:szCs w:val="19"/>
          <w:b w:val="1"/>
          <w:bCs w:val="1"/>
          <w:i w:val="1"/>
          <w:iCs w:val="1"/>
          <w:color w:val="auto"/>
        </w:rPr>
        <w:t>Holdings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EBS INTERMEDIATE PARENT LLC</w:t>
      </w:r>
      <w:r>
        <w:rPr>
          <w:rFonts w:ascii="Times New Roman" w:cs="Times New Roman" w:eastAsia="Times New Roman" w:hAnsi="Times New Roman"/>
          <w:sz w:val="19"/>
          <w:szCs w:val="19"/>
          <w:color w:val="auto"/>
        </w:rPr>
        <w:t>, a Delaware limited liability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Intermediate Holdings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EBS ENTERPRISES LLC</w:t>
      </w:r>
      <w:r>
        <w:rPr>
          <w:rFonts w:ascii="Times New Roman" w:cs="Times New Roman" w:eastAsia="Times New Roman" w:hAnsi="Times New Roman"/>
          <w:sz w:val="19"/>
          <w:szCs w:val="19"/>
          <w:color w:val="auto"/>
        </w:rPr>
        <w:t>, a Delaware limited liability company (the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xml:space="preserve">”), the Lenders party hereto and </w:t>
      </w:r>
      <w:r>
        <w:rPr>
          <w:rFonts w:ascii="Times New Roman" w:cs="Times New Roman" w:eastAsia="Times New Roman" w:hAnsi="Times New Roman"/>
          <w:sz w:val="19"/>
          <w:szCs w:val="19"/>
          <w:b w:val="1"/>
          <w:bCs w:val="1"/>
          <w:color w:val="auto"/>
        </w:rPr>
        <w:t>SILICON VALLEY BANK</w:t>
      </w:r>
      <w:r>
        <w:rPr>
          <w:rFonts w:ascii="Times New Roman" w:cs="Times New Roman" w:eastAsia="Times New Roman" w:hAnsi="Times New Roman"/>
          <w:sz w:val="19"/>
          <w:szCs w:val="19"/>
          <w:color w:val="auto"/>
        </w:rPr>
        <w:t>, a division of</w:t>
      </w:r>
      <w:r>
        <w:rPr>
          <w:rFonts w:ascii="Times New Roman" w:cs="Times New Roman" w:eastAsia="Times New Roman" w:hAnsi="Times New Roman"/>
          <w:sz w:val="19"/>
          <w:szCs w:val="19"/>
          <w:b w:val="1"/>
          <w:bCs w:val="1"/>
          <w:color w:val="auto"/>
        </w:rPr>
        <w:t xml:space="preserve"> FIRST-CITIZENS BANK &amp; TRUST COMPANY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SVB</w:t>
      </w:r>
      <w:r>
        <w:rPr>
          <w:rFonts w:ascii="Times New Roman" w:cs="Times New Roman" w:eastAsia="Times New Roman" w:hAnsi="Times New Roman"/>
          <w:sz w:val="19"/>
          <w:szCs w:val="19"/>
          <w:color w:val="auto"/>
        </w:rPr>
        <w:t>”), as Administrative Agent, Issuing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Lender and Swingline Lender.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W I T N E S S E T H:</w:t>
      </w:r>
    </w:p>
    <w:p>
      <w:pPr>
        <w:spacing w:after="0" w:line="213" w:lineRule="exact"/>
        <w:rPr>
          <w:sz w:val="20"/>
          <w:szCs w:val="20"/>
          <w:color w:val="auto"/>
        </w:rPr>
      </w:pPr>
    </w:p>
    <w:p>
      <w:pPr>
        <w:jc w:val="both"/>
        <w:ind w:firstLine="625"/>
        <w:spacing w:after="0" w:line="258" w:lineRule="auto"/>
        <w:rPr>
          <w:sz w:val="20"/>
          <w:szCs w:val="20"/>
          <w:color w:val="auto"/>
        </w:rPr>
      </w:pPr>
      <w:r>
        <w:rPr>
          <w:rFonts w:ascii="Times New Roman" w:cs="Times New Roman" w:eastAsia="Times New Roman" w:hAnsi="Times New Roman"/>
          <w:sz w:val="19"/>
          <w:szCs w:val="19"/>
          <w:color w:val="auto"/>
        </w:rPr>
        <w:t>WHEREAS, the parties hereto are party to that certain Credit Agreement, dated as of November 7, 2022 (as amended by that certain First Amendment and Limited Waiver to Credit Agreement, dated as of March 9, 2023, as amended by that certain Second Amendment to Credit Agreement, dated as of September 13, 2024 and as further amended, restated, amended and restated, modified or supplemented and in effect from time to time prior to the date hereof, the “</w:t>
      </w:r>
      <w:r>
        <w:rPr>
          <w:rFonts w:ascii="Times New Roman" w:cs="Times New Roman" w:eastAsia="Times New Roman" w:hAnsi="Times New Roman"/>
          <w:sz w:val="19"/>
          <w:szCs w:val="19"/>
          <w:b w:val="1"/>
          <w:bCs w:val="1"/>
          <w:i w:val="1"/>
          <w:iCs w:val="1"/>
          <w:color w:val="auto"/>
        </w:rPr>
        <w:t>Credit Agreement</w:t>
      </w:r>
      <w:r>
        <w:rPr>
          <w:rFonts w:ascii="Times New Roman" w:cs="Times New Roman" w:eastAsia="Times New Roman" w:hAnsi="Times New Roman"/>
          <w:sz w:val="19"/>
          <w:szCs w:val="19"/>
          <w:color w:val="auto"/>
        </w:rPr>
        <w:t>”) by and among the Borrower, Holdings, Intermediate Holdings, the Administrative Agent, and the several banks and other financial institutions or entities from time to time party thereto. All capitalized terms used herein and not otherwise defined shall have the same meaning herein as in the Credit Agreement;</w:t>
      </w:r>
    </w:p>
    <w:p>
      <w:pPr>
        <w:spacing w:after="0" w:line="180" w:lineRule="exact"/>
        <w:rPr>
          <w:sz w:val="20"/>
          <w:szCs w:val="20"/>
          <w:color w:val="auto"/>
        </w:rPr>
      </w:pPr>
    </w:p>
    <w:p>
      <w:pPr>
        <w:jc w:val="both"/>
        <w:ind w:firstLine="625"/>
        <w:spacing w:after="0" w:line="267" w:lineRule="auto"/>
        <w:rPr>
          <w:sz w:val="20"/>
          <w:szCs w:val="20"/>
          <w:color w:val="auto"/>
        </w:rPr>
      </w:pPr>
      <w:r>
        <w:rPr>
          <w:rFonts w:ascii="Times New Roman" w:cs="Times New Roman" w:eastAsia="Times New Roman" w:hAnsi="Times New Roman"/>
          <w:sz w:val="19"/>
          <w:szCs w:val="19"/>
          <w:color w:val="auto"/>
        </w:rPr>
        <w:t>WHEREAS, pursuant to Section 10.1(a) of the Credit Agreement, Holdings, Intermediate Holdings, the Borrower, the undersigned Lenders (including the Required Lenders) and the Administrative Agent have agreed to amend the Credit Agreement to, among other things, (a) amend Section 7.1 of the Credit Agreement and (b) effect such other amendments to the Credit Agreement as set forth herein;</w:t>
      </w:r>
    </w:p>
    <w:p>
      <w:pPr>
        <w:spacing w:after="0" w:line="169" w:lineRule="exact"/>
        <w:rPr>
          <w:sz w:val="20"/>
          <w:szCs w:val="20"/>
          <w:color w:val="auto"/>
        </w:rPr>
      </w:pPr>
    </w:p>
    <w:p>
      <w:pPr>
        <w:jc w:val="both"/>
        <w:ind w:firstLine="625"/>
        <w:spacing w:after="0" w:line="259" w:lineRule="auto"/>
        <w:rPr>
          <w:sz w:val="20"/>
          <w:szCs w:val="20"/>
          <w:color w:val="auto"/>
        </w:rPr>
      </w:pPr>
      <w:r>
        <w:rPr>
          <w:rFonts w:ascii="Times New Roman" w:cs="Times New Roman" w:eastAsia="Times New Roman" w:hAnsi="Times New Roman"/>
          <w:sz w:val="19"/>
          <w:szCs w:val="19"/>
          <w:color w:val="auto"/>
        </w:rPr>
        <w:t>WHEREAS, each Lender under the Credit Agreement immediately prior to the Third Amendment Effective Date (collectively, the “</w:t>
      </w:r>
      <w:r>
        <w:rPr>
          <w:rFonts w:ascii="Times New Roman" w:cs="Times New Roman" w:eastAsia="Times New Roman" w:hAnsi="Times New Roman"/>
          <w:sz w:val="19"/>
          <w:szCs w:val="19"/>
          <w:b w:val="1"/>
          <w:bCs w:val="1"/>
          <w:i w:val="1"/>
          <w:iCs w:val="1"/>
          <w:color w:val="auto"/>
        </w:rPr>
        <w:t>Existing Lenders</w:t>
      </w:r>
      <w:r>
        <w:rPr>
          <w:rFonts w:ascii="Times New Roman" w:cs="Times New Roman" w:eastAsia="Times New Roman" w:hAnsi="Times New Roman"/>
          <w:sz w:val="19"/>
          <w:szCs w:val="19"/>
          <w:color w:val="auto"/>
        </w:rPr>
        <w:t>”) that executes and delivers a “Consent” in the form attached hereto as Exhibit B (a “</w:t>
      </w:r>
      <w:r>
        <w:rPr>
          <w:rFonts w:ascii="Times New Roman" w:cs="Times New Roman" w:eastAsia="Times New Roman" w:hAnsi="Times New Roman"/>
          <w:sz w:val="19"/>
          <w:szCs w:val="19"/>
          <w:b w:val="1"/>
          <w:bCs w:val="1"/>
          <w:i w:val="1"/>
          <w:iCs w:val="1"/>
          <w:color w:val="auto"/>
        </w:rPr>
        <w:t>Lender Consent</w:t>
      </w:r>
      <w:r>
        <w:rPr>
          <w:rFonts w:ascii="Times New Roman" w:cs="Times New Roman" w:eastAsia="Times New Roman" w:hAnsi="Times New Roman"/>
          <w:sz w:val="19"/>
          <w:szCs w:val="19"/>
          <w:color w:val="auto"/>
        </w:rPr>
        <w:t>”, and each such Lender, a “</w:t>
      </w:r>
      <w:r>
        <w:rPr>
          <w:rFonts w:ascii="Times New Roman" w:cs="Times New Roman" w:eastAsia="Times New Roman" w:hAnsi="Times New Roman"/>
          <w:sz w:val="19"/>
          <w:szCs w:val="19"/>
          <w:b w:val="1"/>
          <w:bCs w:val="1"/>
          <w:i w:val="1"/>
          <w:iCs w:val="1"/>
          <w:color w:val="auto"/>
        </w:rPr>
        <w:t>Consenting Lender</w:t>
      </w:r>
      <w:r>
        <w:rPr>
          <w:rFonts w:ascii="Times New Roman" w:cs="Times New Roman" w:eastAsia="Times New Roman" w:hAnsi="Times New Roman"/>
          <w:sz w:val="19"/>
          <w:szCs w:val="19"/>
          <w:color w:val="auto"/>
        </w:rPr>
        <w:t>”) by 5:00 p.m. (New York City time), on March 12, 2025 (the “</w:t>
      </w:r>
      <w:r>
        <w:rPr>
          <w:rFonts w:ascii="Times New Roman" w:cs="Times New Roman" w:eastAsia="Times New Roman" w:hAnsi="Times New Roman"/>
          <w:sz w:val="19"/>
          <w:szCs w:val="19"/>
          <w:b w:val="1"/>
          <w:bCs w:val="1"/>
          <w:i w:val="1"/>
          <w:iCs w:val="1"/>
          <w:color w:val="auto"/>
        </w:rPr>
        <w:t>Consent Deadline</w:t>
      </w:r>
      <w:r>
        <w:rPr>
          <w:rFonts w:ascii="Times New Roman" w:cs="Times New Roman" w:eastAsia="Times New Roman" w:hAnsi="Times New Roman"/>
          <w:sz w:val="19"/>
          <w:szCs w:val="19"/>
          <w:color w:val="auto"/>
        </w:rPr>
        <w:t>”) hereby agrees to the terms and conditions of this Agreement;</w:t>
      </w:r>
    </w:p>
    <w:p>
      <w:pPr>
        <w:spacing w:after="0" w:line="177" w:lineRule="exact"/>
        <w:rPr>
          <w:sz w:val="20"/>
          <w:szCs w:val="20"/>
          <w:color w:val="auto"/>
        </w:rPr>
      </w:pPr>
    </w:p>
    <w:p>
      <w:pPr>
        <w:jc w:val="both"/>
        <w:ind w:firstLine="625"/>
        <w:spacing w:after="0" w:line="264" w:lineRule="auto"/>
        <w:rPr>
          <w:sz w:val="20"/>
          <w:szCs w:val="20"/>
          <w:color w:val="auto"/>
        </w:rPr>
      </w:pPr>
      <w:r>
        <w:rPr>
          <w:rFonts w:ascii="Times New Roman" w:cs="Times New Roman" w:eastAsia="Times New Roman" w:hAnsi="Times New Roman"/>
          <w:sz w:val="19"/>
          <w:szCs w:val="19"/>
          <w:color w:val="auto"/>
        </w:rPr>
        <w:t xml:space="preserve">WHEREAS, each Loan Party party hereto expects to realize substantial direct and indirect benefits as a result of this Agreement becoming effective and reaffirms in </w:t>
      </w:r>
      <w:r>
        <w:rPr>
          <w:rFonts w:ascii="Times New Roman" w:cs="Times New Roman" w:eastAsia="Times New Roman" w:hAnsi="Times New Roman"/>
          <w:sz w:val="19"/>
          <w:szCs w:val="19"/>
          <w:u w:val="single" w:color="auto"/>
          <w:color w:val="auto"/>
        </w:rPr>
        <w:t>Section 7(c)</w:t>
      </w:r>
      <w:r>
        <w:rPr>
          <w:rFonts w:ascii="Times New Roman" w:cs="Times New Roman" w:eastAsia="Times New Roman" w:hAnsi="Times New Roman"/>
          <w:sz w:val="19"/>
          <w:szCs w:val="19"/>
          <w:color w:val="auto"/>
        </w:rPr>
        <w:t xml:space="preserve"> of this Agreement its obligations under the Amended Credit Agreement (as defined below) and the other Loan Documents to which it is a party (the transactions described in the foregoing paragraphs, including entry into this Agreement and the payment of fees and expenses in connection herewith, are collectively referred to as the “</w:t>
      </w:r>
      <w:r>
        <w:rPr>
          <w:rFonts w:ascii="Times New Roman" w:cs="Times New Roman" w:eastAsia="Times New Roman" w:hAnsi="Times New Roman"/>
          <w:sz w:val="19"/>
          <w:szCs w:val="19"/>
          <w:b w:val="1"/>
          <w:bCs w:val="1"/>
          <w:i w:val="1"/>
          <w:iCs w:val="1"/>
          <w:color w:val="auto"/>
        </w:rPr>
        <w:t>Third Amendment Transactions</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WHEREAS, the Borrower has engaged SVB to act as sole lead arranger and bookrunner for this Agreement (the “</w:t>
      </w:r>
      <w:r>
        <w:rPr>
          <w:rFonts w:ascii="Times New Roman" w:cs="Times New Roman" w:eastAsia="Times New Roman" w:hAnsi="Times New Roman"/>
          <w:sz w:val="19"/>
          <w:szCs w:val="19"/>
          <w:b w:val="1"/>
          <w:bCs w:val="1"/>
          <w:i w:val="1"/>
          <w:iCs w:val="1"/>
          <w:color w:val="auto"/>
        </w:rPr>
        <w:t>Lead Arranger</w:t>
      </w:r>
      <w:r>
        <w:rPr>
          <w:rFonts w:ascii="Times New Roman" w:cs="Times New Roman" w:eastAsia="Times New Roman" w:hAnsi="Times New Roman"/>
          <w:sz w:val="19"/>
          <w:szCs w:val="19"/>
          <w:color w:val="auto"/>
        </w:rPr>
        <w:t>”); and</w:t>
      </w:r>
    </w:p>
    <w:p>
      <w:pPr>
        <w:spacing w:after="0" w:line="228" w:lineRule="exact"/>
        <w:rPr>
          <w:sz w:val="20"/>
          <w:szCs w:val="20"/>
          <w:color w:val="auto"/>
        </w:rPr>
      </w:pPr>
    </w:p>
    <w:p>
      <w:pPr>
        <w:jc w:val="both"/>
        <w:ind w:firstLine="625"/>
        <w:spacing w:after="0" w:line="277" w:lineRule="auto"/>
        <w:rPr>
          <w:sz w:val="20"/>
          <w:szCs w:val="20"/>
          <w:color w:val="auto"/>
        </w:rPr>
      </w:pPr>
      <w:r>
        <w:rPr>
          <w:rFonts w:ascii="Times New Roman" w:cs="Times New Roman" w:eastAsia="Times New Roman" w:hAnsi="Times New Roman"/>
          <w:sz w:val="19"/>
          <w:szCs w:val="19"/>
          <w:color w:val="auto"/>
        </w:rPr>
        <w:t>WHEREAS, the amendments to the Credit Agreement set forth below are subject to the satisfaction of the conditions precedent to effectiveness referred to herein and shall become effective as provided herein.</w:t>
      </w:r>
    </w:p>
    <w:p>
      <w:pPr>
        <w:spacing w:after="0" w:line="160" w:lineRule="exact"/>
        <w:rPr>
          <w:sz w:val="20"/>
          <w:szCs w:val="20"/>
          <w:color w:val="auto"/>
        </w:rPr>
      </w:pPr>
    </w:p>
    <w:p>
      <w:pPr>
        <w:jc w:val="both"/>
        <w:ind w:firstLine="625"/>
        <w:spacing w:after="0" w:line="292" w:lineRule="auto"/>
        <w:rPr>
          <w:sz w:val="20"/>
          <w:szCs w:val="20"/>
          <w:color w:val="auto"/>
        </w:rPr>
      </w:pPr>
      <w:r>
        <w:rPr>
          <w:rFonts w:ascii="Times New Roman" w:cs="Times New Roman" w:eastAsia="Times New Roman" w:hAnsi="Times New Roman"/>
          <w:sz w:val="19"/>
          <w:szCs w:val="19"/>
          <w:color w:val="auto"/>
        </w:rPr>
        <w:t>NOW, THEREFORE, for good and valuable consideration, the receipt and sufficiency of which is hereby acknowledged,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21" w:right="339" w:bottom="1440" w:gutter="0" w:footer="0" w:header="0"/>
        </w:sectPr>
      </w:pPr>
    </w:p>
    <w:bookmarkStart w:id="115" w:name="page116"/>
    <w:bookmarkEnd w:id="115"/>
    <w:p>
      <w:pPr>
        <w:ind w:left="1260" w:hanging="631"/>
        <w:spacing w:after="0"/>
        <w:tabs>
          <w:tab w:leader="none" w:pos="126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to the Credit Agreement</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jc w:val="both"/>
        <w:ind w:left="620" w:firstLine="634"/>
        <w:spacing w:after="0" w:line="220" w:lineRule="auto"/>
        <w:tabs>
          <w:tab w:leader="none" w:pos="1861"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satisfaction (or waiver by the Administrative Agent and the Lenders party hereto) of the conditions in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of this Agreement, the Credit Agreement is hereby amended by inserting the language indicated in double underlined text (indicated textually in the same manner as the following example: </w:t>
      </w:r>
      <w:r>
        <w:rPr>
          <w:rFonts w:ascii="Times New Roman" w:cs="Times New Roman" w:eastAsia="Times New Roman" w:hAnsi="Times New Roman"/>
          <w:sz w:val="19"/>
          <w:szCs w:val="19"/>
          <w:b w:val="1"/>
          <w:bCs w:val="1"/>
          <w:u w:val="single" w:color="auto"/>
          <w:color w:val="0000FF"/>
        </w:rPr>
        <w:t>underlined text</w:t>
      </w:r>
      <w:r>
        <w:rPr>
          <w:rFonts w:ascii="Times New Roman" w:cs="Times New Roman" w:eastAsia="Times New Roman" w:hAnsi="Times New Roman"/>
          <w:sz w:val="19"/>
          <w:szCs w:val="19"/>
          <w:color w:val="auto"/>
        </w:rPr>
        <w:t xml:space="preserve">)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hereto and by deleting the language indicated by strikethrough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in Exhibit A hereto (the Credit Agreement, as so amended, being referred to as the “</w:t>
      </w:r>
      <w:r>
        <w:rPr>
          <w:rFonts w:ascii="Times New Roman" w:cs="Times New Roman" w:eastAsia="Times New Roman" w:hAnsi="Times New Roman"/>
          <w:sz w:val="19"/>
          <w:szCs w:val="19"/>
          <w:b w:val="1"/>
          <w:bCs w:val="1"/>
          <w:i w:val="1"/>
          <w:iCs w:val="1"/>
          <w:color w:val="auto"/>
        </w:rPr>
        <w:t>Amended Credit Agreement</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jc w:val="both"/>
        <w:ind w:firstLine="629"/>
        <w:spacing w:after="0" w:line="229" w:lineRule="auto"/>
        <w:tabs>
          <w:tab w:leader="none" w:pos="125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Precedent to Effectiveness</w:t>
      </w:r>
      <w:r>
        <w:rPr>
          <w:rFonts w:ascii="Times New Roman" w:cs="Times New Roman" w:eastAsia="Times New Roman" w:hAnsi="Times New Roman"/>
          <w:sz w:val="19"/>
          <w:szCs w:val="19"/>
          <w:color w:val="auto"/>
        </w:rPr>
        <w:t>. The effectiveness of this Agreement is subject only to the satisfaction (or waiver by the Administrative Agent and the Lenders party hereto) of the following conditions precedent (the date on which such conditions have been satisfied (or waiver by the Administrative Agent and the Lenders party hereto), the “</w:t>
      </w:r>
      <w:r>
        <w:rPr>
          <w:rFonts w:ascii="Times New Roman" w:cs="Times New Roman" w:eastAsia="Times New Roman" w:hAnsi="Times New Roman"/>
          <w:sz w:val="19"/>
          <w:szCs w:val="19"/>
          <w:b w:val="1"/>
          <w:bCs w:val="1"/>
          <w:i w:val="1"/>
          <w:iCs w:val="1"/>
          <w:color w:val="auto"/>
        </w:rPr>
        <w:t>Third Amendment Effective Date</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jc w:val="both"/>
        <w:ind w:left="620" w:firstLine="634"/>
        <w:spacing w:after="0" w:line="259" w:lineRule="auto"/>
        <w:tabs>
          <w:tab w:leader="none" w:pos="1861"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Counterparts. </w:t>
      </w:r>
      <w:r>
        <w:rPr>
          <w:rFonts w:ascii="Times New Roman" w:cs="Times New Roman" w:eastAsia="Times New Roman" w:hAnsi="Times New Roman"/>
          <w:sz w:val="19"/>
          <w:szCs w:val="19"/>
          <w:color w:val="auto"/>
        </w:rPr>
        <w:t>The Administrative Agent shall have received (i) counterparts of this Agreement that, when taken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together, bear the signatures of Holdings, Intermediate Holdings, the Borrower and the Administrative Agent and (ii) from each Consenting Lender, a Lender Consent (including by way of facsimile or other electronic transmissions) by the Consent Deadline, which delivery by the terms of each Lender Consent shall be deemed to be execution and delivery of this Agreement and constitute irrevocable and unconditional approval of the terms hereof and the Amended Credit Agreement.</w:t>
      </w:r>
    </w:p>
    <w:p>
      <w:pPr>
        <w:spacing w:after="0" w:line="175" w:lineRule="exact"/>
        <w:rPr>
          <w:rFonts w:ascii="Times New Roman" w:cs="Times New Roman" w:eastAsia="Times New Roman" w:hAnsi="Times New Roman"/>
          <w:sz w:val="19"/>
          <w:szCs w:val="19"/>
          <w:color w:val="auto"/>
        </w:rPr>
      </w:pPr>
    </w:p>
    <w:p>
      <w:pPr>
        <w:jc w:val="both"/>
        <w:ind w:left="620" w:firstLine="634"/>
        <w:spacing w:after="0" w:line="259" w:lineRule="auto"/>
        <w:tabs>
          <w:tab w:leader="none" w:pos="1858"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Representations and Warranties</w:t>
      </w:r>
      <w:r>
        <w:rPr>
          <w:rFonts w:ascii="Times New Roman" w:cs="Times New Roman" w:eastAsia="Times New Roman" w:hAnsi="Times New Roman"/>
          <w:sz w:val="19"/>
          <w:szCs w:val="19"/>
          <w:color w:val="auto"/>
        </w:rPr>
        <w:t>. Each of the representations and warranties made by each Loan Party in or pursuant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in all respects, as applicable, as of such earlier date.</w:t>
      </w:r>
    </w:p>
    <w:p>
      <w:pPr>
        <w:spacing w:after="0" w:line="175" w:lineRule="exact"/>
        <w:rPr>
          <w:rFonts w:ascii="Times New Roman" w:cs="Times New Roman" w:eastAsia="Times New Roman" w:hAnsi="Times New Roman"/>
          <w:sz w:val="19"/>
          <w:szCs w:val="19"/>
          <w:color w:val="auto"/>
        </w:rPr>
      </w:pPr>
    </w:p>
    <w:p>
      <w:pPr>
        <w:ind w:left="620" w:firstLine="634"/>
        <w:spacing w:after="0" w:line="280" w:lineRule="auto"/>
        <w:tabs>
          <w:tab w:leader="none" w:pos="1861"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 Event of Default. </w:t>
      </w:r>
      <w:r>
        <w:rPr>
          <w:rFonts w:ascii="Times New Roman" w:cs="Times New Roman" w:eastAsia="Times New Roman" w:hAnsi="Times New Roman"/>
          <w:sz w:val="19"/>
          <w:szCs w:val="19"/>
          <w:color w:val="auto"/>
        </w:rPr>
        <w:t>As of the Third Amendment Effective Date and immediately after giving effect to this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the Third Amendment Transactions, no Default or Event of Default shall have occurred and be continuing.</w:t>
      </w:r>
    </w:p>
    <w:p>
      <w:pPr>
        <w:spacing w:after="0" w:line="154" w:lineRule="exact"/>
        <w:rPr>
          <w:rFonts w:ascii="Times New Roman" w:cs="Times New Roman" w:eastAsia="Times New Roman" w:hAnsi="Times New Roman"/>
          <w:sz w:val="19"/>
          <w:szCs w:val="19"/>
          <w:color w:val="auto"/>
        </w:rPr>
      </w:pPr>
    </w:p>
    <w:p>
      <w:pPr>
        <w:jc w:val="both"/>
        <w:ind w:left="620" w:firstLine="634"/>
        <w:spacing w:after="0" w:line="255" w:lineRule="auto"/>
        <w:tabs>
          <w:tab w:leader="none" w:pos="1858"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Secretary’s or Managing Member’s Certificates; Certified Operating Documents; Good Standing Certificates. </w:t>
      </w:r>
      <w:r>
        <w:rPr>
          <w:rFonts w:ascii="Times New Roman" w:cs="Times New Roman" w:eastAsia="Times New Roman" w:hAnsi="Times New Roman"/>
          <w:sz w:val="19"/>
          <w:szCs w:val="19"/>
          <w:color w:val="auto"/>
        </w:rPr>
        <w:t>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Administrative Agent shall have received (i) a certificate of each Loan Party, dated the Third Amendment Effective Date and executed by the Secretary, Managing Member or equivalent officer of such Loan Party, substantially in the form of Exhibit C to the Credit Agreement, with appropriate insertions and attachments, including (A) the Operating Documents of such Loan Party, or a certification that such Operating Documents have not changed since last delivered to Administrative Agent, and a certification that such documents are in full force and effect on and as of the Third Amendment Effective Date and no action for any amendment to such Operating Documents has been taken or is pending, (B) the relevant board resolutions or written consents of such Loan Party adopted by such Loan Party for the purposes of authorizing such Loan Party to enter into and perform this Agreement and (C) the names, titles, incumbency and signature specimens of those representatives of such Loan Party who have been authorized by such resolutions and/or written consents to execute Loan Documents on behalf of such Loan Party, and (ii) a long form good standing certificate for each Loan Party from its respective jurisdiction of organization.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54" w:right="339" w:bottom="1440" w:gutter="0" w:footer="0" w:header="0"/>
        </w:sectPr>
      </w:pPr>
    </w:p>
    <w:bookmarkStart w:id="116" w:name="page117"/>
    <w:bookmarkEnd w:id="116"/>
    <w:p>
      <w:pPr>
        <w:ind w:left="1880" w:hanging="626"/>
        <w:spacing w:after="0"/>
        <w:tabs>
          <w:tab w:leader="none" w:pos="188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Responsible Officer’s Certificates. </w:t>
      </w:r>
      <w:r>
        <w:rPr>
          <w:rFonts w:ascii="Times New Roman" w:cs="Times New Roman" w:eastAsia="Times New Roman" w:hAnsi="Times New Roman"/>
          <w:sz w:val="19"/>
          <w:szCs w:val="19"/>
          <w:color w:val="auto"/>
        </w:rPr>
        <w:t>The Administrative Agent shall have received a certificate of a Responsible Officer</w:t>
      </w:r>
    </w:p>
    <w:p>
      <w:pPr>
        <w:spacing w:after="0" w:line="44" w:lineRule="exact"/>
        <w:rPr>
          <w:sz w:val="20"/>
          <w:szCs w:val="20"/>
          <w:color w:val="auto"/>
        </w:rPr>
      </w:pPr>
    </w:p>
    <w:p>
      <w:pPr>
        <w:jc w:val="both"/>
        <w:ind w:left="620"/>
        <w:spacing w:after="0" w:line="267" w:lineRule="auto"/>
        <w:rPr>
          <w:sz w:val="20"/>
          <w:szCs w:val="20"/>
          <w:color w:val="auto"/>
        </w:rPr>
      </w:pPr>
      <w:r>
        <w:rPr>
          <w:rFonts w:ascii="Times New Roman" w:cs="Times New Roman" w:eastAsia="Times New Roman" w:hAnsi="Times New Roman"/>
          <w:sz w:val="19"/>
          <w:szCs w:val="19"/>
          <w:color w:val="auto"/>
        </w:rPr>
        <w:t xml:space="preserve">of the Borrower certifying that (A) the conditions set forth in </w:t>
      </w:r>
      <w:r>
        <w:rPr>
          <w:rFonts w:ascii="Times New Roman" w:cs="Times New Roman" w:eastAsia="Times New Roman" w:hAnsi="Times New Roman"/>
          <w:sz w:val="19"/>
          <w:szCs w:val="19"/>
          <w:u w:val="single" w:color="auto"/>
          <w:color w:val="auto"/>
        </w:rPr>
        <w:t>Sections 2(b)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of this Agreement have been satisfied and (B) there has been no event or circumstance since December 31, 2023, that has had or that could reasonably be expected to have, either individually or in the aggregate, a Material Adverse Effect.</w:t>
      </w:r>
    </w:p>
    <w:p>
      <w:pPr>
        <w:spacing w:after="0" w:line="154" w:lineRule="exact"/>
        <w:rPr>
          <w:sz w:val="20"/>
          <w:szCs w:val="20"/>
          <w:color w:val="auto"/>
        </w:rPr>
      </w:pPr>
    </w:p>
    <w:p>
      <w:pPr>
        <w:jc w:val="both"/>
        <w:ind w:left="620" w:firstLine="634"/>
        <w:spacing w:after="0" w:line="259" w:lineRule="auto"/>
        <w:tabs>
          <w:tab w:leader="none" w:pos="1866"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Patriot Act, Etc</w:t>
      </w:r>
      <w:r>
        <w:rPr>
          <w:rFonts w:ascii="Times New Roman" w:cs="Times New Roman" w:eastAsia="Times New Roman" w:hAnsi="Times New Roman"/>
          <w:sz w:val="19"/>
          <w:szCs w:val="19"/>
          <w:color w:val="auto"/>
        </w:rPr>
        <w:t>. The Administrative Agent and each Lender shall have received, prior to the Third Amendment Effective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Date, all documentation and other information requested to comply with applicable “know your customer” and anti-money-laundering rules and regulations, including the Patriot Act, and a properly completed and signed IRS Form W-8 or W-9, as applicable, for each Loan Party. To the extent any Loan Party qualifies as a “legal entity customer” under the Beneficial Ownership Regulation, the Administrative Agent shall have received a Beneficial Ownership Certification in relation to such Loan Party, to the extent reasonably requested in advance of the Third Amendment Effective Date.</w:t>
      </w:r>
    </w:p>
    <w:p>
      <w:pPr>
        <w:spacing w:after="0" w:line="174" w:lineRule="exact"/>
        <w:rPr>
          <w:rFonts w:ascii="Times New Roman" w:cs="Times New Roman" w:eastAsia="Times New Roman" w:hAnsi="Times New Roman"/>
          <w:sz w:val="19"/>
          <w:szCs w:val="19"/>
          <w:color w:val="auto"/>
        </w:rPr>
      </w:pPr>
    </w:p>
    <w:p>
      <w:pPr>
        <w:jc w:val="both"/>
        <w:ind w:left="620" w:firstLine="634"/>
        <w:spacing w:after="0" w:line="268" w:lineRule="auto"/>
        <w:tabs>
          <w:tab w:leader="none" w:pos="1858"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Fund Guarantee</w:t>
      </w:r>
      <w:r>
        <w:rPr>
          <w:rFonts w:ascii="Times New Roman" w:cs="Times New Roman" w:eastAsia="Times New Roman" w:hAnsi="Times New Roman"/>
          <w:sz w:val="19"/>
          <w:szCs w:val="19"/>
          <w:color w:val="auto"/>
        </w:rPr>
        <w:t>. The Administrative Agent shall have received an executed Limited Guarantee dated as of the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hereof from Vesey Street Capital Partners HealthCare Fund, L.P. and Vesey Street Capital Partners HealthCare Fund-A, L.P. in form and substance satisfactory to the Administrative Agent (the “</w:t>
      </w:r>
      <w:r>
        <w:rPr>
          <w:rFonts w:ascii="Times New Roman" w:cs="Times New Roman" w:eastAsia="Times New Roman" w:hAnsi="Times New Roman"/>
          <w:sz w:val="19"/>
          <w:szCs w:val="19"/>
          <w:b w:val="1"/>
          <w:bCs w:val="1"/>
          <w:i w:val="1"/>
          <w:iCs w:val="1"/>
          <w:color w:val="auto"/>
        </w:rPr>
        <w:t>Fund Guarantee</w:t>
      </w:r>
      <w:r>
        <w:rPr>
          <w:rFonts w:ascii="Times New Roman" w:cs="Times New Roman" w:eastAsia="Times New Roman" w:hAnsi="Times New Roman"/>
          <w:sz w:val="19"/>
          <w:szCs w:val="19"/>
          <w:color w:val="auto"/>
        </w:rPr>
        <w:t>”).</w:t>
      </w:r>
    </w:p>
    <w:p>
      <w:pPr>
        <w:spacing w:after="0" w:line="166" w:lineRule="exact"/>
        <w:rPr>
          <w:rFonts w:ascii="Times New Roman" w:cs="Times New Roman" w:eastAsia="Times New Roman" w:hAnsi="Times New Roman"/>
          <w:sz w:val="19"/>
          <w:szCs w:val="19"/>
          <w:color w:val="auto"/>
        </w:rPr>
      </w:pPr>
    </w:p>
    <w:p>
      <w:pPr>
        <w:jc w:val="both"/>
        <w:ind w:left="620" w:firstLine="634"/>
        <w:spacing w:after="0" w:line="259" w:lineRule="auto"/>
        <w:tabs>
          <w:tab w:leader="none" w:pos="1858"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Fees</w:t>
      </w:r>
      <w:r>
        <w:rPr>
          <w:rFonts w:ascii="Times New Roman" w:cs="Times New Roman" w:eastAsia="Times New Roman" w:hAnsi="Times New Roman"/>
          <w:sz w:val="19"/>
          <w:szCs w:val="19"/>
          <w:color w:val="auto"/>
        </w:rPr>
        <w:t>. The Lenders, the Lead Arranger and the Administrative Agent shall have received all fees required to be paid on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prior to the Third Amendment Effective Date (including pursuant to any letter agreement as have separately been agreed by Holdings and any of the Consenting Lenders and the Lead Arranger), and all reasonable and documented fees and expenses for which invoices have been presented (including the reasonable and documented fees and expenses of legal counsel to the Administrative Agent) for payment on or before the Third Amendment Effective Date.</w:t>
      </w:r>
    </w:p>
    <w:p>
      <w:pPr>
        <w:spacing w:after="0" w:line="175" w:lineRule="exact"/>
        <w:rPr>
          <w:rFonts w:ascii="Times New Roman" w:cs="Times New Roman" w:eastAsia="Times New Roman" w:hAnsi="Times New Roman"/>
          <w:sz w:val="19"/>
          <w:szCs w:val="19"/>
          <w:color w:val="auto"/>
        </w:rPr>
      </w:pPr>
    </w:p>
    <w:p>
      <w:pPr>
        <w:ind w:left="620" w:firstLine="634"/>
        <w:spacing w:after="0" w:line="280" w:lineRule="auto"/>
        <w:tabs>
          <w:tab w:leader="none" w:pos="1868"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Material Adverse Effect</w:t>
      </w:r>
      <w:r>
        <w:rPr>
          <w:rFonts w:ascii="Times New Roman" w:cs="Times New Roman" w:eastAsia="Times New Roman" w:hAnsi="Times New Roman"/>
          <w:sz w:val="19"/>
          <w:szCs w:val="19"/>
          <w:color w:val="auto"/>
        </w:rPr>
        <w:t>. There shall not have occurred since December 31, 2023 any event or condition that has had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could be reasonably expected to have, individually or in the aggregate, a Material Adverse Effect.</w:t>
      </w:r>
    </w:p>
    <w:p>
      <w:pPr>
        <w:spacing w:after="0" w:line="143" w:lineRule="exact"/>
        <w:rPr>
          <w:rFonts w:ascii="Times New Roman" w:cs="Times New Roman" w:eastAsia="Times New Roman" w:hAnsi="Times New Roman"/>
          <w:sz w:val="19"/>
          <w:szCs w:val="19"/>
          <w:color w:val="auto"/>
        </w:rPr>
      </w:pPr>
    </w:p>
    <w:p>
      <w:pPr>
        <w:jc w:val="both"/>
        <w:ind w:firstLine="629"/>
        <w:spacing w:after="0" w:line="229" w:lineRule="auto"/>
        <w:tabs>
          <w:tab w:leader="none" w:pos="125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w:t>
      </w:r>
      <w:r>
        <w:rPr>
          <w:rFonts w:ascii="Times New Roman" w:cs="Times New Roman" w:eastAsia="Times New Roman" w:hAnsi="Times New Roman"/>
          <w:sz w:val="19"/>
          <w:szCs w:val="19"/>
          <w:color w:val="auto"/>
        </w:rPr>
        <w:t>. In order to induce the other parties hereto to enter into this Agreement, to induce Lenders to consent to amend the Credit Agreement in the manner provided herein, each Loan Party represents and warrants to each Lender and the Administrative Agent that, after giving effect to this Agreement:</w:t>
      </w:r>
    </w:p>
    <w:p>
      <w:pPr>
        <w:spacing w:after="0" w:line="156" w:lineRule="exact"/>
        <w:rPr>
          <w:rFonts w:ascii="Times New Roman" w:cs="Times New Roman" w:eastAsia="Times New Roman" w:hAnsi="Times New Roman"/>
          <w:sz w:val="19"/>
          <w:szCs w:val="19"/>
          <w:color w:val="auto"/>
        </w:rPr>
      </w:pPr>
    </w:p>
    <w:p>
      <w:pPr>
        <w:jc w:val="both"/>
        <w:ind w:left="620" w:firstLine="634"/>
        <w:spacing w:after="0" w:line="226" w:lineRule="auto"/>
        <w:tabs>
          <w:tab w:leader="none" w:pos="1861"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set forth in Section 4 of the Credit Agreement are true and correct in all material respects on and as of the date hereof to the same extent as if made on and as of the date hereof, except to the extent such representations and warranties specifically relate to an earlier date, in which case such representations and warranties shall have been true and correct in all material respects on and as of such earlier date;</w:t>
      </w:r>
    </w:p>
    <w:p>
      <w:pPr>
        <w:spacing w:after="0" w:line="140" w:lineRule="exact"/>
        <w:rPr>
          <w:rFonts w:ascii="Times New Roman" w:cs="Times New Roman" w:eastAsia="Times New Roman" w:hAnsi="Times New Roman"/>
          <w:sz w:val="19"/>
          <w:szCs w:val="19"/>
          <w:color w:val="auto"/>
        </w:rPr>
      </w:pPr>
    </w:p>
    <w:p>
      <w:pPr>
        <w:ind w:left="620" w:firstLine="634"/>
        <w:spacing w:after="0" w:line="249" w:lineRule="auto"/>
        <w:tabs>
          <w:tab w:leader="none" w:pos="1858"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Default or Event of Default has occurred and is continuing or would result from the execution, delivery and performance of this Agreement; and</w:t>
      </w:r>
    </w:p>
    <w:p>
      <w:pPr>
        <w:spacing w:after="0" w:line="145" w:lineRule="exact"/>
        <w:rPr>
          <w:rFonts w:ascii="Times New Roman" w:cs="Times New Roman" w:eastAsia="Times New Roman" w:hAnsi="Times New Roman"/>
          <w:sz w:val="19"/>
          <w:szCs w:val="19"/>
          <w:color w:val="auto"/>
        </w:rPr>
      </w:pPr>
    </w:p>
    <w:p>
      <w:pPr>
        <w:jc w:val="both"/>
        <w:ind w:left="620" w:firstLine="634"/>
        <w:spacing w:after="0" w:line="226" w:lineRule="auto"/>
        <w:tabs>
          <w:tab w:leader="none" w:pos="1861"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has the power and authority, and the legal right, to make, deliver and perform this Agreement. Each Loan Party has taken all necessary organizational action to authorize the execution, delivery and performance of this Agreement. No Governmental Approval or consent or authorization of, filing with, notice to or other act by or in respect of, any other Person is required in connection with the execution, delivery, performance, validity 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1" w:right="339" w:bottom="1440" w:gutter="0" w:footer="0" w:header="0"/>
        </w:sectPr>
      </w:pPr>
    </w:p>
    <w:bookmarkStart w:id="117" w:name="page118"/>
    <w:bookmarkEnd w:id="117"/>
    <w:p>
      <w:pPr>
        <w:ind w:left="620"/>
        <w:spacing w:after="0"/>
        <w:rPr>
          <w:sz w:val="20"/>
          <w:szCs w:val="20"/>
          <w:color w:val="auto"/>
        </w:rPr>
      </w:pPr>
      <w:r>
        <w:rPr>
          <w:rFonts w:ascii="Times New Roman" w:cs="Times New Roman" w:eastAsia="Times New Roman" w:hAnsi="Times New Roman"/>
          <w:sz w:val="19"/>
          <w:szCs w:val="19"/>
          <w:color w:val="auto"/>
        </w:rPr>
        <w:t>enforceability of this Agreement. This Agreement has been duly executed and delivered on behalf of each Loan Party. This Agreement</w:t>
      </w:r>
    </w:p>
    <w:p>
      <w:pPr>
        <w:ind w:left="620"/>
        <w:spacing w:after="0" w:line="207" w:lineRule="auto"/>
        <w:rPr>
          <w:sz w:val="20"/>
          <w:szCs w:val="20"/>
          <w:color w:val="auto"/>
        </w:rPr>
      </w:pPr>
      <w:r>
        <w:rPr>
          <w:rFonts w:ascii="Times New Roman" w:cs="Times New Roman" w:eastAsia="Times New Roman" w:hAnsi="Times New Roman"/>
          <w:sz w:val="19"/>
          <w:szCs w:val="19"/>
          <w:color w:val="auto"/>
        </w:rPr>
        <w:t>constitutes a legal, valid and binding obligation of each Loan Party, enforceable against each such Loan Party in accordance with its terms, except as enforceability may be limited by applicable bankruptcy, insolvency, reorganization, moratorium or similar laws affecting the</w:t>
      </w:r>
    </w:p>
    <w:p>
      <w:pPr>
        <w:spacing w:after="0" w:line="1" w:lineRule="exact"/>
        <w:rPr>
          <w:sz w:val="20"/>
          <w:szCs w:val="20"/>
          <w:color w:val="auto"/>
        </w:rPr>
      </w:pPr>
    </w:p>
    <w:p>
      <w:pPr>
        <w:ind w:left="620"/>
        <w:spacing w:after="0" w:line="232" w:lineRule="auto"/>
        <w:rPr>
          <w:sz w:val="20"/>
          <w:szCs w:val="20"/>
          <w:color w:val="auto"/>
        </w:rPr>
      </w:pPr>
      <w:r>
        <w:rPr>
          <w:rFonts w:ascii="Times New Roman" w:cs="Times New Roman" w:eastAsia="Times New Roman" w:hAnsi="Times New Roman"/>
          <w:sz w:val="19"/>
          <w:szCs w:val="19"/>
          <w:color w:val="auto"/>
        </w:rPr>
        <w:t>enforcement of creditors’ rights generally and by general equitable principles (whether enforcement is sought by proceedings in equity or at law).</w:t>
      </w:r>
    </w:p>
    <w:p>
      <w:pPr>
        <w:spacing w:after="0" w:line="142" w:lineRule="exact"/>
        <w:rPr>
          <w:sz w:val="20"/>
          <w:szCs w:val="20"/>
          <w:color w:val="auto"/>
        </w:rPr>
      </w:pPr>
    </w:p>
    <w:p>
      <w:pPr>
        <w:ind w:firstLine="629"/>
        <w:spacing w:after="0" w:line="249" w:lineRule="auto"/>
        <w:tabs>
          <w:tab w:leader="none" w:pos="125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Submission to Jurisdiction; Waivers</w:t>
      </w:r>
      <w:r>
        <w:rPr>
          <w:rFonts w:ascii="Times New Roman" w:cs="Times New Roman" w:eastAsia="Times New Roman" w:hAnsi="Times New Roman"/>
          <w:sz w:val="19"/>
          <w:szCs w:val="19"/>
          <w:color w:val="auto"/>
        </w:rPr>
        <w:t xml:space="preserve">. The provisions of Sections 10.13 and 10.14 of the Credit Agreement are hereby incorporated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145" w:lineRule="exact"/>
        <w:rPr>
          <w:rFonts w:ascii="Times New Roman" w:cs="Times New Roman" w:eastAsia="Times New Roman" w:hAnsi="Times New Roman"/>
          <w:sz w:val="19"/>
          <w:szCs w:val="19"/>
          <w:color w:val="auto"/>
        </w:rPr>
      </w:pPr>
    </w:p>
    <w:p>
      <w:pPr>
        <w:jc w:val="both"/>
        <w:ind w:firstLine="629"/>
        <w:spacing w:after="0" w:line="216" w:lineRule="auto"/>
        <w:tabs>
          <w:tab w:leader="none" w:pos="125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 Execution</w:t>
      </w:r>
      <w:r>
        <w:rPr>
          <w:rFonts w:ascii="Times New Roman" w:cs="Times New Roman" w:eastAsia="Times New Roman" w:hAnsi="Times New Roman"/>
          <w:sz w:val="19"/>
          <w:szCs w:val="19"/>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 manually executed counterpart hereof. A set of the copies of this Agreement signed by all the parties shall be lodged with the Borrower and the Administrative Agent.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7" w:lineRule="exact"/>
        <w:rPr>
          <w:rFonts w:ascii="Times New Roman" w:cs="Times New Roman" w:eastAsia="Times New Roman" w:hAnsi="Times New Roman"/>
          <w:sz w:val="19"/>
          <w:szCs w:val="19"/>
          <w:color w:val="auto"/>
        </w:rPr>
      </w:pPr>
    </w:p>
    <w:p>
      <w:pPr>
        <w:ind w:left="1260" w:hanging="631"/>
        <w:spacing w:after="0"/>
        <w:tabs>
          <w:tab w:leader="none" w:pos="126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on Loan Documents; Limitation of Amendment; Reaffirmation</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color w:val="auto"/>
        </w:rPr>
      </w:pPr>
    </w:p>
    <w:p>
      <w:pPr>
        <w:jc w:val="both"/>
        <w:ind w:left="620" w:firstLine="634"/>
        <w:spacing w:after="0" w:line="219" w:lineRule="auto"/>
        <w:tabs>
          <w:tab w:leader="none" w:pos="1861"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terms, provisions and conditions of the Credit Agreement and each of the other Loan Documents, as amended hereby, shall be and remain in full force and effect in accordance with their respective terms and hereby are ratified and confirmed in all respects. The execution, delivery, and performance of this Agreement shall not operate, except as expressly set forth herein, as a modification or waiver of any right, power, or remedy of the Administrative Agent or any Lender under the Credit Agreement or any other Loan Document. Nothing herein shall be deemed to entitle the Borrower to a further consent to, or a further waiver, amendment, modification or other change of, any of the terms, conditions, obligations, covenants or agreements contained in the Credit Agreement or any other Loan Document in similar or different circumstances or excuse any non-compliance with the Loan Documents.</w:t>
      </w:r>
    </w:p>
    <w:p>
      <w:pPr>
        <w:spacing w:after="0" w:line="154" w:lineRule="exact"/>
        <w:rPr>
          <w:rFonts w:ascii="Times New Roman" w:cs="Times New Roman" w:eastAsia="Times New Roman" w:hAnsi="Times New Roman"/>
          <w:sz w:val="19"/>
          <w:szCs w:val="19"/>
          <w:color w:val="auto"/>
        </w:rPr>
      </w:pPr>
    </w:p>
    <w:p>
      <w:pPr>
        <w:jc w:val="both"/>
        <w:ind w:left="620" w:firstLine="634"/>
        <w:spacing w:after="0" w:line="226" w:lineRule="auto"/>
        <w:tabs>
          <w:tab w:leader="none" w:pos="1858"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Borrower, Holdings and Intermediate Holdings hereby agrees and acknowledges that the Lenders require and will require strict performance by the Loan Parties of all of their respective obligations, agreements and covenants contained in the Credit Agreement and the other Loan Documents, and no inaction or action regarding any Default or Event of Default is intended to be or shall be a waiver thereof.</w:t>
      </w:r>
    </w:p>
    <w:p>
      <w:pPr>
        <w:spacing w:after="0" w:line="140" w:lineRule="exact"/>
        <w:rPr>
          <w:rFonts w:ascii="Times New Roman" w:cs="Times New Roman" w:eastAsia="Times New Roman" w:hAnsi="Times New Roman"/>
          <w:sz w:val="19"/>
          <w:szCs w:val="19"/>
          <w:color w:val="auto"/>
        </w:rPr>
      </w:pPr>
    </w:p>
    <w:p>
      <w:pPr>
        <w:jc w:val="both"/>
        <w:ind w:left="620" w:firstLine="634"/>
        <w:spacing w:after="0" w:line="216" w:lineRule="auto"/>
        <w:tabs>
          <w:tab w:leader="none" w:pos="1861"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Borrower, Holdings and Intermediate Holdings, in its respective capacity as debtor, grantor, mortgagor, pledgor, guarantor, assignor, or in any other similar capacity in which such Loan Party grants liens, pledges or security interests in its property or otherwise acts as accommodation party, guarantor or indemnitor, as the case may be, hereby (i) ratifies and reaffirms all of its payment and performance obligations, contingent or otherwise, under each of the Loan Documents to which it is a party (after giving effect hereto) and (ii) to the extent such Loan Party granted liens on or security interests in or pledges over any of its property pursuant to any such Loan Document as security for or otherwise guaranteed the Obligations under or with respect to the Loan Documents, ratifies and reaffirms such guarantee and grant of security interests, liens and pledges and confirms and agrees that such guarantee includes, and such security interests, pledges and liens hereafter secure, all of the Obligations. The execution of this Agreement shall not operate as a waiver of any right, power or remedy of the Administrative Agent or the Lenders, constitute a waiver of any provision of any of the Loan Documents or serve to effect a novation of the Obligations. Nothing implied in this Agreement or in any other document contemplated hereby shall be construed as a release or other discharge 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53" w:right="339" w:bottom="1440" w:gutter="0" w:footer="0" w:header="0"/>
        </w:sectPr>
      </w:pPr>
    </w:p>
    <w:bookmarkStart w:id="118" w:name="page119"/>
    <w:bookmarkEnd w:id="118"/>
    <w:p>
      <w:pPr>
        <w:ind w:left="620"/>
        <w:spacing w:after="0" w:line="249" w:lineRule="auto"/>
        <w:rPr>
          <w:sz w:val="20"/>
          <w:szCs w:val="20"/>
          <w:color w:val="auto"/>
        </w:rPr>
      </w:pPr>
      <w:r>
        <w:rPr>
          <w:rFonts w:ascii="Times New Roman" w:cs="Times New Roman" w:eastAsia="Times New Roman" w:hAnsi="Times New Roman"/>
          <w:sz w:val="19"/>
          <w:szCs w:val="19"/>
          <w:color w:val="auto"/>
        </w:rPr>
        <w:t>any of the Loan Parties under any Loan Document from any of its obligations and liabilities as a borrower, guarantor or pledgor under any of the Loan Documents.</w:t>
      </w:r>
    </w:p>
    <w:p>
      <w:pPr>
        <w:spacing w:after="0" w:line="133" w:lineRule="exact"/>
        <w:rPr>
          <w:sz w:val="20"/>
          <w:szCs w:val="20"/>
          <w:color w:val="auto"/>
        </w:rPr>
      </w:pPr>
    </w:p>
    <w:p>
      <w:pPr>
        <w:jc w:val="both"/>
        <w:ind w:left="620" w:firstLine="634"/>
        <w:spacing w:after="0" w:line="226" w:lineRule="auto"/>
        <w:tabs>
          <w:tab w:leader="none" w:pos="1858"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and after the date hereof, each reference in the Credit Agreement to “this Agreement”, “hereunder”, “herein”, “hereof” or words of like import referring to the Credit Agreement, and each reference in the other Loan Documents to the “Credit Agreement”, “thereunder”, “therein”, “thereof” or words of like import referring to the Credit Agreement, shall mean and be a reference to the Credit Agreement as hereby amended.</w:t>
      </w:r>
    </w:p>
    <w:p>
      <w:pPr>
        <w:spacing w:after="0" w:line="153" w:lineRule="exact"/>
        <w:rPr>
          <w:rFonts w:ascii="Times New Roman" w:cs="Times New Roman" w:eastAsia="Times New Roman" w:hAnsi="Times New Roman"/>
          <w:sz w:val="19"/>
          <w:szCs w:val="19"/>
          <w:color w:val="auto"/>
        </w:rPr>
      </w:pPr>
    </w:p>
    <w:p>
      <w:pPr>
        <w:jc w:val="both"/>
        <w:ind w:left="620" w:firstLine="634"/>
        <w:spacing w:after="0" w:line="229" w:lineRule="auto"/>
        <w:tabs>
          <w:tab w:leader="none" w:pos="1861"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terms and conditions in any of the Loan Documents shall contradict or be in conflict with any terms or conditions of the Credit Agreement as hereby amended, such terms and conditions are hereby deemed modified or amended accordingly to reflect the terms and conditions of the Credit Agreement as hereby amended.</w:t>
      </w:r>
    </w:p>
    <w:p>
      <w:pPr>
        <w:spacing w:after="0" w:line="156" w:lineRule="exact"/>
        <w:rPr>
          <w:rFonts w:ascii="Times New Roman" w:cs="Times New Roman" w:eastAsia="Times New Roman" w:hAnsi="Times New Roman"/>
          <w:sz w:val="19"/>
          <w:szCs w:val="19"/>
          <w:color w:val="auto"/>
        </w:rPr>
      </w:pPr>
    </w:p>
    <w:p>
      <w:pPr>
        <w:jc w:val="both"/>
        <w:ind w:left="620" w:firstLine="634"/>
        <w:spacing w:after="0" w:line="229" w:lineRule="auto"/>
        <w:tabs>
          <w:tab w:leader="none" w:pos="1866"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parties hereto acknowledge and agree that this Agreement constitutes a “Loan Document” for all purposes of the Amended Credit Agreement and the other Loan Documents (it being understood that this Agreement may be amended or waived solely by the parties hereto in accordance with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of this Agreement).</w:t>
      </w:r>
    </w:p>
    <w:p>
      <w:pPr>
        <w:spacing w:after="0" w:line="156" w:lineRule="exact"/>
        <w:rPr>
          <w:rFonts w:ascii="Times New Roman" w:cs="Times New Roman" w:eastAsia="Times New Roman" w:hAnsi="Times New Roman"/>
          <w:sz w:val="19"/>
          <w:szCs w:val="19"/>
          <w:color w:val="auto"/>
        </w:rPr>
      </w:pPr>
    </w:p>
    <w:p>
      <w:pPr>
        <w:jc w:val="both"/>
        <w:ind w:firstLine="629"/>
        <w:spacing w:after="0" w:line="223" w:lineRule="auto"/>
        <w:tabs>
          <w:tab w:leader="none" w:pos="125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Expenses and Indemnity</w:t>
      </w:r>
      <w:r>
        <w:rPr>
          <w:rFonts w:ascii="Times New Roman" w:cs="Times New Roman" w:eastAsia="Times New Roman" w:hAnsi="Times New Roman"/>
          <w:sz w:val="19"/>
          <w:szCs w:val="19"/>
          <w:color w:val="auto"/>
        </w:rPr>
        <w:t>. The Borrower agrees to pay all reasonable out-of-pocket costs and expenses incurred by the Administrative Agent in connection with this Agreement and any other documents prepared in connection herewith, in each case to the extent required by Section 10.5 of the Credit Agreement. The Borrower hereby confirms that the indemnification provisions set forth in Section 10.5 of the Credit Agreement shall apply to this Agreement and such losses, claims, damages, liabilities, costs and expenses (as more fully set forth therein as applicable) which may arise herefrom or in connection herewith.</w:t>
      </w:r>
    </w:p>
    <w:p>
      <w:pPr>
        <w:spacing w:after="0" w:line="144" w:lineRule="exact"/>
        <w:rPr>
          <w:rFonts w:ascii="Times New Roman" w:cs="Times New Roman" w:eastAsia="Times New Roman" w:hAnsi="Times New Roman"/>
          <w:sz w:val="19"/>
          <w:szCs w:val="19"/>
          <w:color w:val="auto"/>
        </w:rPr>
      </w:pPr>
    </w:p>
    <w:p>
      <w:pPr>
        <w:jc w:val="both"/>
        <w:ind w:firstLine="629"/>
        <w:spacing w:after="0" w:line="218" w:lineRule="auto"/>
        <w:tabs>
          <w:tab w:leader="none" w:pos="125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Headings; Severability</w:t>
      </w:r>
      <w:r>
        <w:rPr>
          <w:rFonts w:ascii="Times New Roman" w:cs="Times New Roman" w:eastAsia="Times New Roman" w:hAnsi="Times New Roman"/>
          <w:sz w:val="19"/>
          <w:szCs w:val="19"/>
          <w:color w:val="auto"/>
        </w:rPr>
        <w:t>. This Agreement may not be amended nor may any provision hereof be waived except pursuant to a writing signed by Holdings, Intermediate Holdings, the Borrower and the Administrative Agent. The section headings used herein are for convenience of reference only, are not part of this Agreement and are not to affect the construction of, or to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 PAGES FOLLOW]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54" w:right="339" w:bottom="1440" w:gutter="0" w:footer="0" w:header="0"/>
        </w:sectPr>
      </w:pPr>
    </w:p>
    <w:bookmarkStart w:id="119" w:name="page120"/>
    <w:bookmarkEnd w:id="119"/>
    <w:p>
      <w:pPr>
        <w:ind w:firstLine="625"/>
        <w:spacing w:after="0" w:line="280"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duly executed and delivered by their proper and duly authorized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officers as of the day and year first above written.</w:t>
      </w:r>
    </w:p>
    <w:p>
      <w:pPr>
        <w:spacing w:after="0" w:line="15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b w:val="1"/>
          <w:bCs w:val="1"/>
          <w:color w:val="auto"/>
        </w:rPr>
        <w:t>AIRSCULPT TECHNOLOGIES, INC.,</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as Holdings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By: /s/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-7620</wp:posOffset>
            </wp:positionV>
            <wp:extent cx="8953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1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-17780</wp:posOffset>
            </wp:positionV>
            <wp:extent cx="7505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jc w:val="center"/>
        <w:ind w:right="26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-21590</wp:posOffset>
            </wp:positionV>
            <wp:extent cx="12496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b w:val="1"/>
          <w:bCs w:val="1"/>
          <w:color w:val="auto"/>
        </w:rPr>
        <w:t>EBS INTERMEDIATE PARENT LLC,</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as Intermediate Holdings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By: /s/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-7620</wp:posOffset>
            </wp:positionV>
            <wp:extent cx="8953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1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-17780</wp:posOffset>
            </wp:positionV>
            <wp:extent cx="7505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jc w:val="center"/>
        <w:ind w:right="26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-21590</wp:posOffset>
            </wp:positionV>
            <wp:extent cx="12496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b w:val="1"/>
          <w:bCs w:val="1"/>
          <w:color w:val="auto"/>
        </w:rPr>
        <w:t>EBS ENTERPRISES LLC,</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as the Borrower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By: /s/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-7620</wp:posOffset>
            </wp:positionV>
            <wp:extent cx="8953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895350" cy="8255"/>
                    </a:xfrm>
                    <a:prstGeom prst="rect">
                      <a:avLst/>
                    </a:prstGeom>
                    <a:noFill/>
                  </pic:spPr>
                </pic:pic>
              </a:graphicData>
            </a:graphic>
          </wp:anchor>
        </w:drawing>
      </w:r>
    </w:p>
    <w:p>
      <w:pPr>
        <w:spacing w:after="0" w:line="1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-17780</wp:posOffset>
            </wp:positionV>
            <wp:extent cx="7505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50570" cy="8255"/>
                    </a:xfrm>
                    <a:prstGeom prst="rect">
                      <a:avLst/>
                    </a:prstGeom>
                    <a:noFill/>
                  </pic:spPr>
                </pic:pic>
              </a:graphicData>
            </a:graphic>
          </wp:anchor>
        </w:drawing>
      </w:r>
    </w:p>
    <w:p>
      <w:pPr>
        <w:jc w:val="center"/>
        <w:ind w:right="26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-21590</wp:posOffset>
            </wp:positionV>
            <wp:extent cx="12496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Third Amendment to Credit Agreement]</w:t>
      </w:r>
    </w:p>
    <w:p>
      <w:pPr>
        <w:sectPr>
          <w:pgSz w:w="11900" w:h="16838" w:orient="portrait"/>
          <w:cols w:equalWidth="0" w:num="1">
            <w:col w:w="11240"/>
          </w:cols>
          <w:pgMar w:left="320" w:top="1378" w:right="339" w:bottom="1440" w:gutter="0" w:footer="0" w:header="0"/>
        </w:sectPr>
      </w:pPr>
    </w:p>
    <w:bookmarkStart w:id="120" w:name="page121"/>
    <w:bookmarkEnd w:id="120"/>
    <w:p>
      <w:pPr>
        <w:spacing w:after="0" w:line="199" w:lineRule="exact"/>
        <w:rPr>
          <w:sz w:val="20"/>
          <w:szCs w:val="20"/>
          <w:color w:val="auto"/>
        </w:rPr>
      </w:pPr>
    </w:p>
    <w:p>
      <w:pPr>
        <w:ind w:left="3260"/>
        <w:spacing w:after="0" w:line="280" w:lineRule="auto"/>
        <w:rPr>
          <w:sz w:val="20"/>
          <w:szCs w:val="20"/>
          <w:color w:val="auto"/>
        </w:rPr>
      </w:pPr>
      <w:r>
        <w:rPr>
          <w:rFonts w:ascii="Times New Roman" w:cs="Times New Roman" w:eastAsia="Times New Roman" w:hAnsi="Times New Roman"/>
          <w:sz w:val="19"/>
          <w:szCs w:val="19"/>
          <w:b w:val="1"/>
          <w:bCs w:val="1"/>
          <w:color w:val="auto"/>
        </w:rPr>
        <w:t>FIRST-CITIZENS BANK &amp; TRUST COMPANY</w:t>
      </w:r>
      <w:r>
        <w:rPr>
          <w:rFonts w:ascii="Times New Roman" w:cs="Times New Roman" w:eastAsia="Times New Roman" w:hAnsi="Times New Roman"/>
          <w:sz w:val="19"/>
          <w:szCs w:val="19"/>
          <w:color w:val="auto"/>
        </w:rPr>
        <w:t>, as the Administrative Agent and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By: /s/ Jason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-7620</wp:posOffset>
            </wp:positionV>
            <wp:extent cx="9556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955675" cy="8255"/>
                    </a:xfrm>
                    <a:prstGeom prst="rect">
                      <a:avLst/>
                    </a:prstGeom>
                    <a:noFill/>
                  </pic:spPr>
                </pic:pic>
              </a:graphicData>
            </a:graphic>
          </wp:anchor>
        </w:drawing>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Name: Jason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-21590</wp:posOffset>
            </wp:positionV>
            <wp:extent cx="8108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ind w:left="326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-17780</wp:posOffset>
            </wp:positionV>
            <wp:extent cx="10464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[Signature Page to Third Amendment to Credit Agreement]</w:t>
      </w:r>
    </w:p>
    <w:p>
      <w:pPr>
        <w:sectPr>
          <w:pgSz w:w="11900" w:h="16838" w:orient="portrait"/>
          <w:cols w:equalWidth="0" w:num="1">
            <w:col w:w="10000"/>
          </w:cols>
          <w:pgMar w:left="1440" w:top="1440" w:right="45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CONSENT TO THIRD AMENDMENT</w:t>
      </w: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CONSENT (this “</w:t>
      </w:r>
      <w:r>
        <w:rPr>
          <w:rFonts w:ascii="Times New Roman" w:cs="Times New Roman" w:eastAsia="Times New Roman" w:hAnsi="Times New Roman"/>
          <w:sz w:val="19"/>
          <w:szCs w:val="19"/>
          <w:b w:val="1"/>
          <w:bCs w:val="1"/>
          <w:i w:val="1"/>
          <w:iCs w:val="1"/>
          <w:color w:val="auto"/>
        </w:rPr>
        <w:t>Consent</w:t>
      </w:r>
      <w:r>
        <w:rPr>
          <w:rFonts w:ascii="Times New Roman" w:cs="Times New Roman" w:eastAsia="Times New Roman" w:hAnsi="Times New Roman"/>
          <w:sz w:val="19"/>
          <w:szCs w:val="19"/>
          <w:color w:val="auto"/>
        </w:rPr>
        <w:t>”) to Third Amendment to Credit Agreement, dated as of March 12, 2025 (the “</w:t>
      </w:r>
      <w:r>
        <w:rPr>
          <w:rFonts w:ascii="Times New Roman" w:cs="Times New Roman" w:eastAsia="Times New Roman" w:hAnsi="Times New Roman"/>
          <w:sz w:val="19"/>
          <w:szCs w:val="19"/>
          <w:b w:val="1"/>
          <w:bCs w:val="1"/>
          <w:i w:val="1"/>
          <w:iCs w:val="1"/>
          <w:color w:val="auto"/>
        </w:rPr>
        <w:t>Amendment</w:t>
      </w:r>
      <w:r>
        <w:rPr>
          <w:rFonts w:ascii="Times New Roman" w:cs="Times New Roman" w:eastAsia="Times New Roman" w:hAnsi="Times New Roman"/>
          <w:sz w:val="19"/>
          <w:szCs w:val="19"/>
          <w:color w:val="auto"/>
        </w:rPr>
        <w:t>”), by and among AIRSCULPT TECHNOLOGIES, INC., a Delaware corporation (“</w:t>
      </w:r>
      <w:r>
        <w:rPr>
          <w:rFonts w:ascii="Times New Roman" w:cs="Times New Roman" w:eastAsia="Times New Roman" w:hAnsi="Times New Roman"/>
          <w:sz w:val="19"/>
          <w:szCs w:val="19"/>
          <w:b w:val="1"/>
          <w:bCs w:val="1"/>
          <w:i w:val="1"/>
          <w:iCs w:val="1"/>
          <w:color w:val="auto"/>
        </w:rPr>
        <w:t>Holdings</w:t>
      </w:r>
      <w:r>
        <w:rPr>
          <w:rFonts w:ascii="Times New Roman" w:cs="Times New Roman" w:eastAsia="Times New Roman" w:hAnsi="Times New Roman"/>
          <w:sz w:val="19"/>
          <w:szCs w:val="19"/>
          <w:color w:val="auto"/>
        </w:rPr>
        <w:t>”), EBS INTERMEDIATE PARENT LLC, a Delaware limited liability company (“</w:t>
      </w:r>
      <w:r>
        <w:rPr>
          <w:rFonts w:ascii="Times New Roman" w:cs="Times New Roman" w:eastAsia="Times New Roman" w:hAnsi="Times New Roman"/>
          <w:sz w:val="19"/>
          <w:szCs w:val="19"/>
          <w:b w:val="1"/>
          <w:bCs w:val="1"/>
          <w:i w:val="1"/>
          <w:iCs w:val="1"/>
          <w:color w:val="auto"/>
        </w:rPr>
        <w:t>Intermediate Holdings</w:t>
      </w:r>
      <w:r>
        <w:rPr>
          <w:rFonts w:ascii="Times New Roman" w:cs="Times New Roman" w:eastAsia="Times New Roman" w:hAnsi="Times New Roman"/>
          <w:sz w:val="19"/>
          <w:szCs w:val="19"/>
          <w:color w:val="auto"/>
        </w:rPr>
        <w:t>”), EBS ENTERPRISES LLC, a Delaware limited liability company (the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the Lenders party hereto and SILICON VALLEY BANK, a division of FIRST-CITIZENS BANK &amp; TRUST COMPANY (“</w:t>
      </w:r>
      <w:r>
        <w:rPr>
          <w:rFonts w:ascii="Times New Roman" w:cs="Times New Roman" w:eastAsia="Times New Roman" w:hAnsi="Times New Roman"/>
          <w:sz w:val="19"/>
          <w:szCs w:val="19"/>
          <w:b w:val="1"/>
          <w:bCs w:val="1"/>
          <w:i w:val="1"/>
          <w:iCs w:val="1"/>
          <w:color w:val="auto"/>
        </w:rPr>
        <w:t>SVB</w:t>
      </w:r>
      <w:r>
        <w:rPr>
          <w:rFonts w:ascii="Times New Roman" w:cs="Times New Roman" w:eastAsia="Times New Roman" w:hAnsi="Times New Roman"/>
          <w:sz w:val="19"/>
          <w:szCs w:val="19"/>
          <w:color w:val="auto"/>
        </w:rPr>
        <w:t>”), as Administrative Agent, Issuing Lender and Swingline Lender. Unless otherwise defined herein, terms defined in the Amendment and used herein shall have the meanings given to them in the Amendment.</w:t>
      </w:r>
    </w:p>
    <w:p>
      <w:pPr>
        <w:spacing w:after="0" w:line="200" w:lineRule="exact"/>
        <w:rPr>
          <w:sz w:val="20"/>
          <w:szCs w:val="20"/>
          <w:color w:val="auto"/>
        </w:rPr>
      </w:pPr>
    </w:p>
    <w:p>
      <w:pPr>
        <w:spacing w:after="0" w:line="3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u w:val="single" w:color="auto"/>
          <w:color w:val="auto"/>
        </w:rPr>
        <w:t>Consent</w:t>
      </w:r>
      <w:r>
        <w:rPr>
          <w:rFonts w:ascii="Times New Roman" w:cs="Times New Roman" w:eastAsia="Times New Roman" w:hAnsi="Times New Roman"/>
          <w:sz w:val="17"/>
          <w:szCs w:val="17"/>
          <w:b w:val="1"/>
          <w:bCs w:val="1"/>
          <w:color w:val="auto"/>
        </w:rPr>
        <w:t>:</w:t>
      </w:r>
    </w:p>
    <w:p>
      <w:pPr>
        <w:spacing w:after="0" w:line="33" w:lineRule="exact"/>
        <w:rPr>
          <w:sz w:val="20"/>
          <w:szCs w:val="20"/>
          <w:color w:val="auto"/>
        </w:rPr>
      </w:pPr>
    </w:p>
    <w:p>
      <w:pPr>
        <w:ind w:left="780" w:right="20"/>
        <w:spacing w:after="0" w:line="271" w:lineRule="auto"/>
        <w:rPr>
          <w:sz w:val="20"/>
          <w:szCs w:val="20"/>
          <w:color w:val="auto"/>
        </w:rPr>
      </w:pPr>
      <w:r>
        <w:rPr>
          <w:rFonts w:ascii="Times New Roman" w:cs="Times New Roman" w:eastAsia="Times New Roman" w:hAnsi="Times New Roman"/>
          <w:sz w:val="17"/>
          <w:szCs w:val="17"/>
          <w:color w:val="auto"/>
        </w:rPr>
        <w:t>By executing the accompanying signature page, the undersigned Lender hereby irrevocably and unconditionally approves of and consents to the Amendment with respect to all Loans and/or Commitments held by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571500</wp:posOffset>
            </wp:positionV>
            <wp:extent cx="7145655" cy="19685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145655" cy="196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Name of Lender</w:t>
      </w:r>
      <w:r>
        <w:rPr>
          <w:rFonts w:ascii="Times New Roman" w:cs="Times New Roman" w:eastAsia="Times New Roman" w:hAnsi="Times New Roman"/>
          <w:sz w:val="17"/>
          <w:szCs w:val="17"/>
          <w:color w:val="auto"/>
        </w:rPr>
        <w:t>: City National Bank</w:t>
      </w:r>
    </w:p>
    <w:p>
      <w:pPr>
        <w:spacing w:after="0" w:line="2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 Candice Callahan</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Name: Candice Callahan</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Title: SVP, Senior Relationship Manager</w:t>
      </w:r>
    </w:p>
    <w:p>
      <w:pPr>
        <w:spacing w:after="0" w:line="200" w:lineRule="exact"/>
        <w:rPr>
          <w:sz w:val="20"/>
          <w:szCs w:val="20"/>
          <w:color w:val="auto"/>
        </w:rPr>
      </w:pP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any institution requiring a second signature line: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by</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Name:</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78"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CONSENT TO THIRD AMENDMENT</w:t>
      </w: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CONSENT (this “</w:t>
      </w:r>
      <w:r>
        <w:rPr>
          <w:rFonts w:ascii="Times New Roman" w:cs="Times New Roman" w:eastAsia="Times New Roman" w:hAnsi="Times New Roman"/>
          <w:sz w:val="19"/>
          <w:szCs w:val="19"/>
          <w:b w:val="1"/>
          <w:bCs w:val="1"/>
          <w:i w:val="1"/>
          <w:iCs w:val="1"/>
          <w:color w:val="auto"/>
        </w:rPr>
        <w:t>Consent</w:t>
      </w:r>
      <w:r>
        <w:rPr>
          <w:rFonts w:ascii="Times New Roman" w:cs="Times New Roman" w:eastAsia="Times New Roman" w:hAnsi="Times New Roman"/>
          <w:sz w:val="19"/>
          <w:szCs w:val="19"/>
          <w:color w:val="auto"/>
        </w:rPr>
        <w:t>”) to Third Amendment to Credit Agreement, dated as of March 12, 2025 (the “</w:t>
      </w:r>
      <w:r>
        <w:rPr>
          <w:rFonts w:ascii="Times New Roman" w:cs="Times New Roman" w:eastAsia="Times New Roman" w:hAnsi="Times New Roman"/>
          <w:sz w:val="19"/>
          <w:szCs w:val="19"/>
          <w:b w:val="1"/>
          <w:bCs w:val="1"/>
          <w:i w:val="1"/>
          <w:iCs w:val="1"/>
          <w:color w:val="auto"/>
        </w:rPr>
        <w:t>Amendment</w:t>
      </w:r>
      <w:r>
        <w:rPr>
          <w:rFonts w:ascii="Times New Roman" w:cs="Times New Roman" w:eastAsia="Times New Roman" w:hAnsi="Times New Roman"/>
          <w:sz w:val="19"/>
          <w:szCs w:val="19"/>
          <w:color w:val="auto"/>
        </w:rPr>
        <w:t>”), by and among AIRSCULPT TECHNOLOGIES, INC., a Delaware corporation (“</w:t>
      </w:r>
      <w:r>
        <w:rPr>
          <w:rFonts w:ascii="Times New Roman" w:cs="Times New Roman" w:eastAsia="Times New Roman" w:hAnsi="Times New Roman"/>
          <w:sz w:val="19"/>
          <w:szCs w:val="19"/>
          <w:b w:val="1"/>
          <w:bCs w:val="1"/>
          <w:i w:val="1"/>
          <w:iCs w:val="1"/>
          <w:color w:val="auto"/>
        </w:rPr>
        <w:t>Holdings</w:t>
      </w:r>
      <w:r>
        <w:rPr>
          <w:rFonts w:ascii="Times New Roman" w:cs="Times New Roman" w:eastAsia="Times New Roman" w:hAnsi="Times New Roman"/>
          <w:sz w:val="19"/>
          <w:szCs w:val="19"/>
          <w:color w:val="auto"/>
        </w:rPr>
        <w:t>”), EBS INTERMEDIATE PARENT LLC, a Delaware limited liability company (“</w:t>
      </w:r>
      <w:r>
        <w:rPr>
          <w:rFonts w:ascii="Times New Roman" w:cs="Times New Roman" w:eastAsia="Times New Roman" w:hAnsi="Times New Roman"/>
          <w:sz w:val="19"/>
          <w:szCs w:val="19"/>
          <w:b w:val="1"/>
          <w:bCs w:val="1"/>
          <w:i w:val="1"/>
          <w:iCs w:val="1"/>
          <w:color w:val="auto"/>
        </w:rPr>
        <w:t>Intermediate Holdings</w:t>
      </w:r>
      <w:r>
        <w:rPr>
          <w:rFonts w:ascii="Times New Roman" w:cs="Times New Roman" w:eastAsia="Times New Roman" w:hAnsi="Times New Roman"/>
          <w:sz w:val="19"/>
          <w:szCs w:val="19"/>
          <w:color w:val="auto"/>
        </w:rPr>
        <w:t>”), EBS ENTERPRISES LLC, a Delaware limited liability company (the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the Lenders party hereto and SILICON VALLEY BANK, a division of FIRST-CITIZENS BANK &amp; TRUST COMPANY (“</w:t>
      </w:r>
      <w:r>
        <w:rPr>
          <w:rFonts w:ascii="Times New Roman" w:cs="Times New Roman" w:eastAsia="Times New Roman" w:hAnsi="Times New Roman"/>
          <w:sz w:val="19"/>
          <w:szCs w:val="19"/>
          <w:b w:val="1"/>
          <w:bCs w:val="1"/>
          <w:i w:val="1"/>
          <w:iCs w:val="1"/>
          <w:color w:val="auto"/>
        </w:rPr>
        <w:t>SVB</w:t>
      </w:r>
      <w:r>
        <w:rPr>
          <w:rFonts w:ascii="Times New Roman" w:cs="Times New Roman" w:eastAsia="Times New Roman" w:hAnsi="Times New Roman"/>
          <w:sz w:val="19"/>
          <w:szCs w:val="19"/>
          <w:color w:val="auto"/>
        </w:rPr>
        <w:t>”), as Administrative Agent, Issuing Lender and Swingline Lender. Unless otherwise defined herein, terms defined in the Amendment and used herein shall have the meanings given to them in the Amendment.</w:t>
      </w:r>
    </w:p>
    <w:p>
      <w:pPr>
        <w:spacing w:after="0" w:line="200" w:lineRule="exact"/>
        <w:rPr>
          <w:sz w:val="20"/>
          <w:szCs w:val="20"/>
          <w:color w:val="auto"/>
        </w:rPr>
      </w:pPr>
    </w:p>
    <w:p>
      <w:pPr>
        <w:spacing w:after="0" w:line="3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u w:val="single" w:color="auto"/>
          <w:color w:val="auto"/>
        </w:rPr>
        <w:t>Consent</w:t>
      </w:r>
      <w:r>
        <w:rPr>
          <w:rFonts w:ascii="Times New Roman" w:cs="Times New Roman" w:eastAsia="Times New Roman" w:hAnsi="Times New Roman"/>
          <w:sz w:val="17"/>
          <w:szCs w:val="17"/>
          <w:b w:val="1"/>
          <w:bCs w:val="1"/>
          <w:color w:val="auto"/>
        </w:rPr>
        <w:t>:</w:t>
      </w:r>
    </w:p>
    <w:p>
      <w:pPr>
        <w:spacing w:after="0" w:line="33" w:lineRule="exact"/>
        <w:rPr>
          <w:sz w:val="20"/>
          <w:szCs w:val="20"/>
          <w:color w:val="auto"/>
        </w:rPr>
      </w:pPr>
    </w:p>
    <w:p>
      <w:pPr>
        <w:ind w:left="780" w:right="20"/>
        <w:spacing w:after="0" w:line="271" w:lineRule="auto"/>
        <w:rPr>
          <w:sz w:val="20"/>
          <w:szCs w:val="20"/>
          <w:color w:val="auto"/>
        </w:rPr>
      </w:pPr>
      <w:r>
        <w:rPr>
          <w:rFonts w:ascii="Times New Roman" w:cs="Times New Roman" w:eastAsia="Times New Roman" w:hAnsi="Times New Roman"/>
          <w:sz w:val="17"/>
          <w:szCs w:val="17"/>
          <w:color w:val="auto"/>
        </w:rPr>
        <w:t>By executing the accompanying signature page, the undersigned Lender hereby irrevocably and unconditionally approves of and consents to the Amendment with respect to all Loans and/or Commitments held by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571500</wp:posOffset>
            </wp:positionV>
            <wp:extent cx="7145655" cy="19685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145655" cy="196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Name of Lender</w:t>
      </w:r>
      <w:r>
        <w:rPr>
          <w:rFonts w:ascii="Times New Roman" w:cs="Times New Roman" w:eastAsia="Times New Roman" w:hAnsi="Times New Roman"/>
          <w:sz w:val="17"/>
          <w:szCs w:val="17"/>
          <w:color w:val="auto"/>
        </w:rPr>
        <w:t>: Eastern Bank Corporation, Successor by Merger with Cambridge Trust Company</w:t>
      </w:r>
    </w:p>
    <w:p>
      <w:pPr>
        <w:spacing w:after="0" w:line="2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 Matt Dunbar</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Name: Matt Dunbar</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Title: Vice President</w:t>
      </w:r>
    </w:p>
    <w:p>
      <w:pPr>
        <w:spacing w:after="0" w:line="200" w:lineRule="exact"/>
        <w:rPr>
          <w:sz w:val="20"/>
          <w:szCs w:val="20"/>
          <w:color w:val="auto"/>
        </w:rPr>
      </w:pP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any institution requiring a second signature line: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by</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Name:</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78"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CONSENT TO THIRD AMENDMENT</w:t>
      </w: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CONSENT (this “</w:t>
      </w:r>
      <w:r>
        <w:rPr>
          <w:rFonts w:ascii="Times New Roman" w:cs="Times New Roman" w:eastAsia="Times New Roman" w:hAnsi="Times New Roman"/>
          <w:sz w:val="19"/>
          <w:szCs w:val="19"/>
          <w:b w:val="1"/>
          <w:bCs w:val="1"/>
          <w:i w:val="1"/>
          <w:iCs w:val="1"/>
          <w:color w:val="auto"/>
        </w:rPr>
        <w:t>Consent</w:t>
      </w:r>
      <w:r>
        <w:rPr>
          <w:rFonts w:ascii="Times New Roman" w:cs="Times New Roman" w:eastAsia="Times New Roman" w:hAnsi="Times New Roman"/>
          <w:sz w:val="19"/>
          <w:szCs w:val="19"/>
          <w:color w:val="auto"/>
        </w:rPr>
        <w:t>”) to Third Amendment to Credit Agreement, dated as of March 12, 2025 (the “</w:t>
      </w:r>
      <w:r>
        <w:rPr>
          <w:rFonts w:ascii="Times New Roman" w:cs="Times New Roman" w:eastAsia="Times New Roman" w:hAnsi="Times New Roman"/>
          <w:sz w:val="19"/>
          <w:szCs w:val="19"/>
          <w:b w:val="1"/>
          <w:bCs w:val="1"/>
          <w:i w:val="1"/>
          <w:iCs w:val="1"/>
          <w:color w:val="auto"/>
        </w:rPr>
        <w:t>Amendment</w:t>
      </w:r>
      <w:r>
        <w:rPr>
          <w:rFonts w:ascii="Times New Roman" w:cs="Times New Roman" w:eastAsia="Times New Roman" w:hAnsi="Times New Roman"/>
          <w:sz w:val="19"/>
          <w:szCs w:val="19"/>
          <w:color w:val="auto"/>
        </w:rPr>
        <w:t>”), by and among AIRSCULPT TECHNOLOGIES, INC., a Delaware corporation (“</w:t>
      </w:r>
      <w:r>
        <w:rPr>
          <w:rFonts w:ascii="Times New Roman" w:cs="Times New Roman" w:eastAsia="Times New Roman" w:hAnsi="Times New Roman"/>
          <w:sz w:val="19"/>
          <w:szCs w:val="19"/>
          <w:b w:val="1"/>
          <w:bCs w:val="1"/>
          <w:i w:val="1"/>
          <w:iCs w:val="1"/>
          <w:color w:val="auto"/>
        </w:rPr>
        <w:t>Holdings</w:t>
      </w:r>
      <w:r>
        <w:rPr>
          <w:rFonts w:ascii="Times New Roman" w:cs="Times New Roman" w:eastAsia="Times New Roman" w:hAnsi="Times New Roman"/>
          <w:sz w:val="19"/>
          <w:szCs w:val="19"/>
          <w:color w:val="auto"/>
        </w:rPr>
        <w:t>”), EBS INTERMEDIATE PARENT LLC, a Delaware limited liability company (“</w:t>
      </w:r>
      <w:r>
        <w:rPr>
          <w:rFonts w:ascii="Times New Roman" w:cs="Times New Roman" w:eastAsia="Times New Roman" w:hAnsi="Times New Roman"/>
          <w:sz w:val="19"/>
          <w:szCs w:val="19"/>
          <w:b w:val="1"/>
          <w:bCs w:val="1"/>
          <w:i w:val="1"/>
          <w:iCs w:val="1"/>
          <w:color w:val="auto"/>
        </w:rPr>
        <w:t>Intermediate Holdings</w:t>
      </w:r>
      <w:r>
        <w:rPr>
          <w:rFonts w:ascii="Times New Roman" w:cs="Times New Roman" w:eastAsia="Times New Roman" w:hAnsi="Times New Roman"/>
          <w:sz w:val="19"/>
          <w:szCs w:val="19"/>
          <w:color w:val="auto"/>
        </w:rPr>
        <w:t>”), EBS ENTERPRISES LLC, a Delaware limited liability company (the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the Lenders party hereto and SILICON VALLEY BANK, a division of FIRST-CITIZENS BANK &amp; TRUST COMPANY (“</w:t>
      </w:r>
      <w:r>
        <w:rPr>
          <w:rFonts w:ascii="Times New Roman" w:cs="Times New Roman" w:eastAsia="Times New Roman" w:hAnsi="Times New Roman"/>
          <w:sz w:val="19"/>
          <w:szCs w:val="19"/>
          <w:b w:val="1"/>
          <w:bCs w:val="1"/>
          <w:i w:val="1"/>
          <w:iCs w:val="1"/>
          <w:color w:val="auto"/>
        </w:rPr>
        <w:t>SVB</w:t>
      </w:r>
      <w:r>
        <w:rPr>
          <w:rFonts w:ascii="Times New Roman" w:cs="Times New Roman" w:eastAsia="Times New Roman" w:hAnsi="Times New Roman"/>
          <w:sz w:val="19"/>
          <w:szCs w:val="19"/>
          <w:color w:val="auto"/>
        </w:rPr>
        <w:t>”), as Administrative Agent, Issuing Lender and Swingline Lender. Unless otherwise defined herein, terms defined in the Amendment and used herein shall have the meanings given to them in the Amendment.</w:t>
      </w:r>
    </w:p>
    <w:p>
      <w:pPr>
        <w:spacing w:after="0" w:line="200" w:lineRule="exact"/>
        <w:rPr>
          <w:sz w:val="20"/>
          <w:szCs w:val="20"/>
          <w:color w:val="auto"/>
        </w:rPr>
      </w:pPr>
    </w:p>
    <w:p>
      <w:pPr>
        <w:spacing w:after="0" w:line="3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b w:val="1"/>
          <w:bCs w:val="1"/>
          <w:u w:val="single" w:color="auto"/>
          <w:color w:val="auto"/>
        </w:rPr>
        <w:t>Consent</w:t>
      </w:r>
      <w:r>
        <w:rPr>
          <w:rFonts w:ascii="Times New Roman" w:cs="Times New Roman" w:eastAsia="Times New Roman" w:hAnsi="Times New Roman"/>
          <w:sz w:val="17"/>
          <w:szCs w:val="17"/>
          <w:b w:val="1"/>
          <w:bCs w:val="1"/>
          <w:color w:val="auto"/>
        </w:rPr>
        <w:t>:</w:t>
      </w:r>
    </w:p>
    <w:p>
      <w:pPr>
        <w:spacing w:after="0" w:line="33" w:lineRule="exact"/>
        <w:rPr>
          <w:sz w:val="20"/>
          <w:szCs w:val="20"/>
          <w:color w:val="auto"/>
        </w:rPr>
      </w:pPr>
    </w:p>
    <w:p>
      <w:pPr>
        <w:ind w:left="780" w:right="20"/>
        <w:spacing w:after="0" w:line="271" w:lineRule="auto"/>
        <w:rPr>
          <w:sz w:val="20"/>
          <w:szCs w:val="20"/>
          <w:color w:val="auto"/>
        </w:rPr>
      </w:pPr>
      <w:r>
        <w:rPr>
          <w:rFonts w:ascii="Times New Roman" w:cs="Times New Roman" w:eastAsia="Times New Roman" w:hAnsi="Times New Roman"/>
          <w:sz w:val="17"/>
          <w:szCs w:val="17"/>
          <w:color w:val="auto"/>
        </w:rPr>
        <w:t>By executing the accompanying signature page, the undersigned Lender hereby irrevocably and unconditionally approves of and consents to the Amendment with respect to all Loans and/or Commitments held by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571500</wp:posOffset>
            </wp:positionV>
            <wp:extent cx="7145655" cy="19685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45655" cy="196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Name of Lender</w:t>
      </w:r>
      <w:r>
        <w:rPr>
          <w:rFonts w:ascii="Times New Roman" w:cs="Times New Roman" w:eastAsia="Times New Roman" w:hAnsi="Times New Roman"/>
          <w:sz w:val="17"/>
          <w:szCs w:val="17"/>
          <w:color w:val="auto"/>
        </w:rPr>
        <w:t>: BankUnited, N.A.</w:t>
      </w:r>
    </w:p>
    <w:p>
      <w:pPr>
        <w:spacing w:after="0" w:line="2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 Valentina Londono</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Name: Valentina Londono</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Title: Senior Vice President, Relationship Manager</w:t>
      </w:r>
    </w:p>
    <w:p>
      <w:pPr>
        <w:spacing w:after="0" w:line="200" w:lineRule="exact"/>
        <w:rPr>
          <w:sz w:val="20"/>
          <w:szCs w:val="20"/>
          <w:color w:val="auto"/>
        </w:rPr>
      </w:pP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For any institution requiring a second signature line: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by</w:t>
      </w:r>
    </w:p>
    <w:p>
      <w:pPr>
        <w:spacing w:after="0" w:line="2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Name:</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78" w:right="339" w:bottom="1440" w:gutter="0" w:footer="0" w:header="0"/>
        </w:sectPr>
      </w:pPr>
    </w:p>
    <w:bookmarkStart w:id="124" w:name="page125"/>
    <w:bookmarkEnd w:id="124"/>
    <w:p>
      <w:pPr>
        <w:jc w:val="center"/>
        <w:ind w:left="60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3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0"/>
          <w:szCs w:val="20"/>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39"/>
          </w:cols>
          <w:pgMar w:left="320" w:top="1384" w:right="1440"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A to Third Amendment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CREDIT AGREEMENT</w:t>
      </w: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dated as of November 7, 2022,</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among</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AIRSCULPT TECHNOLOGIES, INC.,</w:t>
      </w:r>
    </w:p>
    <w:p>
      <w:pPr>
        <w:spacing w:after="0" w:line="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Holdings,</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EBS INTERMEDIATE PARENT LLC,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Intermediate Holdings,</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EBS ENTERPRISES LLC,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the Borrower,</w:t>
      </w:r>
    </w:p>
    <w:p>
      <w:pPr>
        <w:spacing w:after="0" w:line="2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THE SEVERAL LENDERS FROM TIME TO TIME PARTY HERETO,</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and</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SILICON VALLEY BANK,</w:t>
      </w:r>
    </w:p>
    <w:p>
      <w:pPr>
        <w:spacing w:after="0" w:line="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Administrative Agent, Issuing Lender and Swingline Lender</w:t>
      </w:r>
    </w:p>
    <w:p>
      <w:pPr>
        <w:spacing w:after="0" w:line="2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9"/>
          <w:szCs w:val="19"/>
          <w:color w:val="auto"/>
        </w:rPr>
        <w:t>____________________________________________________________</w:t>
      </w:r>
    </w:p>
    <w:p>
      <w:pPr>
        <w:spacing w:after="0" w:line="200" w:lineRule="exact"/>
        <w:rPr>
          <w:sz w:val="20"/>
          <w:szCs w:val="20"/>
          <w:color w:val="auto"/>
        </w:rPr>
      </w:pPr>
    </w:p>
    <w:p>
      <w:pPr>
        <w:spacing w:after="0" w:line="2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SILICON VALLEY BANK,</w:t>
      </w:r>
    </w:p>
    <w:p>
      <w:pPr>
        <w:spacing w:after="0" w:line="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as Lead Arranger</w:t>
      </w:r>
    </w:p>
    <w:p>
      <w:pPr>
        <w:sectPr>
          <w:pgSz w:w="11900" w:h="16838" w:orient="portrait"/>
          <w:cols w:equalWidth="0" w:num="1">
            <w:col w:w="10120"/>
          </w:cols>
          <w:pgMar w:left="1440" w:top="121"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1.1</w:t>
            </w: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Defined Terms  1</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1.2</w:t>
            </w: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Other Definitional Provisions.</w:t>
            </w:r>
          </w:p>
        </w:tc>
        <w:tc>
          <w:tcPr>
            <w:tcW w:w="4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w w:val="94"/>
              </w:rPr>
              <w:t>45</w:t>
            </w:r>
          </w:p>
        </w:tc>
        <w:tc>
          <w:tcPr>
            <w:tcW w:w="2740" w:type="dxa"/>
            <w:vAlign w:val="bottom"/>
          </w:tcPr>
          <w:p>
            <w:pPr>
              <w:spacing w:after="0"/>
              <w:rPr>
                <w:sz w:val="21"/>
                <w:szCs w:val="21"/>
                <w:color w:val="auto"/>
              </w:rPr>
            </w:pP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1.3</w:t>
            </w: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Rounding  46</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50"/>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1.4</w:t>
            </w:r>
          </w:p>
        </w:tc>
        <w:tc>
          <w:tcPr>
            <w:tcW w:w="5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Rates</w:t>
            </w:r>
          </w:p>
        </w:tc>
        <w:tc>
          <w:tcPr>
            <w:tcW w:w="1500" w:type="dxa"/>
            <w:vAlign w:val="bottom"/>
          </w:tcPr>
          <w:p>
            <w:pPr>
              <w:jc w:val="right"/>
              <w:ind w:right="1105"/>
              <w:spacing w:after="0"/>
              <w:rPr>
                <w:sz w:val="20"/>
                <w:szCs w:val="20"/>
                <w:color w:val="auto"/>
              </w:rPr>
            </w:pPr>
            <w:r>
              <w:rPr>
                <w:rFonts w:ascii="Times New Roman" w:cs="Times New Roman" w:eastAsia="Times New Roman" w:hAnsi="Times New Roman"/>
                <w:sz w:val="19"/>
                <w:szCs w:val="19"/>
                <w:color w:val="auto"/>
              </w:rPr>
              <w:t>46</w:t>
            </w: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740" w:type="dxa"/>
            <w:vAlign w:val="bottom"/>
          </w:tcPr>
          <w:p>
            <w:pPr>
              <w:spacing w:after="0"/>
              <w:rPr>
                <w:sz w:val="21"/>
                <w:szCs w:val="21"/>
                <w:color w:val="auto"/>
              </w:rPr>
            </w:pPr>
          </w:p>
        </w:tc>
      </w:tr>
      <w:tr>
        <w:trPr>
          <w:trHeight w:val="456"/>
        </w:trPr>
        <w:tc>
          <w:tcPr>
            <w:tcW w:w="6260" w:type="dxa"/>
            <w:vAlign w:val="bottom"/>
            <w:gridSpan w:val="6"/>
          </w:tcPr>
          <w:p>
            <w:pPr>
              <w:spacing w:after="0"/>
              <w:rPr>
                <w:sz w:val="20"/>
                <w:szCs w:val="20"/>
                <w:color w:val="auto"/>
              </w:rPr>
            </w:pPr>
            <w:r>
              <w:rPr>
                <w:rFonts w:ascii="Times New Roman" w:cs="Times New Roman" w:eastAsia="Times New Roman" w:hAnsi="Times New Roman"/>
                <w:sz w:val="19"/>
                <w:szCs w:val="19"/>
                <w:color w:val="auto"/>
              </w:rPr>
              <w:t>SECTION 2 AMOUNT AND TERMS OF COMMITMENTS  46</w:t>
            </w:r>
          </w:p>
        </w:tc>
      </w:tr>
      <w:tr>
        <w:trPr>
          <w:trHeight w:val="42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2.1</w:t>
            </w: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Term Commitments  46</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2.2</w:t>
            </w:r>
          </w:p>
        </w:tc>
        <w:tc>
          <w:tcPr>
            <w:tcW w:w="292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Procedure for Term Loan Borrowing</w:t>
            </w:r>
          </w:p>
        </w:tc>
        <w:tc>
          <w:tcPr>
            <w:tcW w:w="2740" w:type="dxa"/>
            <w:vAlign w:val="bottom"/>
          </w:tcPr>
          <w:p>
            <w:pPr>
              <w:jc w:val="right"/>
              <w:ind w:right="2345"/>
              <w:spacing w:after="0"/>
              <w:rPr>
                <w:sz w:val="20"/>
                <w:szCs w:val="20"/>
                <w:color w:val="auto"/>
              </w:rPr>
            </w:pPr>
            <w:r>
              <w:rPr>
                <w:rFonts w:ascii="Times New Roman" w:cs="Times New Roman" w:eastAsia="Times New Roman" w:hAnsi="Times New Roman"/>
                <w:sz w:val="19"/>
                <w:szCs w:val="19"/>
                <w:color w:val="auto"/>
              </w:rPr>
              <w:t>46</w:t>
            </w: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2.3</w:t>
            </w:r>
          </w:p>
        </w:tc>
        <w:tc>
          <w:tcPr>
            <w:tcW w:w="252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Repayment of Term Loans  47</w:t>
            </w:r>
          </w:p>
        </w:tc>
        <w:tc>
          <w:tcPr>
            <w:tcW w:w="4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2.4</w:t>
            </w: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Revolving Commitments.</w:t>
            </w:r>
          </w:p>
        </w:tc>
        <w:tc>
          <w:tcPr>
            <w:tcW w:w="4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47</w:t>
            </w:r>
          </w:p>
        </w:tc>
        <w:tc>
          <w:tcPr>
            <w:tcW w:w="400" w:type="dxa"/>
            <w:vAlign w:val="bottom"/>
          </w:tcPr>
          <w:p>
            <w:pPr>
              <w:spacing w:after="0"/>
              <w:rPr>
                <w:sz w:val="21"/>
                <w:szCs w:val="21"/>
                <w:color w:val="auto"/>
              </w:rPr>
            </w:pPr>
          </w:p>
        </w:tc>
        <w:tc>
          <w:tcPr>
            <w:tcW w:w="2740" w:type="dxa"/>
            <w:vAlign w:val="bottom"/>
          </w:tcPr>
          <w:p>
            <w:pPr>
              <w:spacing w:after="0"/>
              <w:rPr>
                <w:sz w:val="21"/>
                <w:szCs w:val="21"/>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2.5</w:t>
            </w:r>
          </w:p>
        </w:tc>
        <w:tc>
          <w:tcPr>
            <w:tcW w:w="5660" w:type="dxa"/>
            <w:vAlign w:val="bottom"/>
            <w:gridSpan w:val="5"/>
          </w:tcPr>
          <w:p>
            <w:pPr>
              <w:ind w:left="40"/>
              <w:spacing w:after="0"/>
              <w:rPr>
                <w:sz w:val="20"/>
                <w:szCs w:val="20"/>
                <w:color w:val="auto"/>
              </w:rPr>
            </w:pPr>
            <w:r>
              <w:rPr>
                <w:rFonts w:ascii="Times New Roman" w:cs="Times New Roman" w:eastAsia="Times New Roman" w:hAnsi="Times New Roman"/>
                <w:sz w:val="19"/>
                <w:szCs w:val="19"/>
                <w:color w:val="auto"/>
              </w:rPr>
              <w:t>Procedure for Revolving Loan Borrowing  48</w:t>
            </w: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2.6</w:t>
            </w: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Swingline Commitment</w:t>
            </w:r>
          </w:p>
        </w:tc>
        <w:tc>
          <w:tcPr>
            <w:tcW w:w="480" w:type="dxa"/>
            <w:vAlign w:val="bottom"/>
          </w:tcPr>
          <w:p>
            <w:pPr>
              <w:jc w:val="center"/>
              <w:ind w:right="165"/>
              <w:spacing w:after="0"/>
              <w:rPr>
                <w:sz w:val="20"/>
                <w:szCs w:val="20"/>
                <w:color w:val="auto"/>
              </w:rPr>
            </w:pPr>
            <w:r>
              <w:rPr>
                <w:rFonts w:ascii="Times New Roman" w:cs="Times New Roman" w:eastAsia="Times New Roman" w:hAnsi="Times New Roman"/>
                <w:sz w:val="19"/>
                <w:szCs w:val="19"/>
                <w:color w:val="auto"/>
                <w:w w:val="94"/>
              </w:rPr>
              <w:t>48</w:t>
            </w:r>
          </w:p>
        </w:tc>
        <w:tc>
          <w:tcPr>
            <w:tcW w:w="4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2.7</w:t>
            </w:r>
          </w:p>
        </w:tc>
        <w:tc>
          <w:tcPr>
            <w:tcW w:w="5660" w:type="dxa"/>
            <w:vAlign w:val="bottom"/>
            <w:gridSpan w:val="5"/>
          </w:tcPr>
          <w:p>
            <w:pPr>
              <w:ind w:left="40"/>
              <w:spacing w:after="0"/>
              <w:rPr>
                <w:sz w:val="20"/>
                <w:szCs w:val="20"/>
                <w:color w:val="auto"/>
              </w:rPr>
            </w:pPr>
            <w:r>
              <w:rPr>
                <w:rFonts w:ascii="Times New Roman" w:cs="Times New Roman" w:eastAsia="Times New Roman" w:hAnsi="Times New Roman"/>
                <w:sz w:val="19"/>
                <w:szCs w:val="19"/>
                <w:color w:val="auto"/>
              </w:rPr>
              <w:t>Procedure for Swingline Borrowing; Refunding of Swingline Loans.  49</w:t>
            </w: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2.8</w:t>
            </w: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[Reserved</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2.9</w:t>
            </w:r>
          </w:p>
        </w:tc>
        <w:tc>
          <w:tcPr>
            <w:tcW w:w="5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Fees.</w:t>
            </w:r>
          </w:p>
        </w:tc>
        <w:tc>
          <w:tcPr>
            <w:tcW w:w="1500" w:type="dxa"/>
            <w:vAlign w:val="bottom"/>
          </w:tcPr>
          <w:p>
            <w:pPr>
              <w:jc w:val="right"/>
              <w:ind w:right="1125"/>
              <w:spacing w:after="0"/>
              <w:rPr>
                <w:sz w:val="20"/>
                <w:szCs w:val="20"/>
                <w:color w:val="auto"/>
              </w:rPr>
            </w:pPr>
            <w:r>
              <w:rPr>
                <w:rFonts w:ascii="Times New Roman" w:cs="Times New Roman" w:eastAsia="Times New Roman" w:hAnsi="Times New Roman"/>
                <w:sz w:val="19"/>
                <w:szCs w:val="19"/>
                <w:color w:val="auto"/>
              </w:rPr>
              <w:t>50</w:t>
            </w: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740" w:type="dxa"/>
            <w:vAlign w:val="bottom"/>
          </w:tcPr>
          <w:p>
            <w:pPr>
              <w:spacing w:after="0"/>
              <w:rPr>
                <w:sz w:val="21"/>
                <w:szCs w:val="21"/>
                <w:color w:val="auto"/>
              </w:rPr>
            </w:pPr>
          </w:p>
        </w:tc>
      </w:tr>
      <w:tr>
        <w:trPr>
          <w:trHeight w:val="247"/>
        </w:trPr>
        <w:tc>
          <w:tcPr>
            <w:tcW w:w="6260" w:type="dxa"/>
            <w:vAlign w:val="bottom"/>
            <w:gridSpan w:val="6"/>
          </w:tcPr>
          <w:p>
            <w:pPr>
              <w:jc w:val="center"/>
              <w:ind w:right="645"/>
              <w:spacing w:after="0"/>
              <w:rPr>
                <w:sz w:val="20"/>
                <w:szCs w:val="20"/>
                <w:color w:val="auto"/>
              </w:rPr>
            </w:pPr>
            <w:r>
              <w:rPr>
                <w:rFonts w:ascii="Times New Roman" w:cs="Times New Roman" w:eastAsia="Times New Roman" w:hAnsi="Times New Roman"/>
                <w:sz w:val="19"/>
                <w:szCs w:val="19"/>
                <w:color w:val="auto"/>
              </w:rPr>
              <w:t>2.10  Termination or Reduction of Revolving Commitments.  51</w:t>
            </w: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2.11</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Optional Prepayments.</w:t>
            </w:r>
          </w:p>
        </w:tc>
        <w:tc>
          <w:tcPr>
            <w:tcW w:w="480" w:type="dxa"/>
            <w:vAlign w:val="bottom"/>
          </w:tcPr>
          <w:p>
            <w:pPr>
              <w:jc w:val="center"/>
              <w:ind w:right="145"/>
              <w:spacing w:after="0"/>
              <w:rPr>
                <w:sz w:val="20"/>
                <w:szCs w:val="20"/>
                <w:color w:val="auto"/>
              </w:rPr>
            </w:pPr>
            <w:r>
              <w:rPr>
                <w:rFonts w:ascii="Times New Roman" w:cs="Times New Roman" w:eastAsia="Times New Roman" w:hAnsi="Times New Roman"/>
                <w:sz w:val="19"/>
                <w:szCs w:val="19"/>
                <w:color w:val="auto"/>
              </w:rPr>
              <w:t>51</w:t>
            </w:r>
          </w:p>
        </w:tc>
        <w:tc>
          <w:tcPr>
            <w:tcW w:w="40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2.12</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w w:val="99"/>
              </w:rPr>
              <w:t>Mandatory Prepayments.</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51</w:t>
            </w:r>
          </w:p>
        </w:tc>
        <w:tc>
          <w:tcPr>
            <w:tcW w:w="400" w:type="dxa"/>
            <w:vAlign w:val="bottom"/>
          </w:tcPr>
          <w:p>
            <w:pPr>
              <w:spacing w:after="0"/>
              <w:rPr>
                <w:sz w:val="21"/>
                <w:szCs w:val="21"/>
                <w:color w:val="auto"/>
              </w:rPr>
            </w:pPr>
          </w:p>
        </w:tc>
        <w:tc>
          <w:tcPr>
            <w:tcW w:w="2740" w:type="dxa"/>
            <w:vAlign w:val="bottom"/>
          </w:tcPr>
          <w:p>
            <w:pPr>
              <w:spacing w:after="0"/>
              <w:rPr>
                <w:sz w:val="21"/>
                <w:szCs w:val="21"/>
                <w:color w:val="auto"/>
              </w:rPr>
            </w:pPr>
          </w:p>
        </w:tc>
      </w:tr>
      <w:tr>
        <w:trPr>
          <w:trHeight w:val="234"/>
        </w:trPr>
        <w:tc>
          <w:tcPr>
            <w:tcW w:w="6260" w:type="dxa"/>
            <w:vAlign w:val="bottom"/>
            <w:gridSpan w:val="6"/>
          </w:tcPr>
          <w:p>
            <w:pPr>
              <w:ind w:left="220"/>
              <w:spacing w:after="0"/>
              <w:rPr>
                <w:sz w:val="20"/>
                <w:szCs w:val="20"/>
                <w:color w:val="auto"/>
              </w:rPr>
            </w:pPr>
            <w:r>
              <w:rPr>
                <w:rFonts w:ascii="Times New Roman" w:cs="Times New Roman" w:eastAsia="Times New Roman" w:hAnsi="Times New Roman"/>
                <w:sz w:val="19"/>
                <w:szCs w:val="19"/>
                <w:color w:val="auto"/>
              </w:rPr>
              <w:t>2.13  Conversion and Continuation Options.  53</w:t>
            </w: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2.14</w:t>
            </w:r>
          </w:p>
        </w:tc>
        <w:tc>
          <w:tcPr>
            <w:tcW w:w="252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w w:val="99"/>
              </w:rPr>
              <w:t>Limitations on SOFR Tranches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2740" w:type="dxa"/>
            <w:vAlign w:val="bottom"/>
          </w:tcPr>
          <w:p>
            <w:pPr>
              <w:spacing w:after="0"/>
              <w:rPr>
                <w:sz w:val="21"/>
                <w:szCs w:val="21"/>
                <w:color w:val="auto"/>
              </w:rPr>
            </w:pPr>
          </w:p>
        </w:tc>
      </w:tr>
      <w:tr>
        <w:trPr>
          <w:trHeight w:val="250"/>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2.15</w:t>
            </w:r>
          </w:p>
        </w:tc>
        <w:tc>
          <w:tcPr>
            <w:tcW w:w="2920" w:type="dxa"/>
            <w:vAlign w:val="bottom"/>
            <w:gridSpan w:val="4"/>
          </w:tcPr>
          <w:p>
            <w:pPr>
              <w:ind w:left="120"/>
              <w:spacing w:after="0"/>
              <w:rPr>
                <w:sz w:val="20"/>
                <w:szCs w:val="20"/>
                <w:color w:val="auto"/>
              </w:rPr>
            </w:pPr>
            <w:r>
              <w:rPr>
                <w:rFonts w:ascii="Times New Roman" w:cs="Times New Roman" w:eastAsia="Times New Roman" w:hAnsi="Times New Roman"/>
                <w:sz w:val="19"/>
                <w:szCs w:val="19"/>
                <w:color w:val="auto"/>
              </w:rPr>
              <w:t>Interest Rates and Payment Dates.</w:t>
            </w:r>
          </w:p>
        </w:tc>
        <w:tc>
          <w:tcPr>
            <w:tcW w:w="2740" w:type="dxa"/>
            <w:vAlign w:val="bottom"/>
          </w:tcPr>
          <w:p>
            <w:pPr>
              <w:jc w:val="right"/>
              <w:ind w:right="2445"/>
              <w:spacing w:after="0"/>
              <w:rPr>
                <w:sz w:val="20"/>
                <w:szCs w:val="20"/>
                <w:color w:val="auto"/>
              </w:rPr>
            </w:pPr>
            <w:r>
              <w:rPr>
                <w:rFonts w:ascii="Times New Roman" w:cs="Times New Roman" w:eastAsia="Times New Roman" w:hAnsi="Times New Roman"/>
                <w:sz w:val="19"/>
                <w:szCs w:val="19"/>
                <w:color w:val="auto"/>
                <w:w w:val="94"/>
              </w:rPr>
              <w:t>54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2.16</w:t>
            </w:r>
          </w:p>
        </w:tc>
        <w:tc>
          <w:tcPr>
            <w:tcW w:w="5880" w:type="dxa"/>
            <w:vAlign w:val="bottom"/>
            <w:gridSpan w:val="8"/>
          </w:tcPr>
          <w:p>
            <w:pPr>
              <w:ind w:left="120"/>
              <w:spacing w:after="0"/>
              <w:rPr>
                <w:sz w:val="20"/>
                <w:szCs w:val="20"/>
                <w:color w:val="auto"/>
              </w:rPr>
            </w:pPr>
            <w:r>
              <w:rPr>
                <w:rFonts w:ascii="Times New Roman" w:cs="Times New Roman" w:eastAsia="Times New Roman" w:hAnsi="Times New Roman"/>
                <w:sz w:val="19"/>
                <w:szCs w:val="19"/>
                <w:color w:val="auto"/>
              </w:rPr>
              <w:t>Computation of Interest and Fees; Conforming Changes.  54</w:t>
            </w: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2.17</w:t>
            </w:r>
          </w:p>
        </w:tc>
        <w:tc>
          <w:tcPr>
            <w:tcW w:w="5880" w:type="dxa"/>
            <w:vAlign w:val="bottom"/>
            <w:gridSpan w:val="8"/>
          </w:tcPr>
          <w:p>
            <w:pPr>
              <w:ind w:left="120"/>
              <w:spacing w:after="0"/>
              <w:rPr>
                <w:sz w:val="20"/>
                <w:szCs w:val="20"/>
                <w:color w:val="auto"/>
              </w:rPr>
            </w:pPr>
            <w:r>
              <w:rPr>
                <w:rFonts w:ascii="Times New Roman" w:cs="Times New Roman" w:eastAsia="Times New Roman" w:hAnsi="Times New Roman"/>
                <w:sz w:val="19"/>
                <w:szCs w:val="19"/>
                <w:color w:val="auto"/>
              </w:rPr>
              <w:t>Inability to Determine Interest Rate; Benchmark Replacement Setting.  55</w:t>
            </w: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2.18</w:t>
            </w:r>
          </w:p>
        </w:tc>
        <w:tc>
          <w:tcPr>
            <w:tcW w:w="5880" w:type="dxa"/>
            <w:vAlign w:val="bottom"/>
            <w:gridSpan w:val="8"/>
          </w:tcPr>
          <w:p>
            <w:pPr>
              <w:ind w:left="120"/>
              <w:spacing w:after="0"/>
              <w:rPr>
                <w:sz w:val="20"/>
                <w:szCs w:val="20"/>
                <w:color w:val="auto"/>
              </w:rPr>
            </w:pPr>
            <w:r>
              <w:rPr>
                <w:rFonts w:ascii="Times New Roman" w:cs="Times New Roman" w:eastAsia="Times New Roman" w:hAnsi="Times New Roman"/>
                <w:sz w:val="19"/>
                <w:szCs w:val="19"/>
                <w:color w:val="auto"/>
              </w:rPr>
              <w:t>Pro Rata Treatment and Payments.  56</w:t>
            </w: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2.19</w:t>
            </w:r>
          </w:p>
        </w:tc>
        <w:tc>
          <w:tcPr>
            <w:tcW w:w="2660" w:type="dxa"/>
            <w:vAlign w:val="bottom"/>
            <w:gridSpan w:val="7"/>
          </w:tcPr>
          <w:p>
            <w:pPr>
              <w:ind w:left="120"/>
              <w:spacing w:after="0"/>
              <w:rPr>
                <w:sz w:val="20"/>
                <w:szCs w:val="20"/>
                <w:color w:val="auto"/>
              </w:rPr>
            </w:pPr>
            <w:r>
              <w:rPr>
                <w:rFonts w:ascii="Times New Roman" w:cs="Times New Roman" w:eastAsia="Times New Roman" w:hAnsi="Times New Roman"/>
                <w:sz w:val="19"/>
                <w:szCs w:val="19"/>
                <w:color w:val="auto"/>
              </w:rPr>
              <w:t>Illegality; Requirements of Law.</w:t>
            </w:r>
          </w:p>
        </w:tc>
        <w:tc>
          <w:tcPr>
            <w:tcW w:w="3220" w:type="dxa"/>
            <w:vAlign w:val="bottom"/>
          </w:tcPr>
          <w:p>
            <w:pPr>
              <w:jc w:val="right"/>
              <w:ind w:right="2805"/>
              <w:spacing w:after="0"/>
              <w:rPr>
                <w:sz w:val="20"/>
                <w:szCs w:val="20"/>
                <w:color w:val="auto"/>
              </w:rPr>
            </w:pPr>
            <w:r>
              <w:rPr>
                <w:rFonts w:ascii="Times New Roman" w:cs="Times New Roman" w:eastAsia="Times New Roman" w:hAnsi="Times New Roman"/>
                <w:sz w:val="19"/>
                <w:szCs w:val="19"/>
                <w:color w:val="auto"/>
              </w:rPr>
              <w:t>59</w:t>
            </w: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2.20</w:t>
            </w:r>
          </w:p>
        </w:tc>
        <w:tc>
          <w:tcPr>
            <w:tcW w:w="6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Taxes</w:t>
            </w:r>
          </w:p>
        </w:tc>
        <w:tc>
          <w:tcPr>
            <w:tcW w:w="4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61</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2.21</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Indemnity</w:t>
            </w:r>
          </w:p>
        </w:tc>
        <w:tc>
          <w:tcPr>
            <w:tcW w:w="42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65</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2.22</w:t>
            </w:r>
          </w:p>
        </w:tc>
        <w:tc>
          <w:tcPr>
            <w:tcW w:w="2320" w:type="dxa"/>
            <w:vAlign w:val="bottom"/>
            <w:gridSpan w:val="6"/>
          </w:tcPr>
          <w:p>
            <w:pPr>
              <w:ind w:left="120"/>
              <w:spacing w:after="0"/>
              <w:rPr>
                <w:sz w:val="20"/>
                <w:szCs w:val="20"/>
                <w:color w:val="auto"/>
              </w:rPr>
            </w:pPr>
            <w:r>
              <w:rPr>
                <w:rFonts w:ascii="Times New Roman" w:cs="Times New Roman" w:eastAsia="Times New Roman" w:hAnsi="Times New Roman"/>
                <w:sz w:val="19"/>
                <w:szCs w:val="19"/>
                <w:color w:val="auto"/>
              </w:rPr>
              <w:t>Change of Lending Office</w:t>
            </w:r>
          </w:p>
        </w:tc>
        <w:tc>
          <w:tcPr>
            <w:tcW w:w="3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w w:val="94"/>
              </w:rPr>
              <w:t>65</w:t>
            </w:r>
          </w:p>
        </w:tc>
        <w:tc>
          <w:tcPr>
            <w:tcW w:w="3220" w:type="dxa"/>
            <w:vAlign w:val="bottom"/>
          </w:tcPr>
          <w:p>
            <w:pPr>
              <w:spacing w:after="0"/>
              <w:rPr>
                <w:sz w:val="21"/>
                <w:szCs w:val="21"/>
                <w:color w:val="auto"/>
              </w:rPr>
            </w:pP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2.23</w:t>
            </w: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9"/>
                <w:szCs w:val="19"/>
                <w:color w:val="auto"/>
              </w:rPr>
              <w:t>Substitution of Lenders</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2.24</w:t>
            </w:r>
          </w:p>
        </w:tc>
        <w:tc>
          <w:tcPr>
            <w:tcW w:w="1820" w:type="dxa"/>
            <w:vAlign w:val="bottom"/>
            <w:gridSpan w:val="4"/>
          </w:tcPr>
          <w:p>
            <w:pPr>
              <w:ind w:left="120"/>
              <w:spacing w:after="0"/>
              <w:rPr>
                <w:sz w:val="20"/>
                <w:szCs w:val="20"/>
                <w:color w:val="auto"/>
              </w:rPr>
            </w:pPr>
            <w:r>
              <w:rPr>
                <w:rFonts w:ascii="Times New Roman" w:cs="Times New Roman" w:eastAsia="Times New Roman" w:hAnsi="Times New Roman"/>
                <w:sz w:val="19"/>
                <w:szCs w:val="19"/>
                <w:color w:val="auto"/>
              </w:rPr>
              <w:t>Defaulting Lenders.</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2.25</w:t>
            </w:r>
          </w:p>
        </w:tc>
        <w:tc>
          <w:tcPr>
            <w:tcW w:w="66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Notes</w:t>
            </w:r>
          </w:p>
        </w:tc>
        <w:tc>
          <w:tcPr>
            <w:tcW w:w="4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69</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50"/>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2.26</w:t>
            </w:r>
          </w:p>
        </w:tc>
        <w:tc>
          <w:tcPr>
            <w:tcW w:w="2660" w:type="dxa"/>
            <w:vAlign w:val="bottom"/>
            <w:gridSpan w:val="7"/>
          </w:tcPr>
          <w:p>
            <w:pPr>
              <w:ind w:left="120"/>
              <w:spacing w:after="0"/>
              <w:rPr>
                <w:sz w:val="20"/>
                <w:szCs w:val="20"/>
                <w:color w:val="auto"/>
              </w:rPr>
            </w:pPr>
            <w:r>
              <w:rPr>
                <w:rFonts w:ascii="Times New Roman" w:cs="Times New Roman" w:eastAsia="Times New Roman" w:hAnsi="Times New Roman"/>
                <w:sz w:val="19"/>
                <w:szCs w:val="19"/>
                <w:color w:val="auto"/>
              </w:rPr>
              <w:t>Incremental Credit Extensions.</w:t>
            </w:r>
          </w:p>
        </w:tc>
        <w:tc>
          <w:tcPr>
            <w:tcW w:w="3220" w:type="dxa"/>
            <w:vAlign w:val="bottom"/>
          </w:tcPr>
          <w:p>
            <w:pPr>
              <w:jc w:val="right"/>
              <w:ind w:right="2905"/>
              <w:spacing w:after="0"/>
              <w:rPr>
                <w:sz w:val="20"/>
                <w:szCs w:val="20"/>
                <w:color w:val="auto"/>
              </w:rPr>
            </w:pPr>
            <w:r>
              <w:rPr>
                <w:rFonts w:ascii="Times New Roman" w:cs="Times New Roman" w:eastAsia="Times New Roman" w:hAnsi="Times New Roman"/>
                <w:sz w:val="19"/>
                <w:szCs w:val="19"/>
                <w:color w:val="auto"/>
              </w:rPr>
              <w:t>69</w:t>
            </w:r>
          </w:p>
        </w:tc>
      </w:tr>
      <w:tr>
        <w:trPr>
          <w:trHeight w:val="456"/>
        </w:trPr>
        <w:tc>
          <w:tcPr>
            <w:tcW w:w="292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SECTION 3 LETTERS OF CREDIT</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c>
          <w:tcPr>
            <w:tcW w:w="3220" w:type="dxa"/>
            <w:vAlign w:val="bottom"/>
          </w:tcPr>
          <w:p>
            <w:pPr>
              <w:spacing w:after="0"/>
              <w:rPr>
                <w:sz w:val="24"/>
                <w:szCs w:val="24"/>
                <w:color w:val="auto"/>
              </w:rPr>
            </w:pPr>
          </w:p>
        </w:tc>
      </w:tr>
      <w:tr>
        <w:trPr>
          <w:trHeight w:val="42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3.1</w:t>
            </w:r>
          </w:p>
        </w:tc>
        <w:tc>
          <w:tcPr>
            <w:tcW w:w="2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L/C Commitment.</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3.2</w:t>
            </w:r>
          </w:p>
        </w:tc>
        <w:tc>
          <w:tcPr>
            <w:tcW w:w="20" w:type="dxa"/>
            <w:vAlign w:val="bottom"/>
          </w:tcPr>
          <w:p>
            <w:pPr>
              <w:spacing w:after="0"/>
              <w:rPr>
                <w:sz w:val="21"/>
                <w:szCs w:val="21"/>
                <w:color w:val="auto"/>
              </w:rPr>
            </w:pPr>
          </w:p>
        </w:tc>
        <w:tc>
          <w:tcPr>
            <w:tcW w:w="5880" w:type="dxa"/>
            <w:vAlign w:val="bottom"/>
            <w:gridSpan w:val="8"/>
          </w:tcPr>
          <w:p>
            <w:pPr>
              <w:ind w:left="40"/>
              <w:spacing w:after="0"/>
              <w:rPr>
                <w:sz w:val="20"/>
                <w:szCs w:val="20"/>
                <w:color w:val="auto"/>
              </w:rPr>
            </w:pPr>
            <w:r>
              <w:rPr>
                <w:rFonts w:ascii="Times New Roman" w:cs="Times New Roman" w:eastAsia="Times New Roman" w:hAnsi="Times New Roman"/>
                <w:sz w:val="19"/>
                <w:szCs w:val="19"/>
                <w:color w:val="auto"/>
              </w:rPr>
              <w:t>Procedure for Issuance of Letters of Credit  73</w:t>
            </w: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3.3</w:t>
            </w:r>
          </w:p>
        </w:tc>
        <w:tc>
          <w:tcPr>
            <w:tcW w:w="2340" w:type="dxa"/>
            <w:vAlign w:val="bottom"/>
            <w:gridSpan w:val="7"/>
          </w:tcPr>
          <w:p>
            <w:pPr>
              <w:ind w:left="60"/>
              <w:spacing w:after="0"/>
              <w:rPr>
                <w:sz w:val="20"/>
                <w:szCs w:val="20"/>
                <w:color w:val="auto"/>
              </w:rPr>
            </w:pPr>
            <w:r>
              <w:rPr>
                <w:rFonts w:ascii="Times New Roman" w:cs="Times New Roman" w:eastAsia="Times New Roman" w:hAnsi="Times New Roman"/>
                <w:sz w:val="19"/>
                <w:szCs w:val="19"/>
                <w:color w:val="auto"/>
              </w:rPr>
              <w:t>Fees and Other Charges.  73</w:t>
            </w:r>
          </w:p>
        </w:tc>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3.4</w:t>
            </w:r>
          </w:p>
        </w:tc>
        <w:tc>
          <w:tcPr>
            <w:tcW w:w="20" w:type="dxa"/>
            <w:vAlign w:val="bottom"/>
          </w:tcPr>
          <w:p>
            <w:pPr>
              <w:spacing w:after="0"/>
              <w:rPr>
                <w:sz w:val="21"/>
                <w:szCs w:val="21"/>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w w:val="98"/>
              </w:rPr>
              <w:t>L/C Participations.</w:t>
            </w:r>
          </w:p>
        </w:tc>
        <w:tc>
          <w:tcPr>
            <w:tcW w:w="600" w:type="dxa"/>
            <w:vAlign w:val="bottom"/>
            <w:gridSpan w:val="2"/>
          </w:tcPr>
          <w:p>
            <w:pPr>
              <w:jc w:val="right"/>
              <w:ind w:right="125"/>
              <w:spacing w:after="0"/>
              <w:rPr>
                <w:sz w:val="20"/>
                <w:szCs w:val="20"/>
                <w:color w:val="auto"/>
              </w:rPr>
            </w:pPr>
            <w:r>
              <w:rPr>
                <w:rFonts w:ascii="Times New Roman" w:cs="Times New Roman" w:eastAsia="Times New Roman" w:hAnsi="Times New Roman"/>
                <w:sz w:val="19"/>
                <w:szCs w:val="19"/>
                <w:color w:val="auto"/>
              </w:rPr>
              <w:t>74</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3.5</w:t>
            </w:r>
          </w:p>
        </w:tc>
        <w:tc>
          <w:tcPr>
            <w:tcW w:w="20" w:type="dxa"/>
            <w:vAlign w:val="bottom"/>
          </w:tcPr>
          <w:p>
            <w:pPr>
              <w:spacing w:after="0"/>
              <w:rPr>
                <w:sz w:val="21"/>
                <w:szCs w:val="21"/>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Reimbursement.</w:t>
            </w:r>
          </w:p>
        </w:tc>
        <w:tc>
          <w:tcPr>
            <w:tcW w:w="3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w w:val="94"/>
              </w:rPr>
              <w:t>74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3.6</w:t>
            </w:r>
          </w:p>
        </w:tc>
        <w:tc>
          <w:tcPr>
            <w:tcW w:w="20" w:type="dxa"/>
            <w:vAlign w:val="bottom"/>
          </w:tcPr>
          <w:p>
            <w:pPr>
              <w:spacing w:after="0"/>
              <w:rPr>
                <w:sz w:val="20"/>
                <w:szCs w:val="20"/>
                <w:color w:val="auto"/>
              </w:rPr>
            </w:pPr>
          </w:p>
        </w:tc>
        <w:tc>
          <w:tcPr>
            <w:tcW w:w="182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Obligations Absolute</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3.7</w:t>
            </w:r>
          </w:p>
        </w:tc>
        <w:tc>
          <w:tcPr>
            <w:tcW w:w="20" w:type="dxa"/>
            <w:vAlign w:val="bottom"/>
          </w:tcPr>
          <w:p>
            <w:pPr>
              <w:spacing w:after="0"/>
              <w:rPr>
                <w:sz w:val="21"/>
                <w:szCs w:val="21"/>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9"/>
                <w:szCs w:val="19"/>
                <w:color w:val="auto"/>
              </w:rPr>
              <w:t>Letter of Credit Payments</w:t>
            </w:r>
          </w:p>
        </w:tc>
        <w:tc>
          <w:tcPr>
            <w:tcW w:w="580" w:type="dxa"/>
            <w:vAlign w:val="bottom"/>
            <w:gridSpan w:val="2"/>
          </w:tcPr>
          <w:p>
            <w:pPr>
              <w:jc w:val="right"/>
              <w:ind w:right="165"/>
              <w:spacing w:after="0"/>
              <w:rPr>
                <w:sz w:val="20"/>
                <w:szCs w:val="20"/>
                <w:color w:val="auto"/>
              </w:rPr>
            </w:pPr>
            <w:r>
              <w:rPr>
                <w:rFonts w:ascii="Times New Roman" w:cs="Times New Roman" w:eastAsia="Times New Roman" w:hAnsi="Times New Roman"/>
                <w:sz w:val="19"/>
                <w:szCs w:val="19"/>
                <w:color w:val="auto"/>
              </w:rPr>
              <w:t>76</w:t>
            </w:r>
          </w:p>
        </w:tc>
        <w:tc>
          <w:tcPr>
            <w:tcW w:w="3220" w:type="dxa"/>
            <w:vAlign w:val="bottom"/>
          </w:tcPr>
          <w:p>
            <w:pPr>
              <w:spacing w:after="0"/>
              <w:rPr>
                <w:sz w:val="21"/>
                <w:szCs w:val="21"/>
                <w:color w:val="auto"/>
              </w:rPr>
            </w:pP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3.8</w:t>
            </w:r>
          </w:p>
        </w:tc>
        <w:tc>
          <w:tcPr>
            <w:tcW w:w="2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Applications</w:t>
            </w: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76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3.9</w:t>
            </w:r>
          </w:p>
        </w:tc>
        <w:tc>
          <w:tcPr>
            <w:tcW w:w="20" w:type="dxa"/>
            <w:vAlign w:val="bottom"/>
          </w:tcPr>
          <w:p>
            <w:pPr>
              <w:spacing w:after="0"/>
              <w:rPr>
                <w:sz w:val="21"/>
                <w:szCs w:val="21"/>
                <w:color w:val="auto"/>
              </w:rPr>
            </w:pPr>
          </w:p>
        </w:tc>
        <w:tc>
          <w:tcPr>
            <w:tcW w:w="182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Interim Interest  76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3.10</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Cash Collateral.</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50"/>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3.11</w:t>
            </w:r>
          </w:p>
        </w:tc>
        <w:tc>
          <w:tcPr>
            <w:tcW w:w="20" w:type="dxa"/>
            <w:vAlign w:val="bottom"/>
          </w:tcPr>
          <w:p>
            <w:pPr>
              <w:spacing w:after="0"/>
              <w:rPr>
                <w:sz w:val="21"/>
                <w:szCs w:val="21"/>
                <w:color w:val="auto"/>
              </w:rPr>
            </w:pPr>
          </w:p>
        </w:tc>
        <w:tc>
          <w:tcPr>
            <w:tcW w:w="2320" w:type="dxa"/>
            <w:vAlign w:val="bottom"/>
            <w:gridSpan w:val="6"/>
          </w:tcPr>
          <w:p>
            <w:pPr>
              <w:ind w:left="120"/>
              <w:spacing w:after="0"/>
              <w:rPr>
                <w:sz w:val="20"/>
                <w:szCs w:val="20"/>
                <w:color w:val="auto"/>
              </w:rPr>
            </w:pPr>
            <w:r>
              <w:rPr>
                <w:rFonts w:ascii="Times New Roman" w:cs="Times New Roman" w:eastAsia="Times New Roman" w:hAnsi="Times New Roman"/>
                <w:sz w:val="19"/>
                <w:szCs w:val="19"/>
                <w:color w:val="auto"/>
              </w:rPr>
              <w:t>Additional Issuing Lenders</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3220" w:type="dxa"/>
            <w:vAlign w:val="bottom"/>
          </w:tcPr>
          <w:p>
            <w:pPr>
              <w:spacing w:after="0"/>
              <w:rPr>
                <w:sz w:val="21"/>
                <w:szCs w:val="21"/>
                <w:color w:val="auto"/>
              </w:rPr>
            </w:pPr>
          </w:p>
        </w:tc>
      </w:tr>
    </w:tbl>
    <w:p>
      <w:pPr>
        <w:spacing w:after="0" w:line="49"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-123825</wp:posOffset>
            </wp:positionV>
            <wp:extent cx="6748145" cy="2317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6748145" cy="231775"/>
                    </a:xfrm>
                    <a:prstGeom prst="rect">
                      <a:avLst/>
                    </a:prstGeom>
                    <a:noFill/>
                  </pic:spPr>
                </pic:pic>
              </a:graphicData>
            </a:graphic>
          </wp:anchor>
        </w:drawing>
      </w:r>
    </w:p>
    <w:p>
      <w:pPr>
        <w:spacing w:after="0" w:line="12" w:lineRule="exact"/>
        <w:rPr>
          <w:sz w:val="20"/>
          <w:szCs w:val="20"/>
          <w:color w:val="auto"/>
        </w:rPr>
      </w:pPr>
    </w:p>
    <w:p>
      <w:pPr>
        <w:ind w:left="10860"/>
        <w:spacing w:after="0"/>
        <w:rPr>
          <w:sz w:val="20"/>
          <w:szCs w:val="20"/>
          <w:color w:val="auto"/>
        </w:rPr>
      </w:pPr>
      <w:r>
        <w:rPr>
          <w:rFonts w:ascii="Times New Roman" w:cs="Times New Roman" w:eastAsia="Times New Roman" w:hAnsi="Times New Roman"/>
          <w:sz w:val="19"/>
          <w:szCs w:val="19"/>
          <w:color w:val="auto"/>
        </w:rPr>
        <w:t>i-</w:t>
      </w:r>
    </w:p>
    <w:p>
      <w:pPr>
        <w:sectPr>
          <w:pgSz w:w="11900" w:h="16838" w:orient="portrait"/>
          <w:cols w:equalWidth="0" w:num="1">
            <w:col w:w="11240"/>
          </w:cols>
          <w:pgMar w:left="320" w:top="11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(continued)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3.12</w:t>
            </w:r>
          </w:p>
        </w:tc>
        <w:tc>
          <w:tcPr>
            <w:tcW w:w="2740" w:type="dxa"/>
            <w:vAlign w:val="bottom"/>
            <w:gridSpan w:val="6"/>
          </w:tcPr>
          <w:p>
            <w:pPr>
              <w:ind w:left="120"/>
              <w:spacing w:after="0"/>
              <w:rPr>
                <w:sz w:val="20"/>
                <w:szCs w:val="20"/>
                <w:color w:val="auto"/>
              </w:rPr>
            </w:pPr>
            <w:r>
              <w:rPr>
                <w:rFonts w:ascii="Times New Roman" w:cs="Times New Roman" w:eastAsia="Times New Roman" w:hAnsi="Times New Roman"/>
                <w:sz w:val="19"/>
                <w:szCs w:val="19"/>
                <w:color w:val="auto"/>
              </w:rPr>
              <w:t>Resignation of the Issuing Lender</w:t>
            </w:r>
          </w:p>
        </w:tc>
        <w:tc>
          <w:tcPr>
            <w:tcW w:w="160" w:type="dxa"/>
            <w:vAlign w:val="bottom"/>
          </w:tcPr>
          <w:p>
            <w:pPr>
              <w:spacing w:after="0"/>
              <w:rPr>
                <w:sz w:val="20"/>
                <w:szCs w:val="20"/>
                <w:color w:val="auto"/>
              </w:rPr>
            </w:pPr>
          </w:p>
        </w:tc>
        <w:tc>
          <w:tcPr>
            <w:tcW w:w="840" w:type="dxa"/>
            <w:vAlign w:val="bottom"/>
          </w:tcPr>
          <w:p>
            <w:pPr>
              <w:jc w:val="right"/>
              <w:ind w:right="545"/>
              <w:spacing w:after="0"/>
              <w:rPr>
                <w:sz w:val="20"/>
                <w:szCs w:val="20"/>
                <w:color w:val="auto"/>
              </w:rPr>
            </w:pPr>
            <w:r>
              <w:rPr>
                <w:rFonts w:ascii="Times New Roman" w:cs="Times New Roman" w:eastAsia="Times New Roman" w:hAnsi="Times New Roman"/>
                <w:sz w:val="19"/>
                <w:szCs w:val="19"/>
                <w:color w:val="auto"/>
                <w:w w:val="94"/>
              </w:rPr>
              <w:t>77</w:t>
            </w:r>
          </w:p>
        </w:tc>
        <w:tc>
          <w:tcPr>
            <w:tcW w:w="520" w:type="dxa"/>
            <w:vAlign w:val="bottom"/>
          </w:tcPr>
          <w:p>
            <w:pPr>
              <w:spacing w:after="0"/>
              <w:rPr>
                <w:sz w:val="20"/>
                <w:szCs w:val="20"/>
                <w:color w:val="auto"/>
              </w:rPr>
            </w:pPr>
          </w:p>
        </w:tc>
      </w:tr>
      <w:tr>
        <w:trPr>
          <w:trHeight w:val="250"/>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3.13</w:t>
            </w:r>
          </w:p>
        </w:tc>
        <w:tc>
          <w:tcPr>
            <w:tcW w:w="1740" w:type="dxa"/>
            <w:vAlign w:val="bottom"/>
            <w:gridSpan w:val="4"/>
          </w:tcPr>
          <w:p>
            <w:pPr>
              <w:ind w:left="120"/>
              <w:spacing w:after="0"/>
              <w:rPr>
                <w:sz w:val="20"/>
                <w:szCs w:val="20"/>
                <w:color w:val="auto"/>
              </w:rPr>
            </w:pPr>
            <w:r>
              <w:rPr>
                <w:rFonts w:ascii="Times New Roman" w:cs="Times New Roman" w:eastAsia="Times New Roman" w:hAnsi="Times New Roman"/>
                <w:sz w:val="19"/>
                <w:szCs w:val="19"/>
                <w:color w:val="auto"/>
              </w:rPr>
              <w:t>Applicability of ISP</w:t>
            </w:r>
          </w:p>
        </w:tc>
        <w:tc>
          <w:tcPr>
            <w:tcW w:w="1000" w:type="dxa"/>
            <w:vAlign w:val="bottom"/>
            <w:gridSpan w:val="2"/>
          </w:tcPr>
          <w:p>
            <w:pPr>
              <w:jc w:val="right"/>
              <w:ind w:right="605"/>
              <w:spacing w:after="0"/>
              <w:rPr>
                <w:sz w:val="20"/>
                <w:szCs w:val="20"/>
                <w:color w:val="auto"/>
              </w:rPr>
            </w:pPr>
            <w:r>
              <w:rPr>
                <w:rFonts w:ascii="Times New Roman" w:cs="Times New Roman" w:eastAsia="Times New Roman" w:hAnsi="Times New Roman"/>
                <w:sz w:val="19"/>
                <w:szCs w:val="19"/>
                <w:color w:val="auto"/>
              </w:rPr>
              <w:t>78</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56"/>
        </w:trPr>
        <w:tc>
          <w:tcPr>
            <w:tcW w:w="486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SECTION 4 REPRESENTATIONS AND WARRANTIES  78</w:t>
            </w:r>
          </w:p>
        </w:tc>
      </w:tr>
      <w:tr>
        <w:trPr>
          <w:trHeight w:val="42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4.1</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Financial Condition.</w:t>
            </w:r>
          </w:p>
        </w:tc>
        <w:tc>
          <w:tcPr>
            <w:tcW w:w="240" w:type="dxa"/>
            <w:vAlign w:val="bottom"/>
          </w:tcPr>
          <w:p>
            <w:pPr>
              <w:ind w:left="60"/>
              <w:spacing w:after="0"/>
              <w:rPr>
                <w:sz w:val="20"/>
                <w:szCs w:val="20"/>
                <w:color w:val="auto"/>
              </w:rPr>
            </w:pPr>
            <w:r>
              <w:rPr>
                <w:rFonts w:ascii="Times New Roman" w:cs="Times New Roman" w:eastAsia="Times New Roman" w:hAnsi="Times New Roman"/>
                <w:sz w:val="19"/>
                <w:szCs w:val="19"/>
                <w:color w:val="auto"/>
                <w:w w:val="83"/>
              </w:rPr>
              <w:t>78</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4.2</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w w:val="99"/>
              </w:rPr>
              <w:t>No Change</w:t>
            </w:r>
          </w:p>
        </w:tc>
        <w:tc>
          <w:tcPr>
            <w:tcW w:w="820" w:type="dxa"/>
            <w:vAlign w:val="bottom"/>
            <w:gridSpan w:val="2"/>
          </w:tcPr>
          <w:p>
            <w:pPr>
              <w:jc w:val="right"/>
              <w:ind w:right="365"/>
              <w:spacing w:after="0"/>
              <w:rPr>
                <w:sz w:val="20"/>
                <w:szCs w:val="20"/>
                <w:color w:val="auto"/>
              </w:rPr>
            </w:pPr>
            <w:r>
              <w:rPr>
                <w:rFonts w:ascii="Times New Roman" w:cs="Times New Roman" w:eastAsia="Times New Roman" w:hAnsi="Times New Roman"/>
                <w:sz w:val="19"/>
                <w:szCs w:val="19"/>
                <w:color w:val="auto"/>
              </w:rPr>
              <w:t>78</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4.3</w:t>
            </w:r>
          </w:p>
        </w:tc>
        <w:tc>
          <w:tcPr>
            <w:tcW w:w="2740" w:type="dxa"/>
            <w:vAlign w:val="bottom"/>
            <w:gridSpan w:val="6"/>
          </w:tcPr>
          <w:p>
            <w:pPr>
              <w:ind w:left="40"/>
              <w:spacing w:after="0"/>
              <w:rPr>
                <w:sz w:val="20"/>
                <w:szCs w:val="20"/>
                <w:color w:val="auto"/>
              </w:rPr>
            </w:pPr>
            <w:r>
              <w:rPr>
                <w:rFonts w:ascii="Times New Roman" w:cs="Times New Roman" w:eastAsia="Times New Roman" w:hAnsi="Times New Roman"/>
                <w:sz w:val="19"/>
                <w:szCs w:val="19"/>
                <w:color w:val="auto"/>
              </w:rPr>
              <w:t>Existence; Compliance with Law</w:t>
            </w:r>
          </w:p>
        </w:tc>
        <w:tc>
          <w:tcPr>
            <w:tcW w:w="1000" w:type="dxa"/>
            <w:vAlign w:val="bottom"/>
            <w:gridSpan w:val="2"/>
          </w:tcPr>
          <w:p>
            <w:pPr>
              <w:jc w:val="right"/>
              <w:ind w:right="685"/>
              <w:spacing w:after="0"/>
              <w:rPr>
                <w:sz w:val="20"/>
                <w:szCs w:val="20"/>
                <w:color w:val="auto"/>
              </w:rPr>
            </w:pPr>
            <w:r>
              <w:rPr>
                <w:rFonts w:ascii="Times New Roman" w:cs="Times New Roman" w:eastAsia="Times New Roman" w:hAnsi="Times New Roman"/>
                <w:sz w:val="19"/>
                <w:szCs w:val="19"/>
                <w:color w:val="auto"/>
              </w:rPr>
              <w:t>78</w:t>
            </w:r>
          </w:p>
        </w:tc>
        <w:tc>
          <w:tcPr>
            <w:tcW w:w="52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4.4</w:t>
            </w:r>
          </w:p>
        </w:tc>
        <w:tc>
          <w:tcPr>
            <w:tcW w:w="3740" w:type="dxa"/>
            <w:vAlign w:val="bottom"/>
            <w:gridSpan w:val="8"/>
          </w:tcPr>
          <w:p>
            <w:pPr>
              <w:ind w:left="40"/>
              <w:spacing w:after="0"/>
              <w:rPr>
                <w:sz w:val="20"/>
                <w:szCs w:val="20"/>
                <w:color w:val="auto"/>
              </w:rPr>
            </w:pPr>
            <w:r>
              <w:rPr>
                <w:rFonts w:ascii="Times New Roman" w:cs="Times New Roman" w:eastAsia="Times New Roman" w:hAnsi="Times New Roman"/>
                <w:sz w:val="19"/>
                <w:szCs w:val="19"/>
                <w:color w:val="auto"/>
              </w:rPr>
              <w:t>Power, Authorization; Enforceable Obligations</w:t>
            </w:r>
          </w:p>
        </w:tc>
        <w:tc>
          <w:tcPr>
            <w:tcW w:w="52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79</w:t>
            </w: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4.5</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auto"/>
              </w:rPr>
              <w:t>No Legal Bar</w:t>
            </w:r>
          </w:p>
        </w:tc>
        <w:tc>
          <w:tcPr>
            <w:tcW w:w="4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w w:val="94"/>
              </w:rPr>
              <w:t>79</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4.6</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Litigation</w:t>
            </w:r>
          </w:p>
        </w:tc>
        <w:tc>
          <w:tcPr>
            <w:tcW w:w="3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79</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4.7</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No Default</w:t>
            </w:r>
          </w:p>
        </w:tc>
        <w:tc>
          <w:tcPr>
            <w:tcW w:w="820" w:type="dxa"/>
            <w:vAlign w:val="bottom"/>
            <w:gridSpan w:val="2"/>
          </w:tcPr>
          <w:p>
            <w:pPr>
              <w:jc w:val="right"/>
              <w:ind w:right="385"/>
              <w:spacing w:after="0"/>
              <w:rPr>
                <w:sz w:val="20"/>
                <w:szCs w:val="20"/>
                <w:color w:val="auto"/>
              </w:rPr>
            </w:pPr>
            <w:r>
              <w:rPr>
                <w:rFonts w:ascii="Times New Roman" w:cs="Times New Roman" w:eastAsia="Times New Roman" w:hAnsi="Times New Roman"/>
                <w:sz w:val="19"/>
                <w:szCs w:val="19"/>
                <w:color w:val="auto"/>
              </w:rPr>
              <w:t>79</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4.8</w:t>
            </w:r>
          </w:p>
        </w:tc>
        <w:tc>
          <w:tcPr>
            <w:tcW w:w="3740" w:type="dxa"/>
            <w:vAlign w:val="bottom"/>
            <w:gridSpan w:val="8"/>
          </w:tcPr>
          <w:p>
            <w:pPr>
              <w:ind w:left="40"/>
              <w:spacing w:after="0"/>
              <w:rPr>
                <w:sz w:val="20"/>
                <w:szCs w:val="20"/>
                <w:color w:val="auto"/>
              </w:rPr>
            </w:pPr>
            <w:r>
              <w:rPr>
                <w:rFonts w:ascii="Times New Roman" w:cs="Times New Roman" w:eastAsia="Times New Roman" w:hAnsi="Times New Roman"/>
                <w:sz w:val="19"/>
                <w:szCs w:val="19"/>
                <w:color w:val="auto"/>
              </w:rPr>
              <w:t>Ownership of Property; Liens; Investments  79</w:t>
            </w:r>
          </w:p>
        </w:tc>
        <w:tc>
          <w:tcPr>
            <w:tcW w:w="52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4.9</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Intellectual Property</w:t>
            </w:r>
          </w:p>
        </w:tc>
        <w:tc>
          <w:tcPr>
            <w:tcW w:w="240" w:type="dxa"/>
            <w:vAlign w:val="bottom"/>
          </w:tcPr>
          <w:p>
            <w:pPr>
              <w:ind w:left="40"/>
              <w:spacing w:after="0"/>
              <w:rPr>
                <w:sz w:val="20"/>
                <w:szCs w:val="20"/>
                <w:color w:val="auto"/>
              </w:rPr>
            </w:pPr>
            <w:r>
              <w:rPr>
                <w:rFonts w:ascii="Times New Roman" w:cs="Times New Roman" w:eastAsia="Times New Roman" w:hAnsi="Times New Roman"/>
                <w:sz w:val="19"/>
                <w:szCs w:val="19"/>
                <w:color w:val="auto"/>
                <w:w w:val="94"/>
              </w:rPr>
              <w:t>80</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4.10</w:t>
            </w:r>
          </w:p>
        </w:tc>
        <w:tc>
          <w:tcPr>
            <w:tcW w:w="7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Taxes</w:t>
            </w:r>
          </w:p>
        </w:tc>
        <w:tc>
          <w:tcPr>
            <w:tcW w:w="520" w:type="dxa"/>
            <w:vAlign w:val="bottom"/>
            <w:gridSpan w:val="2"/>
          </w:tcPr>
          <w:p>
            <w:pPr>
              <w:jc w:val="right"/>
              <w:ind w:right="205"/>
              <w:spacing w:after="0"/>
              <w:rPr>
                <w:sz w:val="20"/>
                <w:szCs w:val="20"/>
                <w:color w:val="auto"/>
              </w:rPr>
            </w:pPr>
            <w:r>
              <w:rPr>
                <w:rFonts w:ascii="Times New Roman" w:cs="Times New Roman" w:eastAsia="Times New Roman" w:hAnsi="Times New Roman"/>
                <w:sz w:val="19"/>
                <w:szCs w:val="19"/>
                <w:color w:val="auto"/>
              </w:rPr>
              <w:t>80</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4.11</w:t>
            </w:r>
          </w:p>
        </w:tc>
        <w:tc>
          <w:tcPr>
            <w:tcW w:w="1740" w:type="dxa"/>
            <w:vAlign w:val="bottom"/>
            <w:gridSpan w:val="4"/>
          </w:tcPr>
          <w:p>
            <w:pPr>
              <w:ind w:left="120"/>
              <w:spacing w:after="0"/>
              <w:rPr>
                <w:sz w:val="20"/>
                <w:szCs w:val="20"/>
                <w:color w:val="auto"/>
              </w:rPr>
            </w:pPr>
            <w:r>
              <w:rPr>
                <w:rFonts w:ascii="Times New Roman" w:cs="Times New Roman" w:eastAsia="Times New Roman" w:hAnsi="Times New Roman"/>
                <w:sz w:val="19"/>
                <w:szCs w:val="19"/>
                <w:color w:val="auto"/>
              </w:rPr>
              <w:t>Federal Regulations</w:t>
            </w:r>
          </w:p>
        </w:tc>
        <w:tc>
          <w:tcPr>
            <w:tcW w:w="1000" w:type="dxa"/>
            <w:vAlign w:val="bottom"/>
            <w:gridSpan w:val="2"/>
          </w:tcPr>
          <w:p>
            <w:pPr>
              <w:jc w:val="right"/>
              <w:ind w:right="605"/>
              <w:spacing w:after="0"/>
              <w:rPr>
                <w:sz w:val="20"/>
                <w:szCs w:val="20"/>
                <w:color w:val="auto"/>
              </w:rPr>
            </w:pPr>
            <w:r>
              <w:rPr>
                <w:rFonts w:ascii="Times New Roman" w:cs="Times New Roman" w:eastAsia="Times New Roman" w:hAnsi="Times New Roman"/>
                <w:sz w:val="19"/>
                <w:szCs w:val="19"/>
                <w:color w:val="auto"/>
              </w:rPr>
              <w:t>80</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4.12</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Labor Matters</w:t>
            </w:r>
          </w:p>
        </w:tc>
        <w:tc>
          <w:tcPr>
            <w:tcW w:w="4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80</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4.13</w:t>
            </w:r>
          </w:p>
        </w:tc>
        <w:tc>
          <w:tcPr>
            <w:tcW w:w="7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ERISA.</w:t>
            </w:r>
          </w:p>
        </w:tc>
        <w:tc>
          <w:tcPr>
            <w:tcW w:w="180" w:type="dxa"/>
            <w:vAlign w:val="bottom"/>
          </w:tcPr>
          <w:p>
            <w:pPr>
              <w:spacing w:after="0"/>
              <w:rPr>
                <w:sz w:val="20"/>
                <w:szCs w:val="20"/>
                <w:color w:val="auto"/>
              </w:rPr>
            </w:pPr>
          </w:p>
        </w:tc>
        <w:tc>
          <w:tcPr>
            <w:tcW w:w="34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w w:val="83"/>
              </w:rPr>
              <w:t>80</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4.14</w:t>
            </w:r>
          </w:p>
        </w:tc>
        <w:tc>
          <w:tcPr>
            <w:tcW w:w="3740" w:type="dxa"/>
            <w:vAlign w:val="bottom"/>
            <w:gridSpan w:val="8"/>
          </w:tcPr>
          <w:p>
            <w:pPr>
              <w:ind w:left="120"/>
              <w:spacing w:after="0"/>
              <w:rPr>
                <w:sz w:val="20"/>
                <w:szCs w:val="20"/>
                <w:color w:val="auto"/>
              </w:rPr>
            </w:pPr>
            <w:r>
              <w:rPr>
                <w:rFonts w:ascii="Times New Roman" w:cs="Times New Roman" w:eastAsia="Times New Roman" w:hAnsi="Times New Roman"/>
                <w:sz w:val="19"/>
                <w:szCs w:val="19"/>
                <w:color w:val="auto"/>
              </w:rPr>
              <w:t>Investment Company Act; Other Regulations</w:t>
            </w:r>
          </w:p>
        </w:tc>
        <w:tc>
          <w:tcPr>
            <w:tcW w:w="520" w:type="dxa"/>
            <w:vAlign w:val="bottom"/>
          </w:tcPr>
          <w:p>
            <w:pPr>
              <w:jc w:val="right"/>
              <w:ind w:right="205"/>
              <w:spacing w:after="0"/>
              <w:rPr>
                <w:sz w:val="20"/>
                <w:szCs w:val="20"/>
                <w:color w:val="auto"/>
              </w:rPr>
            </w:pPr>
            <w:r>
              <w:rPr>
                <w:rFonts w:ascii="Times New Roman" w:cs="Times New Roman" w:eastAsia="Times New Roman" w:hAnsi="Times New Roman"/>
                <w:sz w:val="19"/>
                <w:szCs w:val="19"/>
                <w:color w:val="auto"/>
              </w:rPr>
              <w:t>81</w:t>
            </w: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4.15</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Subsidiaries.</w:t>
            </w:r>
          </w:p>
        </w:tc>
        <w:tc>
          <w:tcPr>
            <w:tcW w:w="48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auto"/>
              </w:rPr>
              <w:t>82</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4.16</w:t>
            </w:r>
          </w:p>
        </w:tc>
        <w:tc>
          <w:tcPr>
            <w:tcW w:w="1980" w:type="dxa"/>
            <w:vAlign w:val="bottom"/>
            <w:gridSpan w:val="5"/>
          </w:tcPr>
          <w:p>
            <w:pPr>
              <w:ind w:left="120"/>
              <w:spacing w:after="0"/>
              <w:rPr>
                <w:sz w:val="20"/>
                <w:szCs w:val="20"/>
                <w:color w:val="auto"/>
              </w:rPr>
            </w:pPr>
            <w:r>
              <w:rPr>
                <w:rFonts w:ascii="Times New Roman" w:cs="Times New Roman" w:eastAsia="Times New Roman" w:hAnsi="Times New Roman"/>
                <w:sz w:val="19"/>
                <w:szCs w:val="19"/>
                <w:color w:val="auto"/>
              </w:rPr>
              <w:t>Use of Proceeds  82</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4.17</w:t>
            </w:r>
          </w:p>
        </w:tc>
        <w:tc>
          <w:tcPr>
            <w:tcW w:w="1980" w:type="dxa"/>
            <w:vAlign w:val="bottom"/>
            <w:gridSpan w:val="5"/>
          </w:tcPr>
          <w:p>
            <w:pPr>
              <w:ind w:left="120"/>
              <w:spacing w:after="0"/>
              <w:rPr>
                <w:sz w:val="20"/>
                <w:szCs w:val="20"/>
                <w:color w:val="auto"/>
              </w:rPr>
            </w:pPr>
            <w:r>
              <w:rPr>
                <w:rFonts w:ascii="Times New Roman" w:cs="Times New Roman" w:eastAsia="Times New Roman" w:hAnsi="Times New Roman"/>
                <w:sz w:val="19"/>
                <w:szCs w:val="19"/>
                <w:color w:val="auto"/>
              </w:rPr>
              <w:t>Environmental Matters</w:t>
            </w:r>
          </w:p>
        </w:tc>
        <w:tc>
          <w:tcPr>
            <w:tcW w:w="760" w:type="dxa"/>
            <w:vAlign w:val="bottom"/>
          </w:tcPr>
          <w:p>
            <w:pPr>
              <w:jc w:val="right"/>
              <w:ind w:right="365"/>
              <w:spacing w:after="0"/>
              <w:rPr>
                <w:sz w:val="20"/>
                <w:szCs w:val="20"/>
                <w:color w:val="auto"/>
              </w:rPr>
            </w:pPr>
            <w:r>
              <w:rPr>
                <w:rFonts w:ascii="Times New Roman" w:cs="Times New Roman" w:eastAsia="Times New Roman" w:hAnsi="Times New Roman"/>
                <w:sz w:val="19"/>
                <w:szCs w:val="19"/>
                <w:color w:val="auto"/>
              </w:rPr>
              <w:t>82</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4.18</w:t>
            </w:r>
          </w:p>
        </w:tc>
        <w:tc>
          <w:tcPr>
            <w:tcW w:w="2740" w:type="dxa"/>
            <w:vAlign w:val="bottom"/>
            <w:gridSpan w:val="6"/>
          </w:tcPr>
          <w:p>
            <w:pPr>
              <w:ind w:left="120"/>
              <w:spacing w:after="0"/>
              <w:rPr>
                <w:sz w:val="20"/>
                <w:szCs w:val="20"/>
                <w:color w:val="auto"/>
              </w:rPr>
            </w:pPr>
            <w:r>
              <w:rPr>
                <w:rFonts w:ascii="Times New Roman" w:cs="Times New Roman" w:eastAsia="Times New Roman" w:hAnsi="Times New Roman"/>
                <w:sz w:val="19"/>
                <w:szCs w:val="19"/>
                <w:color w:val="auto"/>
              </w:rPr>
              <w:t>Accuracy of Information, etc  83</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4.19</w:t>
            </w:r>
          </w:p>
        </w:tc>
        <w:tc>
          <w:tcPr>
            <w:tcW w:w="1740" w:type="dxa"/>
            <w:vAlign w:val="bottom"/>
            <w:gridSpan w:val="4"/>
          </w:tcPr>
          <w:p>
            <w:pPr>
              <w:ind w:left="120"/>
              <w:spacing w:after="0"/>
              <w:rPr>
                <w:sz w:val="20"/>
                <w:szCs w:val="20"/>
                <w:color w:val="auto"/>
              </w:rPr>
            </w:pPr>
            <w:r>
              <w:rPr>
                <w:rFonts w:ascii="Times New Roman" w:cs="Times New Roman" w:eastAsia="Times New Roman" w:hAnsi="Times New Roman"/>
                <w:sz w:val="19"/>
                <w:szCs w:val="19"/>
                <w:color w:val="auto"/>
              </w:rPr>
              <w:t>Security Documents.</w:t>
            </w:r>
          </w:p>
        </w:tc>
        <w:tc>
          <w:tcPr>
            <w:tcW w:w="1000" w:type="dxa"/>
            <w:vAlign w:val="bottom"/>
            <w:gridSpan w:val="2"/>
          </w:tcPr>
          <w:p>
            <w:pPr>
              <w:jc w:val="right"/>
              <w:ind w:right="525"/>
              <w:spacing w:after="0"/>
              <w:rPr>
                <w:sz w:val="20"/>
                <w:szCs w:val="20"/>
                <w:color w:val="auto"/>
              </w:rPr>
            </w:pPr>
            <w:r>
              <w:rPr>
                <w:rFonts w:ascii="Times New Roman" w:cs="Times New Roman" w:eastAsia="Times New Roman" w:hAnsi="Times New Roman"/>
                <w:sz w:val="19"/>
                <w:szCs w:val="19"/>
                <w:color w:val="auto"/>
              </w:rPr>
              <w:t>83</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4.20</w:t>
            </w:r>
          </w:p>
        </w:tc>
        <w:tc>
          <w:tcPr>
            <w:tcW w:w="2740" w:type="dxa"/>
            <w:vAlign w:val="bottom"/>
            <w:gridSpan w:val="6"/>
          </w:tcPr>
          <w:p>
            <w:pPr>
              <w:ind w:left="120"/>
              <w:spacing w:after="0"/>
              <w:rPr>
                <w:sz w:val="20"/>
                <w:szCs w:val="20"/>
                <w:color w:val="auto"/>
              </w:rPr>
            </w:pPr>
            <w:r>
              <w:rPr>
                <w:rFonts w:ascii="Times New Roman" w:cs="Times New Roman" w:eastAsia="Times New Roman" w:hAnsi="Times New Roman"/>
                <w:sz w:val="19"/>
                <w:szCs w:val="19"/>
                <w:color w:val="auto"/>
              </w:rPr>
              <w:t>Solvency; Voidable Transaction</w:t>
            </w:r>
          </w:p>
        </w:tc>
        <w:tc>
          <w:tcPr>
            <w:tcW w:w="1000" w:type="dxa"/>
            <w:vAlign w:val="bottom"/>
            <w:gridSpan w:val="2"/>
          </w:tcPr>
          <w:p>
            <w:pPr>
              <w:jc w:val="right"/>
              <w:ind w:right="705"/>
              <w:spacing w:after="0"/>
              <w:rPr>
                <w:sz w:val="20"/>
                <w:szCs w:val="20"/>
                <w:color w:val="auto"/>
              </w:rPr>
            </w:pPr>
            <w:r>
              <w:rPr>
                <w:rFonts w:ascii="Times New Roman" w:cs="Times New Roman" w:eastAsia="Times New Roman" w:hAnsi="Times New Roman"/>
                <w:sz w:val="19"/>
                <w:szCs w:val="19"/>
                <w:color w:val="auto"/>
                <w:w w:val="94"/>
              </w:rPr>
              <w:t>84</w:t>
            </w:r>
          </w:p>
        </w:tc>
        <w:tc>
          <w:tcPr>
            <w:tcW w:w="52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4.21</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Regulation H</w:t>
            </w:r>
          </w:p>
        </w:tc>
        <w:tc>
          <w:tcPr>
            <w:tcW w:w="48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rPr>
              <w:t>84</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4.22</w:t>
            </w:r>
          </w:p>
        </w:tc>
        <w:tc>
          <w:tcPr>
            <w:tcW w:w="2740" w:type="dxa"/>
            <w:vAlign w:val="bottom"/>
            <w:gridSpan w:val="6"/>
          </w:tcPr>
          <w:p>
            <w:pPr>
              <w:ind w:left="120"/>
              <w:spacing w:after="0"/>
              <w:rPr>
                <w:sz w:val="20"/>
                <w:szCs w:val="20"/>
                <w:color w:val="auto"/>
              </w:rPr>
            </w:pPr>
            <w:r>
              <w:rPr>
                <w:rFonts w:ascii="Times New Roman" w:cs="Times New Roman" w:eastAsia="Times New Roman" w:hAnsi="Times New Roman"/>
                <w:sz w:val="19"/>
                <w:szCs w:val="19"/>
                <w:color w:val="auto"/>
              </w:rPr>
              <w:t>Designated Senior Indebtedness</w:t>
            </w:r>
          </w:p>
        </w:tc>
        <w:tc>
          <w:tcPr>
            <w:tcW w:w="1000" w:type="dxa"/>
            <w:vAlign w:val="bottom"/>
            <w:gridSpan w:val="2"/>
          </w:tcPr>
          <w:p>
            <w:pPr>
              <w:jc w:val="right"/>
              <w:ind w:right="685"/>
              <w:spacing w:after="0"/>
              <w:rPr>
                <w:sz w:val="20"/>
                <w:szCs w:val="20"/>
                <w:color w:val="auto"/>
              </w:rPr>
            </w:pPr>
            <w:r>
              <w:rPr>
                <w:rFonts w:ascii="Times New Roman" w:cs="Times New Roman" w:eastAsia="Times New Roman" w:hAnsi="Times New Roman"/>
                <w:sz w:val="19"/>
                <w:szCs w:val="19"/>
                <w:color w:val="auto"/>
              </w:rPr>
              <w:t>84</w:t>
            </w:r>
          </w:p>
        </w:tc>
        <w:tc>
          <w:tcPr>
            <w:tcW w:w="52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4.23</w:t>
            </w:r>
          </w:p>
        </w:tc>
        <w:tc>
          <w:tcPr>
            <w:tcW w:w="1980" w:type="dxa"/>
            <w:vAlign w:val="bottom"/>
            <w:gridSpan w:val="5"/>
          </w:tcPr>
          <w:p>
            <w:pPr>
              <w:ind w:left="120"/>
              <w:spacing w:after="0"/>
              <w:rPr>
                <w:sz w:val="20"/>
                <w:szCs w:val="20"/>
                <w:color w:val="auto"/>
              </w:rPr>
            </w:pPr>
            <w:r>
              <w:rPr>
                <w:rFonts w:ascii="Times New Roman" w:cs="Times New Roman" w:eastAsia="Times New Roman" w:hAnsi="Times New Roman"/>
                <w:sz w:val="19"/>
                <w:szCs w:val="19"/>
                <w:color w:val="auto"/>
              </w:rPr>
              <w:t>Beneficial Ownership</w:t>
            </w:r>
          </w:p>
        </w:tc>
        <w:tc>
          <w:tcPr>
            <w:tcW w:w="760" w:type="dxa"/>
            <w:vAlign w:val="bottom"/>
          </w:tcPr>
          <w:p>
            <w:pPr>
              <w:jc w:val="right"/>
              <w:ind w:right="465"/>
              <w:spacing w:after="0"/>
              <w:rPr>
                <w:sz w:val="20"/>
                <w:szCs w:val="20"/>
                <w:color w:val="auto"/>
              </w:rPr>
            </w:pPr>
            <w:r>
              <w:rPr>
                <w:rFonts w:ascii="Times New Roman" w:cs="Times New Roman" w:eastAsia="Times New Roman" w:hAnsi="Times New Roman"/>
                <w:sz w:val="19"/>
                <w:szCs w:val="19"/>
                <w:color w:val="auto"/>
                <w:w w:val="94"/>
              </w:rPr>
              <w:t>85</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4.24</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Insurance</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4.25</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No Casualty</w:t>
            </w:r>
          </w:p>
        </w:tc>
        <w:tc>
          <w:tcPr>
            <w:tcW w:w="4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w w:val="94"/>
              </w:rPr>
              <w:t>85</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4.26</w:t>
            </w:r>
          </w:p>
        </w:tc>
        <w:tc>
          <w:tcPr>
            <w:tcW w:w="1740" w:type="dxa"/>
            <w:vAlign w:val="bottom"/>
            <w:gridSpan w:val="4"/>
          </w:tcPr>
          <w:p>
            <w:pPr>
              <w:ind w:left="120"/>
              <w:spacing w:after="0"/>
              <w:rPr>
                <w:sz w:val="20"/>
                <w:szCs w:val="20"/>
                <w:color w:val="auto"/>
              </w:rPr>
            </w:pPr>
            <w:r>
              <w:rPr>
                <w:rFonts w:ascii="Times New Roman" w:cs="Times New Roman" w:eastAsia="Times New Roman" w:hAnsi="Times New Roman"/>
                <w:sz w:val="19"/>
                <w:szCs w:val="19"/>
                <w:color w:val="auto"/>
              </w:rPr>
              <w:t>Health Care Laws.</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85</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4.27</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Capitalization</w:t>
            </w:r>
          </w:p>
        </w:tc>
        <w:tc>
          <w:tcPr>
            <w:tcW w:w="480" w:type="dxa"/>
            <w:vAlign w:val="bottom"/>
          </w:tcPr>
          <w:p>
            <w:pPr>
              <w:jc w:val="right"/>
              <w:ind w:right="65"/>
              <w:spacing w:after="0"/>
              <w:rPr>
                <w:sz w:val="20"/>
                <w:szCs w:val="20"/>
                <w:color w:val="auto"/>
              </w:rPr>
            </w:pPr>
            <w:r>
              <w:rPr>
                <w:rFonts w:ascii="Times New Roman" w:cs="Times New Roman" w:eastAsia="Times New Roman" w:hAnsi="Times New Roman"/>
                <w:sz w:val="19"/>
                <w:szCs w:val="19"/>
                <w:color w:val="auto"/>
              </w:rPr>
              <w:t>86</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4.28</w:t>
            </w:r>
          </w:p>
        </w:tc>
        <w:tc>
          <w:tcPr>
            <w:tcW w:w="7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OFAC</w:t>
            </w:r>
          </w:p>
        </w:tc>
        <w:tc>
          <w:tcPr>
            <w:tcW w:w="520" w:type="dxa"/>
            <w:vAlign w:val="bottom"/>
            <w:gridSpan w:val="2"/>
          </w:tcPr>
          <w:p>
            <w:pPr>
              <w:jc w:val="right"/>
              <w:ind w:right="165"/>
              <w:spacing w:after="0"/>
              <w:rPr>
                <w:sz w:val="20"/>
                <w:szCs w:val="20"/>
                <w:color w:val="auto"/>
              </w:rPr>
            </w:pPr>
            <w:r>
              <w:rPr>
                <w:rFonts w:ascii="Times New Roman" w:cs="Times New Roman" w:eastAsia="Times New Roman" w:hAnsi="Times New Roman"/>
                <w:sz w:val="19"/>
                <w:szCs w:val="19"/>
                <w:color w:val="auto"/>
              </w:rPr>
              <w:t>86</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4.29</w:t>
            </w:r>
          </w:p>
        </w:tc>
        <w:tc>
          <w:tcPr>
            <w:tcW w:w="1980" w:type="dxa"/>
            <w:vAlign w:val="bottom"/>
            <w:gridSpan w:val="5"/>
          </w:tcPr>
          <w:p>
            <w:pPr>
              <w:ind w:left="120"/>
              <w:spacing w:after="0"/>
              <w:rPr>
                <w:sz w:val="20"/>
                <w:szCs w:val="20"/>
                <w:color w:val="auto"/>
              </w:rPr>
            </w:pPr>
            <w:r>
              <w:rPr>
                <w:rFonts w:ascii="Times New Roman" w:cs="Times New Roman" w:eastAsia="Times New Roman" w:hAnsi="Times New Roman"/>
                <w:sz w:val="19"/>
                <w:szCs w:val="19"/>
                <w:color w:val="auto"/>
              </w:rPr>
              <w:t>Anti-Corruption Laws</w:t>
            </w:r>
          </w:p>
        </w:tc>
        <w:tc>
          <w:tcPr>
            <w:tcW w:w="760" w:type="dxa"/>
            <w:vAlign w:val="bottom"/>
          </w:tcPr>
          <w:p>
            <w:pPr>
              <w:jc w:val="right"/>
              <w:ind w:right="425"/>
              <w:spacing w:after="0"/>
              <w:rPr>
                <w:sz w:val="20"/>
                <w:szCs w:val="20"/>
                <w:color w:val="auto"/>
              </w:rPr>
            </w:pPr>
            <w:r>
              <w:rPr>
                <w:rFonts w:ascii="Times New Roman" w:cs="Times New Roman" w:eastAsia="Times New Roman" w:hAnsi="Times New Roman"/>
                <w:sz w:val="19"/>
                <w:szCs w:val="19"/>
                <w:color w:val="auto"/>
              </w:rPr>
              <w:t>86</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50"/>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4.30</w:t>
            </w:r>
          </w:p>
        </w:tc>
        <w:tc>
          <w:tcPr>
            <w:tcW w:w="1740" w:type="dxa"/>
            <w:vAlign w:val="bottom"/>
            <w:gridSpan w:val="4"/>
          </w:tcPr>
          <w:p>
            <w:pPr>
              <w:ind w:left="120"/>
              <w:spacing w:after="0"/>
              <w:rPr>
                <w:sz w:val="20"/>
                <w:szCs w:val="20"/>
                <w:color w:val="auto"/>
              </w:rPr>
            </w:pPr>
            <w:r>
              <w:rPr>
                <w:rFonts w:ascii="Times New Roman" w:cs="Times New Roman" w:eastAsia="Times New Roman" w:hAnsi="Times New Roman"/>
                <w:sz w:val="19"/>
                <w:szCs w:val="19"/>
                <w:color w:val="auto"/>
              </w:rPr>
              <w:t>Holding Companies</w:t>
            </w:r>
          </w:p>
        </w:tc>
        <w:tc>
          <w:tcPr>
            <w:tcW w:w="1000" w:type="dxa"/>
            <w:vAlign w:val="bottom"/>
            <w:gridSpan w:val="2"/>
          </w:tcPr>
          <w:p>
            <w:pPr>
              <w:jc w:val="right"/>
              <w:ind w:right="605"/>
              <w:spacing w:after="0"/>
              <w:rPr>
                <w:sz w:val="20"/>
                <w:szCs w:val="20"/>
                <w:color w:val="auto"/>
              </w:rPr>
            </w:pPr>
            <w:r>
              <w:rPr>
                <w:rFonts w:ascii="Times New Roman" w:cs="Times New Roman" w:eastAsia="Times New Roman" w:hAnsi="Times New Roman"/>
                <w:sz w:val="19"/>
                <w:szCs w:val="19"/>
                <w:color w:val="auto"/>
              </w:rPr>
              <w:t>86</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443"/>
        </w:trPr>
        <w:tc>
          <w:tcPr>
            <w:tcW w:w="3340" w:type="dxa"/>
            <w:vAlign w:val="bottom"/>
            <w:gridSpan w:val="7"/>
          </w:tcPr>
          <w:p>
            <w:pPr>
              <w:spacing w:after="0"/>
              <w:rPr>
                <w:sz w:val="20"/>
                <w:szCs w:val="20"/>
                <w:color w:val="auto"/>
              </w:rPr>
            </w:pPr>
            <w:r>
              <w:rPr>
                <w:rFonts w:ascii="Times New Roman" w:cs="Times New Roman" w:eastAsia="Times New Roman" w:hAnsi="Times New Roman"/>
                <w:sz w:val="19"/>
                <w:szCs w:val="19"/>
                <w:color w:val="auto"/>
              </w:rPr>
              <w:t>SECTION 5 CONDITIONS PRECEDENT</w:t>
            </w:r>
          </w:p>
        </w:tc>
        <w:tc>
          <w:tcPr>
            <w:tcW w:w="160" w:type="dxa"/>
            <w:vAlign w:val="bottom"/>
          </w:tcPr>
          <w:p>
            <w:pPr>
              <w:spacing w:after="0"/>
              <w:rPr>
                <w:sz w:val="24"/>
                <w:szCs w:val="24"/>
                <w:color w:val="auto"/>
              </w:rPr>
            </w:pPr>
          </w:p>
        </w:tc>
        <w:tc>
          <w:tcPr>
            <w:tcW w:w="840" w:type="dxa"/>
            <w:vAlign w:val="bottom"/>
          </w:tcPr>
          <w:p>
            <w:pPr>
              <w:jc w:val="right"/>
              <w:ind w:right="545"/>
              <w:spacing w:after="0"/>
              <w:rPr>
                <w:sz w:val="20"/>
                <w:szCs w:val="20"/>
                <w:color w:val="auto"/>
              </w:rPr>
            </w:pPr>
            <w:r>
              <w:rPr>
                <w:rFonts w:ascii="Times New Roman" w:cs="Times New Roman" w:eastAsia="Times New Roman" w:hAnsi="Times New Roman"/>
                <w:sz w:val="19"/>
                <w:szCs w:val="19"/>
                <w:color w:val="auto"/>
                <w:w w:val="94"/>
              </w:rPr>
              <w:t>86</w:t>
            </w:r>
          </w:p>
        </w:tc>
        <w:tc>
          <w:tcPr>
            <w:tcW w:w="520" w:type="dxa"/>
            <w:vAlign w:val="bottom"/>
          </w:tcPr>
          <w:p>
            <w:pPr>
              <w:spacing w:after="0"/>
              <w:rPr>
                <w:sz w:val="24"/>
                <w:szCs w:val="24"/>
                <w:color w:val="auto"/>
              </w:rPr>
            </w:pPr>
          </w:p>
        </w:tc>
      </w:tr>
      <w:tr>
        <w:trPr>
          <w:trHeight w:val="42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5.1</w:t>
            </w:r>
          </w:p>
        </w:tc>
        <w:tc>
          <w:tcPr>
            <w:tcW w:w="2900" w:type="dxa"/>
            <w:vAlign w:val="bottom"/>
            <w:gridSpan w:val="7"/>
          </w:tcPr>
          <w:p>
            <w:pPr>
              <w:ind w:left="40"/>
              <w:spacing w:after="0"/>
              <w:rPr>
                <w:sz w:val="20"/>
                <w:szCs w:val="20"/>
                <w:color w:val="auto"/>
              </w:rPr>
            </w:pPr>
            <w:r>
              <w:rPr>
                <w:rFonts w:ascii="Times New Roman" w:cs="Times New Roman" w:eastAsia="Times New Roman" w:hAnsi="Times New Roman"/>
                <w:sz w:val="19"/>
                <w:szCs w:val="19"/>
                <w:color w:val="auto"/>
                <w:w w:val="99"/>
              </w:rPr>
              <w:t>Conditions to Initial Credit Extension</w:t>
            </w:r>
          </w:p>
        </w:tc>
        <w:tc>
          <w:tcPr>
            <w:tcW w:w="840" w:type="dxa"/>
            <w:vAlign w:val="bottom"/>
          </w:tcPr>
          <w:p>
            <w:pPr>
              <w:jc w:val="right"/>
              <w:ind w:right="365"/>
              <w:spacing w:after="0"/>
              <w:rPr>
                <w:sz w:val="20"/>
                <w:szCs w:val="20"/>
                <w:color w:val="auto"/>
              </w:rPr>
            </w:pPr>
            <w:r>
              <w:rPr>
                <w:rFonts w:ascii="Times New Roman" w:cs="Times New Roman" w:eastAsia="Times New Roman" w:hAnsi="Times New Roman"/>
                <w:sz w:val="19"/>
                <w:szCs w:val="19"/>
                <w:color w:val="auto"/>
              </w:rPr>
              <w:t>86</w:t>
            </w:r>
          </w:p>
        </w:tc>
        <w:tc>
          <w:tcPr>
            <w:tcW w:w="520" w:type="dxa"/>
            <w:vAlign w:val="bottom"/>
          </w:tcPr>
          <w:p>
            <w:pPr>
              <w:spacing w:after="0"/>
              <w:rPr>
                <w:sz w:val="24"/>
                <w:szCs w:val="24"/>
                <w:color w:val="auto"/>
              </w:rPr>
            </w:pPr>
          </w:p>
        </w:tc>
      </w:tr>
      <w:tr>
        <w:trPr>
          <w:trHeight w:val="24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5.2</w:t>
            </w:r>
          </w:p>
        </w:tc>
        <w:tc>
          <w:tcPr>
            <w:tcW w:w="2900" w:type="dxa"/>
            <w:vAlign w:val="bottom"/>
            <w:gridSpan w:val="7"/>
          </w:tcPr>
          <w:p>
            <w:pPr>
              <w:ind w:left="40"/>
              <w:spacing w:after="0"/>
              <w:rPr>
                <w:sz w:val="20"/>
                <w:szCs w:val="20"/>
                <w:color w:val="auto"/>
              </w:rPr>
            </w:pPr>
            <w:r>
              <w:rPr>
                <w:rFonts w:ascii="Times New Roman" w:cs="Times New Roman" w:eastAsia="Times New Roman" w:hAnsi="Times New Roman"/>
                <w:sz w:val="19"/>
                <w:szCs w:val="19"/>
                <w:color w:val="auto"/>
              </w:rPr>
              <w:t>Conditions to Each Credit Extension</w:t>
            </w:r>
          </w:p>
        </w:tc>
        <w:tc>
          <w:tcPr>
            <w:tcW w:w="840" w:type="dxa"/>
            <w:vAlign w:val="bottom"/>
          </w:tcPr>
          <w:p>
            <w:pPr>
              <w:jc w:val="right"/>
              <w:ind w:right="425"/>
              <w:spacing w:after="0"/>
              <w:rPr>
                <w:sz w:val="20"/>
                <w:szCs w:val="20"/>
                <w:color w:val="auto"/>
              </w:rPr>
            </w:pPr>
            <w:r>
              <w:rPr>
                <w:rFonts w:ascii="Times New Roman" w:cs="Times New Roman" w:eastAsia="Times New Roman" w:hAnsi="Times New Roman"/>
                <w:sz w:val="19"/>
                <w:szCs w:val="19"/>
                <w:color w:val="auto"/>
              </w:rPr>
              <w:t>90</w:t>
            </w:r>
          </w:p>
        </w:tc>
        <w:tc>
          <w:tcPr>
            <w:tcW w:w="520" w:type="dxa"/>
            <w:vAlign w:val="bottom"/>
          </w:tcPr>
          <w:p>
            <w:pPr>
              <w:spacing w:after="0"/>
              <w:rPr>
                <w:sz w:val="21"/>
                <w:szCs w:val="21"/>
                <w:color w:val="auto"/>
              </w:rPr>
            </w:pPr>
          </w:p>
        </w:tc>
      </w:tr>
      <w:tr>
        <w:trPr>
          <w:trHeight w:val="250"/>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5.3</w:t>
            </w:r>
          </w:p>
        </w:tc>
        <w:tc>
          <w:tcPr>
            <w:tcW w:w="2900" w:type="dxa"/>
            <w:vAlign w:val="bottom"/>
            <w:gridSpan w:val="7"/>
          </w:tcPr>
          <w:p>
            <w:pPr>
              <w:ind w:left="40"/>
              <w:spacing w:after="0"/>
              <w:rPr>
                <w:sz w:val="20"/>
                <w:szCs w:val="20"/>
                <w:color w:val="auto"/>
              </w:rPr>
            </w:pPr>
            <w:r>
              <w:rPr>
                <w:rFonts w:ascii="Times New Roman" w:cs="Times New Roman" w:eastAsia="Times New Roman" w:hAnsi="Times New Roman"/>
                <w:sz w:val="19"/>
                <w:szCs w:val="19"/>
                <w:color w:val="auto"/>
              </w:rPr>
              <w:t>Post-Closing Conditions Subsequent</w:t>
            </w:r>
          </w:p>
        </w:tc>
        <w:tc>
          <w:tcPr>
            <w:tcW w:w="840" w:type="dxa"/>
            <w:vAlign w:val="bottom"/>
          </w:tcPr>
          <w:p>
            <w:pPr>
              <w:jc w:val="right"/>
              <w:ind w:right="425"/>
              <w:spacing w:after="0"/>
              <w:rPr>
                <w:sz w:val="20"/>
                <w:szCs w:val="20"/>
                <w:color w:val="auto"/>
              </w:rPr>
            </w:pPr>
            <w:r>
              <w:rPr>
                <w:rFonts w:ascii="Times New Roman" w:cs="Times New Roman" w:eastAsia="Times New Roman" w:hAnsi="Times New Roman"/>
                <w:sz w:val="19"/>
                <w:szCs w:val="19"/>
                <w:color w:val="auto"/>
              </w:rPr>
              <w:t>91</w:t>
            </w:r>
          </w:p>
        </w:tc>
        <w:tc>
          <w:tcPr>
            <w:tcW w:w="520" w:type="dxa"/>
            <w:vAlign w:val="bottom"/>
          </w:tcPr>
          <w:p>
            <w:pPr>
              <w:spacing w:after="0"/>
              <w:rPr>
                <w:sz w:val="21"/>
                <w:szCs w:val="21"/>
                <w:color w:val="auto"/>
              </w:rPr>
            </w:pPr>
          </w:p>
        </w:tc>
      </w:tr>
      <w:tr>
        <w:trPr>
          <w:trHeight w:val="456"/>
        </w:trPr>
        <w:tc>
          <w:tcPr>
            <w:tcW w:w="350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SECTION 6 AFFIRMATIVE COVENANTS</w:t>
            </w:r>
          </w:p>
        </w:tc>
        <w:tc>
          <w:tcPr>
            <w:tcW w:w="840" w:type="dxa"/>
            <w:vAlign w:val="bottom"/>
          </w:tcPr>
          <w:p>
            <w:pPr>
              <w:jc w:val="right"/>
              <w:ind w:right="405"/>
              <w:spacing w:after="0"/>
              <w:rPr>
                <w:sz w:val="20"/>
                <w:szCs w:val="20"/>
                <w:color w:val="auto"/>
              </w:rPr>
            </w:pPr>
            <w:r>
              <w:rPr>
                <w:rFonts w:ascii="Times New Roman" w:cs="Times New Roman" w:eastAsia="Times New Roman" w:hAnsi="Times New Roman"/>
                <w:sz w:val="19"/>
                <w:szCs w:val="19"/>
                <w:color w:val="auto"/>
              </w:rPr>
              <w:t>92</w:t>
            </w:r>
          </w:p>
        </w:tc>
        <w:tc>
          <w:tcPr>
            <w:tcW w:w="520" w:type="dxa"/>
            <w:vAlign w:val="bottom"/>
          </w:tcPr>
          <w:p>
            <w:pPr>
              <w:spacing w:after="0"/>
              <w:rPr>
                <w:sz w:val="24"/>
                <w:szCs w:val="24"/>
                <w:color w:val="auto"/>
              </w:rPr>
            </w:pPr>
          </w:p>
        </w:tc>
      </w:tr>
      <w:tr>
        <w:trPr>
          <w:trHeight w:val="427"/>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6.1</w:t>
            </w:r>
          </w:p>
        </w:tc>
        <w:tc>
          <w:tcPr>
            <w:tcW w:w="174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Financial Statements</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92</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4"/>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6.2</w:t>
            </w:r>
          </w:p>
        </w:tc>
        <w:tc>
          <w:tcPr>
            <w:tcW w:w="3740" w:type="dxa"/>
            <w:vAlign w:val="bottom"/>
            <w:gridSpan w:val="8"/>
          </w:tcPr>
          <w:p>
            <w:pPr>
              <w:ind w:left="40"/>
              <w:spacing w:after="0"/>
              <w:rPr>
                <w:sz w:val="20"/>
                <w:szCs w:val="20"/>
                <w:color w:val="auto"/>
              </w:rPr>
            </w:pPr>
            <w:r>
              <w:rPr>
                <w:rFonts w:ascii="Times New Roman" w:cs="Times New Roman" w:eastAsia="Times New Roman" w:hAnsi="Times New Roman"/>
                <w:sz w:val="19"/>
                <w:szCs w:val="19"/>
                <w:color w:val="auto"/>
              </w:rPr>
              <w:t>Certificates; Reports; Other Information  93</w:t>
            </w:r>
          </w:p>
        </w:tc>
        <w:tc>
          <w:tcPr>
            <w:tcW w:w="520" w:type="dxa"/>
            <w:vAlign w:val="bottom"/>
          </w:tcPr>
          <w:p>
            <w:pPr>
              <w:spacing w:after="0"/>
              <w:rPr>
                <w:sz w:val="20"/>
                <w:szCs w:val="20"/>
                <w:color w:val="auto"/>
              </w:rPr>
            </w:pPr>
          </w:p>
        </w:tc>
      </w:tr>
      <w:tr>
        <w:trPr>
          <w:trHeight w:val="250"/>
        </w:trPr>
        <w:tc>
          <w:tcPr>
            <w:tcW w:w="60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6.3</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w w:val="97"/>
              </w:rPr>
              <w:t>[Reserved].</w:t>
            </w:r>
          </w:p>
        </w:tc>
        <w:tc>
          <w:tcPr>
            <w:tcW w:w="820" w:type="dxa"/>
            <w:vAlign w:val="bottom"/>
            <w:gridSpan w:val="2"/>
          </w:tcPr>
          <w:p>
            <w:pPr>
              <w:jc w:val="right"/>
              <w:ind w:right="345"/>
              <w:spacing w:after="0"/>
              <w:rPr>
                <w:sz w:val="20"/>
                <w:szCs w:val="20"/>
                <w:color w:val="auto"/>
              </w:rPr>
            </w:pPr>
            <w:r>
              <w:rPr>
                <w:rFonts w:ascii="Times New Roman" w:cs="Times New Roman" w:eastAsia="Times New Roman" w:hAnsi="Times New Roman"/>
                <w:sz w:val="19"/>
                <w:szCs w:val="19"/>
                <w:color w:val="auto"/>
              </w:rPr>
              <w:t>94</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297"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-123825</wp:posOffset>
            </wp:positionV>
            <wp:extent cx="6748145" cy="2317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6748145" cy="231775"/>
                    </a:xfrm>
                    <a:prstGeom prst="rect">
                      <a:avLst/>
                    </a:prstGeom>
                    <a:noFill/>
                  </pic:spPr>
                </pic:pic>
              </a:graphicData>
            </a:graphic>
          </wp:anchor>
        </w:drawing>
      </w:r>
    </w:p>
    <w:p>
      <w:pPr>
        <w:spacing w:after="0" w:line="12" w:lineRule="exact"/>
        <w:rPr>
          <w:sz w:val="20"/>
          <w:szCs w:val="20"/>
          <w:color w:val="auto"/>
        </w:rPr>
      </w:pPr>
    </w:p>
    <w:p>
      <w:pPr>
        <w:ind w:left="10860"/>
        <w:spacing w:after="0"/>
        <w:rPr>
          <w:sz w:val="20"/>
          <w:szCs w:val="20"/>
          <w:color w:val="auto"/>
        </w:rPr>
      </w:pPr>
      <w:r>
        <w:rPr>
          <w:rFonts w:ascii="Times New Roman" w:cs="Times New Roman" w:eastAsia="Times New Roman" w:hAnsi="Times New Roman"/>
          <w:sz w:val="19"/>
          <w:szCs w:val="19"/>
          <w:color w:val="auto"/>
        </w:rPr>
        <w:t>ii-</w:t>
      </w:r>
    </w:p>
    <w:p>
      <w:pPr>
        <w:sectPr>
          <w:pgSz w:w="11900" w:h="16838" w:orient="portrait"/>
          <w:cols w:equalWidth="0" w:num="1">
            <w:col w:w="11240"/>
          </w:cols>
          <w:pgMar w:left="320" w:top="114"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(continued)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6.4</w:t>
            </w:r>
          </w:p>
        </w:tc>
        <w:tc>
          <w:tcPr>
            <w:tcW w:w="20" w:type="dxa"/>
            <w:vAlign w:val="bottom"/>
          </w:tcPr>
          <w:p>
            <w:pPr>
              <w:spacing w:after="0"/>
              <w:rPr>
                <w:sz w:val="20"/>
                <w:szCs w:val="20"/>
                <w:color w:val="auto"/>
              </w:rPr>
            </w:pPr>
          </w:p>
        </w:tc>
        <w:tc>
          <w:tcPr>
            <w:tcW w:w="1840" w:type="dxa"/>
            <w:vAlign w:val="bottom"/>
            <w:gridSpan w:val="5"/>
          </w:tcPr>
          <w:p>
            <w:pPr>
              <w:ind w:left="40"/>
              <w:spacing w:after="0"/>
              <w:rPr>
                <w:sz w:val="20"/>
                <w:szCs w:val="20"/>
                <w:color w:val="auto"/>
              </w:rPr>
            </w:pPr>
            <w:r>
              <w:rPr>
                <w:rFonts w:ascii="Times New Roman" w:cs="Times New Roman" w:eastAsia="Times New Roman" w:hAnsi="Times New Roman"/>
                <w:sz w:val="19"/>
                <w:szCs w:val="19"/>
                <w:color w:val="auto"/>
                <w:w w:val="98"/>
              </w:rPr>
              <w:t>Payment of Obligations</w:t>
            </w: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94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6.5</w:t>
            </w:r>
          </w:p>
        </w:tc>
        <w:tc>
          <w:tcPr>
            <w:tcW w:w="20" w:type="dxa"/>
            <w:vAlign w:val="bottom"/>
          </w:tcPr>
          <w:p>
            <w:pPr>
              <w:spacing w:after="0"/>
              <w:rPr>
                <w:sz w:val="21"/>
                <w:szCs w:val="21"/>
                <w:color w:val="auto"/>
              </w:rPr>
            </w:pPr>
          </w:p>
        </w:tc>
        <w:tc>
          <w:tcPr>
            <w:tcW w:w="3060" w:type="dxa"/>
            <w:vAlign w:val="bottom"/>
            <w:gridSpan w:val="9"/>
          </w:tcPr>
          <w:p>
            <w:pPr>
              <w:ind w:left="40"/>
              <w:spacing w:after="0"/>
              <w:rPr>
                <w:sz w:val="20"/>
                <w:szCs w:val="20"/>
                <w:color w:val="auto"/>
              </w:rPr>
            </w:pPr>
            <w:r>
              <w:rPr>
                <w:rFonts w:ascii="Times New Roman" w:cs="Times New Roman" w:eastAsia="Times New Roman" w:hAnsi="Times New Roman"/>
                <w:sz w:val="19"/>
                <w:szCs w:val="19"/>
                <w:color w:val="auto"/>
              </w:rPr>
              <w:t>Maintenance of Existence; Compliance</w:t>
            </w:r>
          </w:p>
        </w:tc>
        <w:tc>
          <w:tcPr>
            <w:tcW w:w="2700" w:type="dxa"/>
            <w:vAlign w:val="bottom"/>
          </w:tcPr>
          <w:p>
            <w:pPr>
              <w:jc w:val="right"/>
              <w:ind w:right="2245"/>
              <w:spacing w:after="0"/>
              <w:rPr>
                <w:sz w:val="20"/>
                <w:szCs w:val="20"/>
                <w:color w:val="auto"/>
              </w:rPr>
            </w:pPr>
            <w:r>
              <w:rPr>
                <w:rFonts w:ascii="Times New Roman" w:cs="Times New Roman" w:eastAsia="Times New Roman" w:hAnsi="Times New Roman"/>
                <w:sz w:val="19"/>
                <w:szCs w:val="19"/>
                <w:color w:val="auto"/>
              </w:rPr>
              <w:t>94</w:t>
            </w: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6.6</w:t>
            </w:r>
          </w:p>
        </w:tc>
        <w:tc>
          <w:tcPr>
            <w:tcW w:w="20" w:type="dxa"/>
            <w:vAlign w:val="bottom"/>
          </w:tcPr>
          <w:p>
            <w:pPr>
              <w:spacing w:after="0"/>
              <w:rPr>
                <w:sz w:val="20"/>
                <w:szCs w:val="20"/>
                <w:color w:val="auto"/>
              </w:rPr>
            </w:pPr>
          </w:p>
        </w:tc>
        <w:tc>
          <w:tcPr>
            <w:tcW w:w="5760" w:type="dxa"/>
            <w:vAlign w:val="bottom"/>
            <w:gridSpan w:val="10"/>
          </w:tcPr>
          <w:p>
            <w:pPr>
              <w:ind w:left="40"/>
              <w:spacing w:after="0"/>
              <w:rPr>
                <w:sz w:val="20"/>
                <w:szCs w:val="20"/>
                <w:color w:val="auto"/>
              </w:rPr>
            </w:pPr>
            <w:r>
              <w:rPr>
                <w:rFonts w:ascii="Times New Roman" w:cs="Times New Roman" w:eastAsia="Times New Roman" w:hAnsi="Times New Roman"/>
                <w:sz w:val="19"/>
                <w:szCs w:val="19"/>
                <w:color w:val="auto"/>
              </w:rPr>
              <w:t>Maintenance of Property; Insurance  95</w:t>
            </w: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6.7</w:t>
            </w:r>
          </w:p>
        </w:tc>
        <w:tc>
          <w:tcPr>
            <w:tcW w:w="20" w:type="dxa"/>
            <w:vAlign w:val="bottom"/>
          </w:tcPr>
          <w:p>
            <w:pPr>
              <w:spacing w:after="0"/>
              <w:rPr>
                <w:sz w:val="21"/>
                <w:szCs w:val="21"/>
                <w:color w:val="auto"/>
              </w:rPr>
            </w:pPr>
          </w:p>
        </w:tc>
        <w:tc>
          <w:tcPr>
            <w:tcW w:w="5760" w:type="dxa"/>
            <w:vAlign w:val="bottom"/>
            <w:gridSpan w:val="10"/>
          </w:tcPr>
          <w:p>
            <w:pPr>
              <w:ind w:left="40"/>
              <w:spacing w:after="0"/>
              <w:rPr>
                <w:sz w:val="20"/>
                <w:szCs w:val="20"/>
                <w:color w:val="auto"/>
              </w:rPr>
            </w:pPr>
            <w:r>
              <w:rPr>
                <w:rFonts w:ascii="Times New Roman" w:cs="Times New Roman" w:eastAsia="Times New Roman" w:hAnsi="Times New Roman"/>
                <w:sz w:val="19"/>
                <w:szCs w:val="19"/>
                <w:color w:val="auto"/>
              </w:rPr>
              <w:t>Inspection of Property; Books and Records; Discussions  95</w:t>
            </w: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6.8</w:t>
            </w:r>
          </w:p>
        </w:tc>
        <w:tc>
          <w:tcPr>
            <w:tcW w:w="2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9"/>
                <w:szCs w:val="19"/>
                <w:color w:val="auto"/>
                <w:w w:val="99"/>
              </w:rPr>
              <w:t>Notices</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6.9</w:t>
            </w:r>
          </w:p>
        </w:tc>
        <w:tc>
          <w:tcPr>
            <w:tcW w:w="20" w:type="dxa"/>
            <w:vAlign w:val="bottom"/>
          </w:tcPr>
          <w:p>
            <w:pPr>
              <w:spacing w:after="0"/>
              <w:rPr>
                <w:sz w:val="20"/>
                <w:szCs w:val="20"/>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w w:val="98"/>
              </w:rPr>
              <w:t>Environmental Laws.</w:t>
            </w:r>
          </w:p>
        </w:tc>
        <w:tc>
          <w:tcPr>
            <w:tcW w:w="160" w:type="dxa"/>
            <w:vAlign w:val="bottom"/>
          </w:tcPr>
          <w:p>
            <w:pPr>
              <w:spacing w:after="0"/>
              <w:rPr>
                <w:sz w:val="20"/>
                <w:szCs w:val="20"/>
                <w:color w:val="auto"/>
              </w:rPr>
            </w:pPr>
          </w:p>
        </w:tc>
        <w:tc>
          <w:tcPr>
            <w:tcW w:w="380" w:type="dxa"/>
            <w:vAlign w:val="bottom"/>
          </w:tcPr>
          <w:p>
            <w:pPr>
              <w:jc w:val="center"/>
              <w:ind w:right="45"/>
              <w:spacing w:after="0"/>
              <w:rPr>
                <w:sz w:val="20"/>
                <w:szCs w:val="20"/>
                <w:color w:val="auto"/>
              </w:rPr>
            </w:pPr>
            <w:r>
              <w:rPr>
                <w:rFonts w:ascii="Times New Roman" w:cs="Times New Roman" w:eastAsia="Times New Roman" w:hAnsi="Times New Roman"/>
                <w:sz w:val="19"/>
                <w:szCs w:val="19"/>
                <w:color w:val="auto"/>
              </w:rPr>
              <w:t>97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6.10</w:t>
            </w: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9"/>
                <w:szCs w:val="19"/>
                <w:color w:val="auto"/>
              </w:rPr>
              <w:t>Controlled Accounts</w:t>
            </w:r>
          </w:p>
        </w:tc>
        <w:tc>
          <w:tcPr>
            <w:tcW w:w="3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97</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6.11</w:t>
            </w:r>
          </w:p>
        </w:tc>
        <w:tc>
          <w:tcPr>
            <w:tcW w:w="20" w:type="dxa"/>
            <w:vAlign w:val="bottom"/>
          </w:tcPr>
          <w:p>
            <w:pPr>
              <w:spacing w:after="0"/>
              <w:rPr>
                <w:sz w:val="20"/>
                <w:szCs w:val="20"/>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98"/>
              </w:rPr>
              <w:t>Audits</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6.12</w:t>
            </w:r>
          </w:p>
        </w:tc>
        <w:tc>
          <w:tcPr>
            <w:tcW w:w="2220" w:type="dxa"/>
            <w:vAlign w:val="bottom"/>
            <w:gridSpan w:val="6"/>
          </w:tcPr>
          <w:p>
            <w:pPr>
              <w:ind w:left="120"/>
              <w:spacing w:after="0"/>
              <w:rPr>
                <w:sz w:val="20"/>
                <w:szCs w:val="20"/>
                <w:color w:val="auto"/>
              </w:rPr>
            </w:pPr>
            <w:r>
              <w:rPr>
                <w:rFonts w:ascii="Times New Roman" w:cs="Times New Roman" w:eastAsia="Times New Roman" w:hAnsi="Times New Roman"/>
                <w:sz w:val="19"/>
                <w:szCs w:val="19"/>
                <w:color w:val="auto"/>
              </w:rPr>
              <w:t>Additional Collateral, etc.</w:t>
            </w:r>
          </w:p>
        </w:tc>
        <w:tc>
          <w:tcPr>
            <w:tcW w:w="520" w:type="dxa"/>
            <w:vAlign w:val="bottom"/>
            <w:gridSpan w:val="2"/>
          </w:tcPr>
          <w:p>
            <w:pPr>
              <w:jc w:val="right"/>
              <w:ind w:right="145"/>
              <w:spacing w:after="0"/>
              <w:rPr>
                <w:sz w:val="20"/>
                <w:szCs w:val="20"/>
                <w:color w:val="auto"/>
              </w:rPr>
            </w:pPr>
            <w:r>
              <w:rPr>
                <w:rFonts w:ascii="Times New Roman" w:cs="Times New Roman" w:eastAsia="Times New Roman" w:hAnsi="Times New Roman"/>
                <w:sz w:val="19"/>
                <w:szCs w:val="19"/>
                <w:color w:val="auto"/>
              </w:rPr>
              <w:t>98</w:t>
            </w: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6.13</w:t>
            </w:r>
          </w:p>
        </w:tc>
        <w:tc>
          <w:tcPr>
            <w:tcW w:w="3060" w:type="dxa"/>
            <w:vAlign w:val="bottom"/>
            <w:gridSpan w:val="9"/>
          </w:tcPr>
          <w:p>
            <w:pPr>
              <w:ind w:left="120"/>
              <w:spacing w:after="0"/>
              <w:rPr>
                <w:sz w:val="20"/>
                <w:szCs w:val="20"/>
                <w:color w:val="auto"/>
              </w:rPr>
            </w:pPr>
            <w:r>
              <w:rPr>
                <w:rFonts w:ascii="Times New Roman" w:cs="Times New Roman" w:eastAsia="Times New Roman" w:hAnsi="Times New Roman"/>
                <w:sz w:val="19"/>
                <w:szCs w:val="19"/>
                <w:color w:val="auto"/>
              </w:rPr>
              <w:t>Compliance with Health Care Laws</w:t>
            </w:r>
          </w:p>
        </w:tc>
        <w:tc>
          <w:tcPr>
            <w:tcW w:w="2700" w:type="dxa"/>
            <w:vAlign w:val="bottom"/>
          </w:tcPr>
          <w:p>
            <w:pPr>
              <w:jc w:val="right"/>
              <w:ind w:right="2425"/>
              <w:spacing w:after="0"/>
              <w:rPr>
                <w:sz w:val="20"/>
                <w:szCs w:val="20"/>
                <w:color w:val="auto"/>
              </w:rPr>
            </w:pPr>
            <w:r>
              <w:rPr>
                <w:rFonts w:ascii="Times New Roman" w:cs="Times New Roman" w:eastAsia="Times New Roman" w:hAnsi="Times New Roman"/>
                <w:sz w:val="19"/>
                <w:szCs w:val="19"/>
                <w:color w:val="auto"/>
                <w:w w:val="83"/>
              </w:rPr>
              <w:t>99</w:t>
            </w: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6.14</w:t>
            </w: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Use of Proceeds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8"/>
              </w:rPr>
              <w:t>100</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6.15</w:t>
            </w:r>
          </w:p>
        </w:tc>
        <w:tc>
          <w:tcPr>
            <w:tcW w:w="2740" w:type="dxa"/>
            <w:vAlign w:val="bottom"/>
            <w:gridSpan w:val="8"/>
          </w:tcPr>
          <w:p>
            <w:pPr>
              <w:ind w:left="120"/>
              <w:spacing w:after="0"/>
              <w:rPr>
                <w:sz w:val="20"/>
                <w:szCs w:val="20"/>
                <w:color w:val="auto"/>
              </w:rPr>
            </w:pPr>
            <w:r>
              <w:rPr>
                <w:rFonts w:ascii="Times New Roman" w:cs="Times New Roman" w:eastAsia="Times New Roman" w:hAnsi="Times New Roman"/>
                <w:sz w:val="19"/>
                <w:szCs w:val="19"/>
                <w:color w:val="auto"/>
              </w:rPr>
              <w:t>Designated Senior Indebtedness</w:t>
            </w:r>
          </w:p>
        </w:tc>
        <w:tc>
          <w:tcPr>
            <w:tcW w:w="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2700" w:type="dxa"/>
            <w:vAlign w:val="bottom"/>
          </w:tcPr>
          <w:p>
            <w:pPr>
              <w:spacing w:after="0"/>
              <w:rPr>
                <w:sz w:val="21"/>
                <w:szCs w:val="21"/>
                <w:color w:val="auto"/>
              </w:rPr>
            </w:pP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6.16</w:t>
            </w: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9"/>
                <w:szCs w:val="19"/>
                <w:color w:val="auto"/>
              </w:rPr>
              <w:t>Anti-Corruption Laws</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100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6.17</w:t>
            </w:r>
          </w:p>
        </w:tc>
        <w:tc>
          <w:tcPr>
            <w:tcW w:w="1680" w:type="dxa"/>
            <w:vAlign w:val="bottom"/>
            <w:gridSpan w:val="4"/>
          </w:tcPr>
          <w:p>
            <w:pPr>
              <w:ind w:left="120"/>
              <w:spacing w:after="0"/>
              <w:rPr>
                <w:sz w:val="20"/>
                <w:szCs w:val="20"/>
                <w:color w:val="auto"/>
              </w:rPr>
            </w:pPr>
            <w:r>
              <w:rPr>
                <w:rFonts w:ascii="Times New Roman" w:cs="Times New Roman" w:eastAsia="Times New Roman" w:hAnsi="Times New Roman"/>
                <w:sz w:val="19"/>
                <w:szCs w:val="19"/>
                <w:color w:val="auto"/>
              </w:rPr>
              <w:t>Further Assurances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8"/>
              </w:rPr>
              <w:t>100</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6.18</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PC Entities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6.19</w:t>
            </w:r>
          </w:p>
        </w:tc>
        <w:tc>
          <w:tcPr>
            <w:tcW w:w="3060" w:type="dxa"/>
            <w:vAlign w:val="bottom"/>
            <w:gridSpan w:val="9"/>
          </w:tcPr>
          <w:p>
            <w:pPr>
              <w:ind w:left="120"/>
              <w:spacing w:after="0"/>
              <w:rPr>
                <w:sz w:val="20"/>
                <w:szCs w:val="20"/>
                <w:color w:val="auto"/>
              </w:rPr>
            </w:pPr>
            <w:r>
              <w:rPr>
                <w:rFonts w:ascii="Times New Roman" w:cs="Times New Roman" w:eastAsia="Times New Roman" w:hAnsi="Times New Roman"/>
                <w:sz w:val="19"/>
                <w:szCs w:val="19"/>
                <w:color w:val="auto"/>
              </w:rPr>
              <w:t>Equity Proceeds Collection Account.</w:t>
            </w:r>
          </w:p>
        </w:tc>
        <w:tc>
          <w:tcPr>
            <w:tcW w:w="2700" w:type="dxa"/>
            <w:vAlign w:val="bottom"/>
          </w:tcPr>
          <w:p>
            <w:pPr>
              <w:jc w:val="right"/>
              <w:ind w:right="2225"/>
              <w:spacing w:after="0"/>
              <w:rPr>
                <w:sz w:val="20"/>
                <w:szCs w:val="20"/>
                <w:color w:val="auto"/>
              </w:rPr>
            </w:pPr>
            <w:r>
              <w:rPr>
                <w:rFonts w:ascii="Times New Roman" w:cs="Times New Roman" w:eastAsia="Times New Roman" w:hAnsi="Times New Roman"/>
                <w:sz w:val="19"/>
                <w:szCs w:val="19"/>
                <w:color w:val="auto"/>
              </w:rPr>
              <w:t>101</w:t>
            </w:r>
          </w:p>
        </w:tc>
      </w:tr>
      <w:tr>
        <w:trPr>
          <w:trHeight w:val="250"/>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6.20</w:t>
            </w: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w w:val="98"/>
              </w:rPr>
              <w:t>Financial Advisor.</w:t>
            </w:r>
          </w:p>
        </w:tc>
        <w:tc>
          <w:tcPr>
            <w:tcW w:w="140" w:type="dxa"/>
            <w:vAlign w:val="bottom"/>
          </w:tcPr>
          <w:p>
            <w:pPr>
              <w:spacing w:after="0"/>
              <w:rPr>
                <w:sz w:val="21"/>
                <w:szCs w:val="21"/>
                <w:color w:val="auto"/>
              </w:rPr>
            </w:pPr>
          </w:p>
        </w:tc>
        <w:tc>
          <w:tcPr>
            <w:tcW w:w="540" w:type="dxa"/>
            <w:vAlign w:val="bottom"/>
            <w:gridSpan w:val="2"/>
          </w:tcPr>
          <w:p>
            <w:pPr>
              <w:jc w:val="right"/>
              <w:ind w:right="105"/>
              <w:spacing w:after="0"/>
              <w:rPr>
                <w:sz w:val="20"/>
                <w:szCs w:val="20"/>
                <w:color w:val="auto"/>
              </w:rPr>
            </w:pPr>
            <w:r>
              <w:rPr>
                <w:rFonts w:ascii="Times New Roman" w:cs="Times New Roman" w:eastAsia="Times New Roman" w:hAnsi="Times New Roman"/>
                <w:sz w:val="19"/>
                <w:szCs w:val="19"/>
                <w:color w:val="auto"/>
              </w:rPr>
              <w:t>101</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456"/>
        </w:trPr>
        <w:tc>
          <w:tcPr>
            <w:tcW w:w="3340" w:type="dxa"/>
            <w:vAlign w:val="bottom"/>
            <w:gridSpan w:val="10"/>
          </w:tcPr>
          <w:p>
            <w:pPr>
              <w:spacing w:after="0"/>
              <w:rPr>
                <w:sz w:val="20"/>
                <w:szCs w:val="20"/>
                <w:color w:val="auto"/>
              </w:rPr>
            </w:pPr>
            <w:r>
              <w:rPr>
                <w:rFonts w:ascii="Times New Roman" w:cs="Times New Roman" w:eastAsia="Times New Roman" w:hAnsi="Times New Roman"/>
                <w:sz w:val="19"/>
                <w:szCs w:val="19"/>
                <w:color w:val="auto"/>
              </w:rPr>
              <w:t>SECTION 7 NEGATIVE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102</w:t>
            </w:r>
          </w:p>
        </w:tc>
        <w:tc>
          <w:tcPr>
            <w:tcW w:w="2700" w:type="dxa"/>
            <w:vAlign w:val="bottom"/>
          </w:tcPr>
          <w:p>
            <w:pPr>
              <w:spacing w:after="0"/>
              <w:rPr>
                <w:sz w:val="24"/>
                <w:szCs w:val="24"/>
                <w:color w:val="auto"/>
              </w:rPr>
            </w:pPr>
          </w:p>
        </w:tc>
      </w:tr>
      <w:tr>
        <w:trPr>
          <w:trHeight w:val="42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7.1</w:t>
            </w:r>
          </w:p>
        </w:tc>
        <w:tc>
          <w:tcPr>
            <w:tcW w:w="3080" w:type="dxa"/>
            <w:vAlign w:val="bottom"/>
            <w:gridSpan w:val="10"/>
          </w:tcPr>
          <w:p>
            <w:pPr>
              <w:ind w:left="60"/>
              <w:spacing w:after="0"/>
              <w:rPr>
                <w:sz w:val="20"/>
                <w:szCs w:val="20"/>
                <w:color w:val="auto"/>
              </w:rPr>
            </w:pPr>
            <w:r>
              <w:rPr>
                <w:rFonts w:ascii="Times New Roman" w:cs="Times New Roman" w:eastAsia="Times New Roman" w:hAnsi="Times New Roman"/>
                <w:sz w:val="19"/>
                <w:szCs w:val="19"/>
                <w:color w:val="auto"/>
              </w:rPr>
              <w:t>Financial Condition Covenants.  102</w:t>
            </w:r>
          </w:p>
        </w:tc>
        <w:tc>
          <w:tcPr>
            <w:tcW w:w="2700" w:type="dxa"/>
            <w:vAlign w:val="bottom"/>
          </w:tcPr>
          <w:p>
            <w:pPr>
              <w:spacing w:after="0"/>
              <w:rPr>
                <w:sz w:val="24"/>
                <w:szCs w:val="24"/>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7.2</w:t>
            </w:r>
          </w:p>
        </w:tc>
        <w:tc>
          <w:tcPr>
            <w:tcW w:w="2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Indebtedness</w:t>
            </w:r>
          </w:p>
        </w:tc>
        <w:tc>
          <w:tcPr>
            <w:tcW w:w="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7.3</w:t>
            </w:r>
          </w:p>
        </w:tc>
        <w:tc>
          <w:tcPr>
            <w:tcW w:w="20" w:type="dxa"/>
            <w:vAlign w:val="bottom"/>
          </w:tcPr>
          <w:p>
            <w:pPr>
              <w:spacing w:after="0"/>
              <w:rPr>
                <w:sz w:val="20"/>
                <w:szCs w:val="20"/>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Liens</w:t>
            </w:r>
          </w:p>
        </w:tc>
        <w:tc>
          <w:tcPr>
            <w:tcW w:w="4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w w:val="98"/>
              </w:rPr>
              <w:t>105</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7.4</w:t>
            </w:r>
          </w:p>
        </w:tc>
        <w:tc>
          <w:tcPr>
            <w:tcW w:w="20" w:type="dxa"/>
            <w:vAlign w:val="bottom"/>
          </w:tcPr>
          <w:p>
            <w:pPr>
              <w:spacing w:after="0"/>
              <w:rPr>
                <w:sz w:val="21"/>
                <w:szCs w:val="21"/>
                <w:color w:val="auto"/>
              </w:rPr>
            </w:pPr>
          </w:p>
        </w:tc>
        <w:tc>
          <w:tcPr>
            <w:tcW w:w="1840" w:type="dxa"/>
            <w:vAlign w:val="bottom"/>
            <w:gridSpan w:val="5"/>
          </w:tcPr>
          <w:p>
            <w:pPr>
              <w:ind w:left="40"/>
              <w:spacing w:after="0"/>
              <w:rPr>
                <w:sz w:val="20"/>
                <w:szCs w:val="20"/>
                <w:color w:val="auto"/>
              </w:rPr>
            </w:pPr>
            <w:r>
              <w:rPr>
                <w:rFonts w:ascii="Times New Roman" w:cs="Times New Roman" w:eastAsia="Times New Roman" w:hAnsi="Times New Roman"/>
                <w:sz w:val="19"/>
                <w:szCs w:val="19"/>
                <w:color w:val="auto"/>
              </w:rPr>
              <w:t>Fundamental Changes</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7.5</w:t>
            </w:r>
          </w:p>
        </w:tc>
        <w:tc>
          <w:tcPr>
            <w:tcW w:w="20" w:type="dxa"/>
            <w:vAlign w:val="bottom"/>
          </w:tcPr>
          <w:p>
            <w:pPr>
              <w:spacing w:after="0"/>
              <w:rPr>
                <w:sz w:val="20"/>
                <w:szCs w:val="20"/>
                <w:color w:val="auto"/>
              </w:rPr>
            </w:pPr>
          </w:p>
        </w:tc>
        <w:tc>
          <w:tcPr>
            <w:tcW w:w="1840" w:type="dxa"/>
            <w:vAlign w:val="bottom"/>
            <w:gridSpan w:val="5"/>
          </w:tcPr>
          <w:p>
            <w:pPr>
              <w:ind w:left="40"/>
              <w:spacing w:after="0"/>
              <w:rPr>
                <w:sz w:val="20"/>
                <w:szCs w:val="20"/>
                <w:color w:val="auto"/>
              </w:rPr>
            </w:pPr>
            <w:r>
              <w:rPr>
                <w:rFonts w:ascii="Times New Roman" w:cs="Times New Roman" w:eastAsia="Times New Roman" w:hAnsi="Times New Roman"/>
                <w:sz w:val="19"/>
                <w:szCs w:val="19"/>
                <w:color w:val="auto"/>
                <w:w w:val="99"/>
              </w:rPr>
              <w:t>Disposition of Property</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107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7.6</w:t>
            </w:r>
          </w:p>
        </w:tc>
        <w:tc>
          <w:tcPr>
            <w:tcW w:w="20" w:type="dxa"/>
            <w:vAlign w:val="bottom"/>
          </w:tcPr>
          <w:p>
            <w:pPr>
              <w:spacing w:after="0"/>
              <w:rPr>
                <w:sz w:val="21"/>
                <w:szCs w:val="21"/>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Restricted Payments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108</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7.7</w:t>
            </w:r>
          </w:p>
        </w:tc>
        <w:tc>
          <w:tcPr>
            <w:tcW w:w="2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[Reserved]</w:t>
            </w:r>
          </w:p>
        </w:tc>
        <w:tc>
          <w:tcPr>
            <w:tcW w:w="48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w w:val="91"/>
              </w:rPr>
              <w:t>109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7.8</w:t>
            </w:r>
          </w:p>
        </w:tc>
        <w:tc>
          <w:tcPr>
            <w:tcW w:w="2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Investments</w:t>
            </w:r>
          </w:p>
        </w:tc>
        <w:tc>
          <w:tcPr>
            <w:tcW w:w="4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109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7.9</w:t>
            </w:r>
          </w:p>
        </w:tc>
        <w:tc>
          <w:tcPr>
            <w:tcW w:w="2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ERISA</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7.10</w:t>
            </w:r>
          </w:p>
        </w:tc>
        <w:tc>
          <w:tcPr>
            <w:tcW w:w="5760" w:type="dxa"/>
            <w:vAlign w:val="bottom"/>
            <w:gridSpan w:val="10"/>
          </w:tcPr>
          <w:p>
            <w:pPr>
              <w:ind w:left="120"/>
              <w:spacing w:after="0"/>
              <w:rPr>
                <w:sz w:val="20"/>
                <w:szCs w:val="20"/>
                <w:color w:val="auto"/>
              </w:rPr>
            </w:pPr>
            <w:r>
              <w:rPr>
                <w:rFonts w:ascii="Times New Roman" w:cs="Times New Roman" w:eastAsia="Times New Roman" w:hAnsi="Times New Roman"/>
                <w:sz w:val="19"/>
                <w:szCs w:val="19"/>
                <w:color w:val="auto"/>
              </w:rPr>
              <w:t>Optional Payments and Modifications of Debt Instruments  113</w:t>
            </w: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7.11</w:t>
            </w:r>
          </w:p>
        </w:tc>
        <w:tc>
          <w:tcPr>
            <w:tcW w:w="20" w:type="dxa"/>
            <w:vAlign w:val="bottom"/>
          </w:tcPr>
          <w:p>
            <w:pPr>
              <w:spacing w:after="0"/>
              <w:rPr>
                <w:sz w:val="21"/>
                <w:szCs w:val="21"/>
                <w:color w:val="auto"/>
              </w:rPr>
            </w:pPr>
          </w:p>
        </w:tc>
        <w:tc>
          <w:tcPr>
            <w:tcW w:w="2380" w:type="dxa"/>
            <w:vAlign w:val="bottom"/>
            <w:gridSpan w:val="7"/>
          </w:tcPr>
          <w:p>
            <w:pPr>
              <w:ind w:left="120"/>
              <w:spacing w:after="0"/>
              <w:rPr>
                <w:sz w:val="20"/>
                <w:szCs w:val="20"/>
                <w:color w:val="auto"/>
              </w:rPr>
            </w:pPr>
            <w:r>
              <w:rPr>
                <w:rFonts w:ascii="Times New Roman" w:cs="Times New Roman" w:eastAsia="Times New Roman" w:hAnsi="Times New Roman"/>
                <w:sz w:val="19"/>
                <w:szCs w:val="19"/>
                <w:color w:val="auto"/>
              </w:rPr>
              <w:t>Transactions with Affiliates</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7.12</w:t>
            </w:r>
          </w:p>
        </w:tc>
        <w:tc>
          <w:tcPr>
            <w:tcW w:w="2380" w:type="dxa"/>
            <w:vAlign w:val="bottom"/>
            <w:gridSpan w:val="7"/>
          </w:tcPr>
          <w:p>
            <w:pPr>
              <w:ind w:left="120"/>
              <w:spacing w:after="0"/>
              <w:rPr>
                <w:sz w:val="20"/>
                <w:szCs w:val="20"/>
                <w:color w:val="auto"/>
              </w:rPr>
            </w:pPr>
            <w:r>
              <w:rPr>
                <w:rFonts w:ascii="Times New Roman" w:cs="Times New Roman" w:eastAsia="Times New Roman" w:hAnsi="Times New Roman"/>
                <w:sz w:val="19"/>
                <w:szCs w:val="19"/>
                <w:color w:val="auto"/>
              </w:rPr>
              <w:t>Sale Leaseback Transactions</w:t>
            </w:r>
          </w:p>
        </w:tc>
        <w:tc>
          <w:tcPr>
            <w:tcW w:w="680" w:type="dxa"/>
            <w:vAlign w:val="bottom"/>
            <w:gridSpan w:val="2"/>
          </w:tcPr>
          <w:p>
            <w:pPr>
              <w:jc w:val="right"/>
              <w:ind w:right="165"/>
              <w:spacing w:after="0"/>
              <w:rPr>
                <w:sz w:val="20"/>
                <w:szCs w:val="20"/>
                <w:color w:val="auto"/>
              </w:rPr>
            </w:pPr>
            <w:r>
              <w:rPr>
                <w:rFonts w:ascii="Times New Roman" w:cs="Times New Roman" w:eastAsia="Times New Roman" w:hAnsi="Times New Roman"/>
                <w:sz w:val="19"/>
                <w:szCs w:val="19"/>
                <w:color w:val="auto"/>
              </w:rPr>
              <w:t>113</w:t>
            </w:r>
          </w:p>
        </w:tc>
        <w:tc>
          <w:tcPr>
            <w:tcW w:w="2700" w:type="dxa"/>
            <w:vAlign w:val="bottom"/>
          </w:tcPr>
          <w:p>
            <w:pPr>
              <w:spacing w:after="0"/>
              <w:rPr>
                <w:sz w:val="20"/>
                <w:szCs w:val="20"/>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7.13</w:t>
            </w: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Swap Agreements</w:t>
            </w:r>
          </w:p>
        </w:tc>
        <w:tc>
          <w:tcPr>
            <w:tcW w:w="140" w:type="dxa"/>
            <w:vAlign w:val="bottom"/>
          </w:tcPr>
          <w:p>
            <w:pPr>
              <w:spacing w:after="0"/>
              <w:rPr>
                <w:sz w:val="21"/>
                <w:szCs w:val="21"/>
                <w:color w:val="auto"/>
              </w:rPr>
            </w:pPr>
          </w:p>
        </w:tc>
        <w:tc>
          <w:tcPr>
            <w:tcW w:w="540" w:type="dxa"/>
            <w:vAlign w:val="bottom"/>
            <w:gridSpan w:val="2"/>
          </w:tcPr>
          <w:p>
            <w:pPr>
              <w:jc w:val="right"/>
              <w:ind w:right="125"/>
              <w:spacing w:after="0"/>
              <w:rPr>
                <w:sz w:val="20"/>
                <w:szCs w:val="20"/>
                <w:color w:val="auto"/>
              </w:rPr>
            </w:pPr>
            <w:r>
              <w:rPr>
                <w:rFonts w:ascii="Times New Roman" w:cs="Times New Roman" w:eastAsia="Times New Roman" w:hAnsi="Times New Roman"/>
                <w:sz w:val="19"/>
                <w:szCs w:val="19"/>
                <w:color w:val="auto"/>
              </w:rPr>
              <w:t>113</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7.14</w:t>
            </w: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9"/>
                <w:szCs w:val="19"/>
                <w:color w:val="auto"/>
              </w:rPr>
              <w:t>Accounting Changes</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7.15</w:t>
            </w:r>
          </w:p>
        </w:tc>
        <w:tc>
          <w:tcPr>
            <w:tcW w:w="2220" w:type="dxa"/>
            <w:vAlign w:val="bottom"/>
            <w:gridSpan w:val="6"/>
          </w:tcPr>
          <w:p>
            <w:pPr>
              <w:ind w:left="120"/>
              <w:spacing w:after="0"/>
              <w:rPr>
                <w:sz w:val="20"/>
                <w:szCs w:val="20"/>
                <w:color w:val="auto"/>
              </w:rPr>
            </w:pPr>
            <w:r>
              <w:rPr>
                <w:rFonts w:ascii="Times New Roman" w:cs="Times New Roman" w:eastAsia="Times New Roman" w:hAnsi="Times New Roman"/>
                <w:sz w:val="19"/>
                <w:szCs w:val="19"/>
                <w:color w:val="auto"/>
              </w:rPr>
              <w:t>Negative Pledge Clauses</w:t>
            </w:r>
          </w:p>
        </w:tc>
        <w:tc>
          <w:tcPr>
            <w:tcW w:w="520" w:type="dxa"/>
            <w:vAlign w:val="bottom"/>
            <w:gridSpan w:val="2"/>
          </w:tcPr>
          <w:p>
            <w:pPr>
              <w:jc w:val="right"/>
              <w:ind w:right="145"/>
              <w:spacing w:after="0"/>
              <w:rPr>
                <w:sz w:val="20"/>
                <w:szCs w:val="20"/>
                <w:color w:val="auto"/>
              </w:rPr>
            </w:pPr>
            <w:r>
              <w:rPr>
                <w:rFonts w:ascii="Times New Roman" w:cs="Times New Roman" w:eastAsia="Times New Roman" w:hAnsi="Times New Roman"/>
                <w:sz w:val="19"/>
                <w:szCs w:val="19"/>
                <w:color w:val="auto"/>
                <w:w w:val="91"/>
              </w:rPr>
              <w:t>113</w:t>
            </w:r>
          </w:p>
        </w:tc>
        <w:tc>
          <w:tcPr>
            <w:tcW w:w="3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7.16</w:t>
            </w:r>
          </w:p>
        </w:tc>
        <w:tc>
          <w:tcPr>
            <w:tcW w:w="5760" w:type="dxa"/>
            <w:vAlign w:val="bottom"/>
            <w:gridSpan w:val="10"/>
          </w:tcPr>
          <w:p>
            <w:pPr>
              <w:ind w:left="120"/>
              <w:spacing w:after="0"/>
              <w:rPr>
                <w:sz w:val="20"/>
                <w:szCs w:val="20"/>
                <w:color w:val="auto"/>
              </w:rPr>
            </w:pPr>
            <w:r>
              <w:rPr>
                <w:rFonts w:ascii="Times New Roman" w:cs="Times New Roman" w:eastAsia="Times New Roman" w:hAnsi="Times New Roman"/>
                <w:sz w:val="19"/>
                <w:szCs w:val="19"/>
                <w:color w:val="auto"/>
              </w:rPr>
              <w:t>Clauses Restricting Subsidiary Distributions  114</w:t>
            </w: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7.17</w:t>
            </w: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Lines of Business</w:t>
            </w:r>
          </w:p>
        </w:tc>
        <w:tc>
          <w:tcPr>
            <w:tcW w:w="140" w:type="dxa"/>
            <w:vAlign w:val="bottom"/>
          </w:tcPr>
          <w:p>
            <w:pPr>
              <w:spacing w:after="0"/>
              <w:rPr>
                <w:sz w:val="20"/>
                <w:szCs w:val="20"/>
                <w:color w:val="auto"/>
              </w:rPr>
            </w:pPr>
          </w:p>
        </w:tc>
        <w:tc>
          <w:tcPr>
            <w:tcW w:w="540" w:type="dxa"/>
            <w:vAlign w:val="bottom"/>
            <w:gridSpan w:val="2"/>
          </w:tcPr>
          <w:p>
            <w:pPr>
              <w:jc w:val="right"/>
              <w:ind w:right="165"/>
              <w:spacing w:after="0"/>
              <w:rPr>
                <w:sz w:val="20"/>
                <w:szCs w:val="20"/>
                <w:color w:val="auto"/>
              </w:rPr>
            </w:pPr>
            <w:r>
              <w:rPr>
                <w:rFonts w:ascii="Times New Roman" w:cs="Times New Roman" w:eastAsia="Times New Roman" w:hAnsi="Times New Roman"/>
                <w:sz w:val="19"/>
                <w:szCs w:val="19"/>
                <w:color w:val="auto"/>
                <w:w w:val="91"/>
              </w:rPr>
              <w:t>114</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7.18</w:t>
            </w:r>
          </w:p>
        </w:tc>
        <w:tc>
          <w:tcPr>
            <w:tcW w:w="2740" w:type="dxa"/>
            <w:vAlign w:val="bottom"/>
            <w:gridSpan w:val="8"/>
          </w:tcPr>
          <w:p>
            <w:pPr>
              <w:ind w:left="120"/>
              <w:spacing w:after="0"/>
              <w:rPr>
                <w:sz w:val="20"/>
                <w:szCs w:val="20"/>
                <w:color w:val="auto"/>
              </w:rPr>
            </w:pPr>
            <w:r>
              <w:rPr>
                <w:rFonts w:ascii="Times New Roman" w:cs="Times New Roman" w:eastAsia="Times New Roman" w:hAnsi="Times New Roman"/>
                <w:sz w:val="19"/>
                <w:szCs w:val="19"/>
                <w:color w:val="auto"/>
                <w:w w:val="99"/>
              </w:rPr>
              <w:t>Designation of other Indebtedness</w:t>
            </w:r>
          </w:p>
        </w:tc>
        <w:tc>
          <w:tcPr>
            <w:tcW w:w="3020" w:type="dxa"/>
            <w:vAlign w:val="bottom"/>
            <w:gridSpan w:val="2"/>
          </w:tcPr>
          <w:p>
            <w:pPr>
              <w:jc w:val="right"/>
              <w:ind w:right="2445"/>
              <w:spacing w:after="0"/>
              <w:rPr>
                <w:sz w:val="20"/>
                <w:szCs w:val="20"/>
                <w:color w:val="auto"/>
              </w:rPr>
            </w:pPr>
            <w:r>
              <w:rPr>
                <w:rFonts w:ascii="Times New Roman" w:cs="Times New Roman" w:eastAsia="Times New Roman" w:hAnsi="Times New Roman"/>
                <w:sz w:val="19"/>
                <w:szCs w:val="19"/>
                <w:color w:val="auto"/>
              </w:rPr>
              <w:t>114</w:t>
            </w: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7.19</w:t>
            </w:r>
          </w:p>
        </w:tc>
        <w:tc>
          <w:tcPr>
            <w:tcW w:w="2380" w:type="dxa"/>
            <w:vAlign w:val="bottom"/>
            <w:gridSpan w:val="7"/>
          </w:tcPr>
          <w:p>
            <w:pPr>
              <w:ind w:left="120"/>
              <w:spacing w:after="0"/>
              <w:rPr>
                <w:sz w:val="20"/>
                <w:szCs w:val="20"/>
                <w:color w:val="auto"/>
              </w:rPr>
            </w:pPr>
            <w:r>
              <w:rPr>
                <w:rFonts w:ascii="Times New Roman" w:cs="Times New Roman" w:eastAsia="Times New Roman" w:hAnsi="Times New Roman"/>
                <w:sz w:val="19"/>
                <w:szCs w:val="19"/>
                <w:color w:val="auto"/>
              </w:rPr>
              <w:t>PC Entities; PC Documents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7.20</w:t>
            </w:r>
          </w:p>
        </w:tc>
        <w:tc>
          <w:tcPr>
            <w:tcW w:w="5760" w:type="dxa"/>
            <w:vAlign w:val="bottom"/>
            <w:gridSpan w:val="10"/>
          </w:tcPr>
          <w:p>
            <w:pPr>
              <w:ind w:left="120"/>
              <w:spacing w:after="0"/>
              <w:rPr>
                <w:sz w:val="20"/>
                <w:szCs w:val="20"/>
                <w:color w:val="auto"/>
              </w:rPr>
            </w:pPr>
            <w:r>
              <w:rPr>
                <w:rFonts w:ascii="Times New Roman" w:cs="Times New Roman" w:eastAsia="Times New Roman" w:hAnsi="Times New Roman"/>
                <w:sz w:val="19"/>
                <w:szCs w:val="19"/>
                <w:color w:val="auto"/>
              </w:rPr>
              <w:t>Amendments to Organizational Agreements and Material Contracts  115</w:t>
            </w: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7.21</w:t>
            </w: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Use of Proceeds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8"/>
              </w:rPr>
              <w:t>115</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34"/>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7.22</w:t>
            </w:r>
          </w:p>
        </w:tc>
        <w:tc>
          <w:tcPr>
            <w:tcW w:w="2380" w:type="dxa"/>
            <w:vAlign w:val="bottom"/>
            <w:gridSpan w:val="7"/>
          </w:tcPr>
          <w:p>
            <w:pPr>
              <w:ind w:left="120"/>
              <w:spacing w:after="0"/>
              <w:rPr>
                <w:sz w:val="20"/>
                <w:szCs w:val="20"/>
                <w:color w:val="auto"/>
              </w:rPr>
            </w:pPr>
            <w:r>
              <w:rPr>
                <w:rFonts w:ascii="Times New Roman" w:cs="Times New Roman" w:eastAsia="Times New Roman" w:hAnsi="Times New Roman"/>
                <w:sz w:val="19"/>
                <w:szCs w:val="19"/>
                <w:color w:val="auto"/>
              </w:rPr>
              <w:t>Subordinated Indebtedness.</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c>
          <w:tcPr>
            <w:tcW w:w="3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7.23</w:t>
            </w: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9"/>
                <w:szCs w:val="19"/>
                <w:color w:val="auto"/>
              </w:rPr>
              <w:t>Anti-Terrorism Laws</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47"/>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7.24</w:t>
            </w:r>
          </w:p>
        </w:tc>
        <w:tc>
          <w:tcPr>
            <w:tcW w:w="1680" w:type="dxa"/>
            <w:vAlign w:val="bottom"/>
            <w:gridSpan w:val="4"/>
          </w:tcPr>
          <w:p>
            <w:pPr>
              <w:ind w:left="120"/>
              <w:spacing w:after="0"/>
              <w:rPr>
                <w:sz w:val="20"/>
                <w:szCs w:val="20"/>
                <w:color w:val="auto"/>
              </w:rPr>
            </w:pPr>
            <w:r>
              <w:rPr>
                <w:rFonts w:ascii="Times New Roman" w:cs="Times New Roman" w:eastAsia="Times New Roman" w:hAnsi="Times New Roman"/>
                <w:sz w:val="19"/>
                <w:szCs w:val="19"/>
                <w:color w:val="auto"/>
              </w:rPr>
              <w:t>Holding Companies</w:t>
            </w: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116</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50"/>
        </w:trPr>
        <w:tc>
          <w:tcPr>
            <w:tcW w:w="60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7.25</w:t>
            </w: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9"/>
                <w:szCs w:val="19"/>
                <w:color w:val="auto"/>
              </w:rPr>
              <w:t>Collection Account..</w:t>
            </w:r>
          </w:p>
        </w:tc>
        <w:tc>
          <w:tcPr>
            <w:tcW w:w="3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116</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443"/>
        </w:trPr>
        <w:tc>
          <w:tcPr>
            <w:tcW w:w="2980" w:type="dxa"/>
            <w:vAlign w:val="bottom"/>
            <w:gridSpan w:val="9"/>
          </w:tcPr>
          <w:p>
            <w:pPr>
              <w:spacing w:after="0"/>
              <w:rPr>
                <w:sz w:val="20"/>
                <w:szCs w:val="20"/>
                <w:color w:val="auto"/>
              </w:rPr>
            </w:pPr>
            <w:r>
              <w:rPr>
                <w:rFonts w:ascii="Times New Roman" w:cs="Times New Roman" w:eastAsia="Times New Roman" w:hAnsi="Times New Roman"/>
                <w:sz w:val="19"/>
                <w:szCs w:val="19"/>
                <w:color w:val="auto"/>
              </w:rPr>
              <w:t>SECTION 8 EVENTS OF DEFAULT</w:t>
            </w:r>
          </w:p>
        </w:tc>
        <w:tc>
          <w:tcPr>
            <w:tcW w:w="680" w:type="dxa"/>
            <w:vAlign w:val="bottom"/>
            <w:gridSpan w:val="2"/>
          </w:tcPr>
          <w:p>
            <w:pPr>
              <w:jc w:val="right"/>
              <w:ind w:right="185"/>
              <w:spacing w:after="0"/>
              <w:rPr>
                <w:sz w:val="20"/>
                <w:szCs w:val="20"/>
                <w:color w:val="auto"/>
              </w:rPr>
            </w:pPr>
            <w:r>
              <w:rPr>
                <w:rFonts w:ascii="Times New Roman" w:cs="Times New Roman" w:eastAsia="Times New Roman" w:hAnsi="Times New Roman"/>
                <w:sz w:val="19"/>
                <w:szCs w:val="19"/>
                <w:color w:val="auto"/>
              </w:rPr>
              <w:t>116</w:t>
            </w:r>
          </w:p>
        </w:tc>
        <w:tc>
          <w:tcPr>
            <w:tcW w:w="2700" w:type="dxa"/>
            <w:vAlign w:val="bottom"/>
          </w:tcPr>
          <w:p>
            <w:pPr>
              <w:spacing w:after="0"/>
              <w:rPr>
                <w:sz w:val="24"/>
                <w:szCs w:val="24"/>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ind w:left="1068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-123825</wp:posOffset>
            </wp:positionV>
            <wp:extent cx="6748145" cy="2317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6748145" cy="231775"/>
                    </a:xfrm>
                    <a:prstGeom prst="rect">
                      <a:avLst/>
                    </a:prstGeom>
                    <a:noFill/>
                  </pic:spPr>
                </pic:pic>
              </a:graphicData>
            </a:graphic>
          </wp:anchor>
        </w:drawing>
      </w:r>
    </w:p>
    <w:p>
      <w:pPr>
        <w:spacing w:after="0" w:line="5" w:lineRule="exact"/>
        <w:rPr>
          <w:sz w:val="20"/>
          <w:szCs w:val="20"/>
          <w:color w:val="auto"/>
        </w:rPr>
      </w:pPr>
    </w:p>
    <w:p>
      <w:pPr>
        <w:jc w:val="center"/>
        <w:ind w:left="10680"/>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1240"/>
          </w:cols>
          <w:pgMar w:left="320" w:top="114"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(continued)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8.1</w:t>
            </w:r>
          </w:p>
        </w:tc>
        <w:tc>
          <w:tcPr>
            <w:tcW w:w="156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Events of Default</w:t>
            </w:r>
          </w:p>
        </w:tc>
        <w:tc>
          <w:tcPr>
            <w:tcW w:w="720" w:type="dxa"/>
            <w:vAlign w:val="bottom"/>
            <w:gridSpan w:val="3"/>
          </w:tcPr>
          <w:p>
            <w:pPr>
              <w:jc w:val="right"/>
              <w:ind w:right="325"/>
              <w:spacing w:after="0"/>
              <w:rPr>
                <w:sz w:val="20"/>
                <w:szCs w:val="20"/>
                <w:color w:val="auto"/>
              </w:rPr>
            </w:pPr>
            <w:r>
              <w:rPr>
                <w:rFonts w:ascii="Times New Roman" w:cs="Times New Roman" w:eastAsia="Times New Roman" w:hAnsi="Times New Roman"/>
                <w:sz w:val="19"/>
                <w:szCs w:val="19"/>
                <w:color w:val="auto"/>
                <w:w w:val="98"/>
              </w:rPr>
              <w:t>116</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8.2</w:t>
            </w:r>
          </w:p>
        </w:tc>
        <w:tc>
          <w:tcPr>
            <w:tcW w:w="2780" w:type="dxa"/>
            <w:vAlign w:val="bottom"/>
            <w:gridSpan w:val="8"/>
          </w:tcPr>
          <w:p>
            <w:pPr>
              <w:ind w:left="60"/>
              <w:spacing w:after="0"/>
              <w:rPr>
                <w:sz w:val="20"/>
                <w:szCs w:val="20"/>
                <w:color w:val="auto"/>
              </w:rPr>
            </w:pPr>
            <w:r>
              <w:rPr>
                <w:rFonts w:ascii="Times New Roman" w:cs="Times New Roman" w:eastAsia="Times New Roman" w:hAnsi="Times New Roman"/>
                <w:sz w:val="19"/>
                <w:szCs w:val="19"/>
                <w:color w:val="auto"/>
              </w:rPr>
              <w:t>Remedies Upon Event of Default</w:t>
            </w:r>
          </w:p>
        </w:tc>
        <w:tc>
          <w:tcPr>
            <w:tcW w:w="38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w w:val="91"/>
              </w:rPr>
              <w:t>119</w:t>
            </w: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50"/>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8.3</w:t>
            </w:r>
          </w:p>
        </w:tc>
        <w:tc>
          <w:tcPr>
            <w:tcW w:w="178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Application of Funds</w:t>
            </w:r>
          </w:p>
        </w:tc>
        <w:tc>
          <w:tcPr>
            <w:tcW w:w="80" w:type="dxa"/>
            <w:vAlign w:val="bottom"/>
          </w:tcPr>
          <w:p>
            <w:pPr>
              <w:spacing w:after="0"/>
              <w:rPr>
                <w:sz w:val="21"/>
                <w:szCs w:val="21"/>
                <w:color w:val="auto"/>
              </w:rPr>
            </w:pPr>
          </w:p>
        </w:tc>
        <w:tc>
          <w:tcPr>
            <w:tcW w:w="4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w w:val="98"/>
              </w:rPr>
              <w:t>120</w:t>
            </w: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443"/>
        </w:trPr>
        <w:tc>
          <w:tcPr>
            <w:tcW w:w="3740" w:type="dxa"/>
            <w:vAlign w:val="bottom"/>
            <w:gridSpan w:val="10"/>
          </w:tcPr>
          <w:p>
            <w:pPr>
              <w:spacing w:after="0"/>
              <w:rPr>
                <w:sz w:val="20"/>
                <w:szCs w:val="20"/>
                <w:color w:val="auto"/>
              </w:rPr>
            </w:pPr>
            <w:r>
              <w:rPr>
                <w:rFonts w:ascii="Times New Roman" w:cs="Times New Roman" w:eastAsia="Times New Roman" w:hAnsi="Times New Roman"/>
                <w:sz w:val="19"/>
                <w:szCs w:val="19"/>
                <w:color w:val="auto"/>
                <w:w w:val="99"/>
              </w:rPr>
              <w:t>SECTION 9 THE ADMINISTRATIVE AGENT</w:t>
            </w:r>
          </w:p>
        </w:tc>
        <w:tc>
          <w:tcPr>
            <w:tcW w:w="1540" w:type="dxa"/>
            <w:vAlign w:val="bottom"/>
          </w:tcPr>
          <w:p>
            <w:pPr>
              <w:jc w:val="right"/>
              <w:ind w:right="985"/>
              <w:spacing w:after="0"/>
              <w:rPr>
                <w:sz w:val="20"/>
                <w:szCs w:val="20"/>
                <w:color w:val="auto"/>
              </w:rPr>
            </w:pPr>
            <w:r>
              <w:rPr>
                <w:rFonts w:ascii="Times New Roman" w:cs="Times New Roman" w:eastAsia="Times New Roman" w:hAnsi="Times New Roman"/>
                <w:sz w:val="19"/>
                <w:szCs w:val="19"/>
                <w:color w:val="auto"/>
              </w:rPr>
              <w:t>121</w:t>
            </w:r>
          </w:p>
        </w:tc>
        <w:tc>
          <w:tcPr>
            <w:tcW w:w="580" w:type="dxa"/>
            <w:vAlign w:val="bottom"/>
          </w:tcPr>
          <w:p>
            <w:pPr>
              <w:spacing w:after="0"/>
              <w:rPr>
                <w:sz w:val="24"/>
                <w:szCs w:val="24"/>
                <w:color w:val="auto"/>
              </w:rPr>
            </w:pPr>
          </w:p>
        </w:tc>
      </w:tr>
      <w:tr>
        <w:trPr>
          <w:trHeight w:val="440"/>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9.1</w:t>
            </w:r>
          </w:p>
        </w:tc>
        <w:tc>
          <w:tcPr>
            <w:tcW w:w="2780" w:type="dxa"/>
            <w:vAlign w:val="bottom"/>
            <w:gridSpan w:val="8"/>
          </w:tcPr>
          <w:p>
            <w:pPr>
              <w:ind w:left="60"/>
              <w:spacing w:after="0"/>
              <w:rPr>
                <w:sz w:val="20"/>
                <w:szCs w:val="20"/>
                <w:color w:val="auto"/>
              </w:rPr>
            </w:pPr>
            <w:r>
              <w:rPr>
                <w:rFonts w:ascii="Times New Roman" w:cs="Times New Roman" w:eastAsia="Times New Roman" w:hAnsi="Times New Roman"/>
                <w:sz w:val="19"/>
                <w:szCs w:val="19"/>
                <w:color w:val="auto"/>
              </w:rPr>
              <w:t>Appointment and Authority.  121</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9.2</w:t>
            </w:r>
          </w:p>
        </w:tc>
        <w:tc>
          <w:tcPr>
            <w:tcW w:w="1780" w:type="dxa"/>
            <w:vAlign w:val="bottom"/>
            <w:gridSpan w:val="5"/>
          </w:tcPr>
          <w:p>
            <w:pPr>
              <w:ind w:left="60"/>
              <w:spacing w:after="0"/>
              <w:rPr>
                <w:sz w:val="20"/>
                <w:szCs w:val="20"/>
                <w:color w:val="auto"/>
              </w:rPr>
            </w:pPr>
            <w:r>
              <w:rPr>
                <w:rFonts w:ascii="Times New Roman" w:cs="Times New Roman" w:eastAsia="Times New Roman" w:hAnsi="Times New Roman"/>
                <w:sz w:val="19"/>
                <w:szCs w:val="19"/>
                <w:color w:val="auto"/>
              </w:rPr>
              <w:t>Delegation of Duties</w:t>
            </w:r>
          </w:p>
        </w:tc>
        <w:tc>
          <w:tcPr>
            <w:tcW w:w="500" w:type="dxa"/>
            <w:vAlign w:val="bottom"/>
            <w:gridSpan w:val="2"/>
          </w:tcPr>
          <w:p>
            <w:pPr>
              <w:jc w:val="right"/>
              <w:ind w:right="65"/>
              <w:spacing w:after="0"/>
              <w:rPr>
                <w:sz w:val="20"/>
                <w:szCs w:val="20"/>
                <w:color w:val="auto"/>
              </w:rPr>
            </w:pPr>
            <w:r>
              <w:rPr>
                <w:rFonts w:ascii="Times New Roman" w:cs="Times New Roman" w:eastAsia="Times New Roman" w:hAnsi="Times New Roman"/>
                <w:sz w:val="19"/>
                <w:szCs w:val="19"/>
                <w:color w:val="auto"/>
              </w:rPr>
              <w:t>122</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9.3</w:t>
            </w:r>
          </w:p>
        </w:tc>
        <w:tc>
          <w:tcPr>
            <w:tcW w:w="1860" w:type="dxa"/>
            <w:vAlign w:val="bottom"/>
            <w:gridSpan w:val="6"/>
          </w:tcPr>
          <w:p>
            <w:pPr>
              <w:ind w:left="60"/>
              <w:spacing w:after="0"/>
              <w:rPr>
                <w:sz w:val="20"/>
                <w:szCs w:val="20"/>
                <w:color w:val="auto"/>
              </w:rPr>
            </w:pPr>
            <w:r>
              <w:rPr>
                <w:rFonts w:ascii="Times New Roman" w:cs="Times New Roman" w:eastAsia="Times New Roman" w:hAnsi="Times New Roman"/>
                <w:sz w:val="19"/>
                <w:szCs w:val="19"/>
                <w:color w:val="auto"/>
              </w:rPr>
              <w:t>Exculpatory Provisions</w:t>
            </w:r>
          </w:p>
        </w:tc>
        <w:tc>
          <w:tcPr>
            <w:tcW w:w="920" w:type="dxa"/>
            <w:vAlign w:val="bottom"/>
            <w:gridSpan w:val="2"/>
          </w:tcPr>
          <w:p>
            <w:pPr>
              <w:jc w:val="center"/>
              <w:ind w:right="205"/>
              <w:spacing w:after="0"/>
              <w:rPr>
                <w:sz w:val="20"/>
                <w:szCs w:val="20"/>
                <w:color w:val="auto"/>
              </w:rPr>
            </w:pPr>
            <w:r>
              <w:rPr>
                <w:rFonts w:ascii="Times New Roman" w:cs="Times New Roman" w:eastAsia="Times New Roman" w:hAnsi="Times New Roman"/>
                <w:sz w:val="19"/>
                <w:szCs w:val="19"/>
                <w:color w:val="auto"/>
              </w:rPr>
              <w:t>122</w:t>
            </w: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9.4</w:t>
            </w:r>
          </w:p>
        </w:tc>
        <w:tc>
          <w:tcPr>
            <w:tcW w:w="2780" w:type="dxa"/>
            <w:vAlign w:val="bottom"/>
            <w:gridSpan w:val="8"/>
          </w:tcPr>
          <w:p>
            <w:pPr>
              <w:ind w:left="60"/>
              <w:spacing w:after="0"/>
              <w:rPr>
                <w:sz w:val="20"/>
                <w:szCs w:val="20"/>
                <w:color w:val="auto"/>
              </w:rPr>
            </w:pPr>
            <w:r>
              <w:rPr>
                <w:rFonts w:ascii="Times New Roman" w:cs="Times New Roman" w:eastAsia="Times New Roman" w:hAnsi="Times New Roman"/>
                <w:sz w:val="19"/>
                <w:szCs w:val="19"/>
                <w:color w:val="auto"/>
              </w:rPr>
              <w:t>Reliance by Administrative Agent</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w:t>
            </w: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9.5</w:t>
            </w:r>
          </w:p>
        </w:tc>
        <w:tc>
          <w:tcPr>
            <w:tcW w:w="1560" w:type="dxa"/>
            <w:vAlign w:val="bottom"/>
            <w:gridSpan w:val="4"/>
          </w:tcPr>
          <w:p>
            <w:pPr>
              <w:ind w:left="60"/>
              <w:spacing w:after="0"/>
              <w:rPr>
                <w:sz w:val="20"/>
                <w:szCs w:val="20"/>
                <w:color w:val="auto"/>
              </w:rPr>
            </w:pPr>
            <w:r>
              <w:rPr>
                <w:rFonts w:ascii="Times New Roman" w:cs="Times New Roman" w:eastAsia="Times New Roman" w:hAnsi="Times New Roman"/>
                <w:sz w:val="19"/>
                <w:szCs w:val="19"/>
                <w:color w:val="auto"/>
              </w:rPr>
              <w:t>Notice of Default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8"/>
              </w:rPr>
              <w:t>124</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9.6</w:t>
            </w:r>
          </w:p>
        </w:tc>
        <w:tc>
          <w:tcPr>
            <w:tcW w:w="4700" w:type="dxa"/>
            <w:vAlign w:val="bottom"/>
            <w:gridSpan w:val="10"/>
          </w:tcPr>
          <w:p>
            <w:pPr>
              <w:ind w:left="60"/>
              <w:spacing w:after="0"/>
              <w:rPr>
                <w:sz w:val="20"/>
                <w:szCs w:val="20"/>
                <w:color w:val="auto"/>
              </w:rPr>
            </w:pPr>
            <w:r>
              <w:rPr>
                <w:rFonts w:ascii="Times New Roman" w:cs="Times New Roman" w:eastAsia="Times New Roman" w:hAnsi="Times New Roman"/>
                <w:sz w:val="19"/>
                <w:szCs w:val="19"/>
                <w:color w:val="auto"/>
              </w:rPr>
              <w:t>Non-Reliance on Administrative Agent and Other Lenders</w:t>
            </w:r>
          </w:p>
        </w:tc>
        <w:tc>
          <w:tcPr>
            <w:tcW w:w="5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w w:val="98"/>
              </w:rPr>
              <w:t>124</w:t>
            </w: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9.7</w:t>
            </w: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w w:val="98"/>
              </w:rPr>
              <w:t>Indemnification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9.8</w:t>
            </w:r>
          </w:p>
        </w:tc>
        <w:tc>
          <w:tcPr>
            <w:tcW w:w="3160" w:type="dxa"/>
            <w:vAlign w:val="bottom"/>
            <w:gridSpan w:val="9"/>
          </w:tcPr>
          <w:p>
            <w:pPr>
              <w:ind w:left="60"/>
              <w:spacing w:after="0"/>
              <w:rPr>
                <w:sz w:val="20"/>
                <w:szCs w:val="20"/>
                <w:color w:val="auto"/>
              </w:rPr>
            </w:pPr>
            <w:r>
              <w:rPr>
                <w:rFonts w:ascii="Times New Roman" w:cs="Times New Roman" w:eastAsia="Times New Roman" w:hAnsi="Times New Roman"/>
                <w:sz w:val="19"/>
                <w:szCs w:val="19"/>
                <w:color w:val="auto"/>
              </w:rPr>
              <w:t>Agent in Its Individual Capacity  125</w:t>
            </w: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4"/>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9.9</w:t>
            </w:r>
          </w:p>
        </w:tc>
        <w:tc>
          <w:tcPr>
            <w:tcW w:w="3160" w:type="dxa"/>
            <w:vAlign w:val="bottom"/>
            <w:gridSpan w:val="9"/>
          </w:tcPr>
          <w:p>
            <w:pPr>
              <w:ind w:left="60"/>
              <w:spacing w:after="0"/>
              <w:rPr>
                <w:sz w:val="20"/>
                <w:szCs w:val="20"/>
                <w:color w:val="auto"/>
              </w:rPr>
            </w:pPr>
            <w:r>
              <w:rPr>
                <w:rFonts w:ascii="Times New Roman" w:cs="Times New Roman" w:eastAsia="Times New Roman" w:hAnsi="Times New Roman"/>
                <w:sz w:val="19"/>
                <w:szCs w:val="19"/>
                <w:color w:val="auto"/>
              </w:rPr>
              <w:t>Successor Administrative Agent.  125</w:t>
            </w: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9.10</w:t>
            </w:r>
          </w:p>
        </w:tc>
        <w:tc>
          <w:tcPr>
            <w:tcW w:w="2680" w:type="dxa"/>
            <w:vAlign w:val="bottom"/>
            <w:gridSpan w:val="7"/>
          </w:tcPr>
          <w:p>
            <w:pPr>
              <w:ind w:left="40"/>
              <w:spacing w:after="0"/>
              <w:rPr>
                <w:sz w:val="20"/>
                <w:szCs w:val="20"/>
                <w:color w:val="auto"/>
              </w:rPr>
            </w:pPr>
            <w:r>
              <w:rPr>
                <w:rFonts w:ascii="Times New Roman" w:cs="Times New Roman" w:eastAsia="Times New Roman" w:hAnsi="Times New Roman"/>
                <w:sz w:val="19"/>
                <w:szCs w:val="19"/>
                <w:color w:val="auto"/>
              </w:rPr>
              <w:t>Collateral and Guaranty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w:t>
            </w: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7"/>
        </w:trPr>
        <w:tc>
          <w:tcPr>
            <w:tcW w:w="5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9.11</w:t>
            </w:r>
          </w:p>
        </w:tc>
        <w:tc>
          <w:tcPr>
            <w:tcW w:w="100" w:type="dxa"/>
            <w:vAlign w:val="bottom"/>
          </w:tcPr>
          <w:p>
            <w:pPr>
              <w:spacing w:after="0"/>
              <w:rPr>
                <w:sz w:val="21"/>
                <w:szCs w:val="21"/>
                <w:color w:val="auto"/>
              </w:rPr>
            </w:pPr>
          </w:p>
        </w:tc>
        <w:tc>
          <w:tcPr>
            <w:tcW w:w="4600" w:type="dxa"/>
            <w:vAlign w:val="bottom"/>
            <w:gridSpan w:val="9"/>
          </w:tcPr>
          <w:p>
            <w:pPr>
              <w:ind w:left="40"/>
              <w:spacing w:after="0"/>
              <w:rPr>
                <w:sz w:val="20"/>
                <w:szCs w:val="20"/>
                <w:color w:val="auto"/>
              </w:rPr>
            </w:pPr>
            <w:r>
              <w:rPr>
                <w:rFonts w:ascii="Times New Roman" w:cs="Times New Roman" w:eastAsia="Times New Roman" w:hAnsi="Times New Roman"/>
                <w:sz w:val="19"/>
                <w:szCs w:val="19"/>
                <w:color w:val="auto"/>
              </w:rPr>
              <w:t>Administrative Agent May File Proofs of Claim  127</w:t>
            </w:r>
          </w:p>
        </w:tc>
        <w:tc>
          <w:tcPr>
            <w:tcW w:w="580" w:type="dxa"/>
            <w:vAlign w:val="bottom"/>
          </w:tcPr>
          <w:p>
            <w:pPr>
              <w:spacing w:after="0"/>
              <w:rPr>
                <w:sz w:val="21"/>
                <w:szCs w:val="21"/>
                <w:color w:val="auto"/>
              </w:rPr>
            </w:pPr>
          </w:p>
        </w:tc>
      </w:tr>
      <w:tr>
        <w:trPr>
          <w:trHeight w:val="234"/>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9.12</w:t>
            </w: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No Other Duties, Etc</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9.13</w:t>
            </w:r>
          </w:p>
        </w:tc>
        <w:tc>
          <w:tcPr>
            <w:tcW w:w="5180" w:type="dxa"/>
            <w:vAlign w:val="bottom"/>
            <w:gridSpan w:val="10"/>
          </w:tcPr>
          <w:p>
            <w:pPr>
              <w:ind w:left="40"/>
              <w:spacing w:after="0"/>
              <w:rPr>
                <w:sz w:val="20"/>
                <w:szCs w:val="20"/>
                <w:color w:val="auto"/>
              </w:rPr>
            </w:pPr>
            <w:r>
              <w:rPr>
                <w:rFonts w:ascii="Times New Roman" w:cs="Times New Roman" w:eastAsia="Times New Roman" w:hAnsi="Times New Roman"/>
                <w:sz w:val="19"/>
                <w:szCs w:val="19"/>
                <w:color w:val="auto"/>
              </w:rPr>
              <w:t>Cash Management Bank and Qualified Counterparty Reports  128</w:t>
            </w:r>
          </w:p>
        </w:tc>
      </w:tr>
      <w:tr>
        <w:trPr>
          <w:trHeight w:val="234"/>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9.14</w:t>
            </w:r>
          </w:p>
        </w:tc>
        <w:tc>
          <w:tcPr>
            <w:tcW w:w="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Survival</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0"/>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9.15</w:t>
            </w: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Erroneous Payments</w:t>
            </w: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w:t>
            </w: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456"/>
        </w:trPr>
        <w:tc>
          <w:tcPr>
            <w:tcW w:w="286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SECTION 10 MISCELLANEOUS</w:t>
            </w:r>
          </w:p>
        </w:tc>
        <w:tc>
          <w:tcPr>
            <w:tcW w:w="50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auto"/>
                <w:w w:val="98"/>
              </w:rPr>
              <w:t>131</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2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10.1</w:t>
            </w:r>
          </w:p>
        </w:tc>
        <w:tc>
          <w:tcPr>
            <w:tcW w:w="2180" w:type="dxa"/>
            <w:vAlign w:val="bottom"/>
            <w:gridSpan w:val="6"/>
          </w:tcPr>
          <w:p>
            <w:pPr>
              <w:ind w:left="40"/>
              <w:spacing w:after="0"/>
              <w:rPr>
                <w:sz w:val="20"/>
                <w:szCs w:val="20"/>
                <w:color w:val="auto"/>
              </w:rPr>
            </w:pPr>
            <w:r>
              <w:rPr>
                <w:rFonts w:ascii="Times New Roman" w:cs="Times New Roman" w:eastAsia="Times New Roman" w:hAnsi="Times New Roman"/>
                <w:sz w:val="19"/>
                <w:szCs w:val="19"/>
                <w:color w:val="auto"/>
              </w:rPr>
              <w:t>Amendments and Waivers.</w:t>
            </w:r>
          </w:p>
        </w:tc>
        <w:tc>
          <w:tcPr>
            <w:tcW w:w="50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131</w:t>
            </w: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10.2</w:t>
            </w:r>
          </w:p>
        </w:tc>
        <w:tc>
          <w:tcPr>
            <w:tcW w:w="7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Notices</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4"/>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10.3</w:t>
            </w:r>
          </w:p>
        </w:tc>
        <w:tc>
          <w:tcPr>
            <w:tcW w:w="2680" w:type="dxa"/>
            <w:vAlign w:val="bottom"/>
            <w:gridSpan w:val="7"/>
          </w:tcPr>
          <w:p>
            <w:pPr>
              <w:ind w:left="40"/>
              <w:spacing w:after="0"/>
              <w:rPr>
                <w:sz w:val="20"/>
                <w:szCs w:val="20"/>
                <w:color w:val="auto"/>
              </w:rPr>
            </w:pPr>
            <w:r>
              <w:rPr>
                <w:rFonts w:ascii="Times New Roman" w:cs="Times New Roman" w:eastAsia="Times New Roman" w:hAnsi="Times New Roman"/>
                <w:sz w:val="19"/>
                <w:szCs w:val="19"/>
                <w:color w:val="auto"/>
                <w:w w:val="99"/>
              </w:rPr>
              <w:t>No Waiver; Cumulative Remedies</w:t>
            </w:r>
          </w:p>
        </w:tc>
        <w:tc>
          <w:tcPr>
            <w:tcW w:w="1920" w:type="dxa"/>
            <w:vAlign w:val="bottom"/>
            <w:gridSpan w:val="2"/>
          </w:tcPr>
          <w:p>
            <w:pPr>
              <w:jc w:val="right"/>
              <w:ind w:right="1365"/>
              <w:spacing w:after="0"/>
              <w:rPr>
                <w:sz w:val="20"/>
                <w:szCs w:val="20"/>
                <w:color w:val="auto"/>
              </w:rPr>
            </w:pPr>
            <w:r>
              <w:rPr>
                <w:rFonts w:ascii="Times New Roman" w:cs="Times New Roman" w:eastAsia="Times New Roman" w:hAnsi="Times New Roman"/>
                <w:sz w:val="19"/>
                <w:szCs w:val="19"/>
                <w:color w:val="auto"/>
              </w:rPr>
              <w:t>135</w:t>
            </w:r>
          </w:p>
        </w:tc>
        <w:tc>
          <w:tcPr>
            <w:tcW w:w="580" w:type="dxa"/>
            <w:vAlign w:val="bottom"/>
          </w:tcPr>
          <w:p>
            <w:pPr>
              <w:spacing w:after="0"/>
              <w:rPr>
                <w:sz w:val="20"/>
                <w:szCs w:val="20"/>
                <w:color w:val="auto"/>
              </w:rPr>
            </w:pP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10.4</w:t>
            </w:r>
          </w:p>
        </w:tc>
        <w:tc>
          <w:tcPr>
            <w:tcW w:w="4600" w:type="dxa"/>
            <w:vAlign w:val="bottom"/>
            <w:gridSpan w:val="9"/>
          </w:tcPr>
          <w:p>
            <w:pPr>
              <w:ind w:left="40"/>
              <w:spacing w:after="0"/>
              <w:rPr>
                <w:sz w:val="20"/>
                <w:szCs w:val="20"/>
                <w:color w:val="auto"/>
              </w:rPr>
            </w:pPr>
            <w:r>
              <w:rPr>
                <w:rFonts w:ascii="Times New Roman" w:cs="Times New Roman" w:eastAsia="Times New Roman" w:hAnsi="Times New Roman"/>
                <w:sz w:val="19"/>
                <w:szCs w:val="19"/>
                <w:color w:val="auto"/>
              </w:rPr>
              <w:t>Survival of Representations and Warranties  135</w:t>
            </w:r>
          </w:p>
        </w:tc>
        <w:tc>
          <w:tcPr>
            <w:tcW w:w="580" w:type="dxa"/>
            <w:vAlign w:val="bottom"/>
          </w:tcPr>
          <w:p>
            <w:pPr>
              <w:spacing w:after="0"/>
              <w:rPr>
                <w:sz w:val="21"/>
                <w:szCs w:val="21"/>
                <w:color w:val="auto"/>
              </w:rPr>
            </w:pPr>
          </w:p>
        </w:tc>
      </w:tr>
      <w:tr>
        <w:trPr>
          <w:trHeight w:val="234"/>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10.5</w:t>
            </w:r>
          </w:p>
        </w:tc>
        <w:tc>
          <w:tcPr>
            <w:tcW w:w="3060" w:type="dxa"/>
            <w:vAlign w:val="bottom"/>
            <w:gridSpan w:val="8"/>
          </w:tcPr>
          <w:p>
            <w:pPr>
              <w:ind w:left="40"/>
              <w:spacing w:after="0"/>
              <w:rPr>
                <w:sz w:val="20"/>
                <w:szCs w:val="20"/>
                <w:color w:val="auto"/>
              </w:rPr>
            </w:pPr>
            <w:r>
              <w:rPr>
                <w:rFonts w:ascii="Times New Roman" w:cs="Times New Roman" w:eastAsia="Times New Roman" w:hAnsi="Times New Roman"/>
                <w:sz w:val="19"/>
                <w:szCs w:val="19"/>
                <w:color w:val="auto"/>
              </w:rPr>
              <w:t>Expenses; Indemnity; Damage Waiver.</w:t>
            </w:r>
          </w:p>
        </w:tc>
        <w:tc>
          <w:tcPr>
            <w:tcW w:w="1540" w:type="dxa"/>
            <w:vAlign w:val="bottom"/>
          </w:tcPr>
          <w:p>
            <w:pPr>
              <w:jc w:val="right"/>
              <w:ind w:right="1005"/>
              <w:spacing w:after="0"/>
              <w:rPr>
                <w:sz w:val="20"/>
                <w:szCs w:val="20"/>
                <w:color w:val="auto"/>
              </w:rPr>
            </w:pPr>
            <w:r>
              <w:rPr>
                <w:rFonts w:ascii="Times New Roman" w:cs="Times New Roman" w:eastAsia="Times New Roman" w:hAnsi="Times New Roman"/>
                <w:sz w:val="19"/>
                <w:szCs w:val="19"/>
                <w:color w:val="auto"/>
              </w:rPr>
              <w:t>135</w:t>
            </w:r>
          </w:p>
        </w:tc>
        <w:tc>
          <w:tcPr>
            <w:tcW w:w="580" w:type="dxa"/>
            <w:vAlign w:val="bottom"/>
          </w:tcPr>
          <w:p>
            <w:pPr>
              <w:spacing w:after="0"/>
              <w:rPr>
                <w:sz w:val="20"/>
                <w:szCs w:val="20"/>
                <w:color w:val="auto"/>
              </w:rPr>
            </w:pP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10.6</w:t>
            </w:r>
          </w:p>
        </w:tc>
        <w:tc>
          <w:tcPr>
            <w:tcW w:w="4600" w:type="dxa"/>
            <w:vAlign w:val="bottom"/>
            <w:gridSpan w:val="9"/>
          </w:tcPr>
          <w:p>
            <w:pPr>
              <w:ind w:left="40"/>
              <w:spacing w:after="0"/>
              <w:rPr>
                <w:sz w:val="20"/>
                <w:szCs w:val="20"/>
                <w:color w:val="auto"/>
              </w:rPr>
            </w:pPr>
            <w:r>
              <w:rPr>
                <w:rFonts w:ascii="Times New Roman" w:cs="Times New Roman" w:eastAsia="Times New Roman" w:hAnsi="Times New Roman"/>
                <w:sz w:val="19"/>
                <w:szCs w:val="19"/>
                <w:color w:val="auto"/>
              </w:rPr>
              <w:t>Successors and Assigns; Participations and Assignments.</w:t>
            </w:r>
          </w:p>
        </w:tc>
        <w:tc>
          <w:tcPr>
            <w:tcW w:w="580" w:type="dxa"/>
            <w:vAlign w:val="bottom"/>
          </w:tcPr>
          <w:p>
            <w:pPr>
              <w:jc w:val="right"/>
              <w:ind w:right="185"/>
              <w:spacing w:after="0"/>
              <w:rPr>
                <w:sz w:val="20"/>
                <w:szCs w:val="20"/>
                <w:color w:val="auto"/>
              </w:rPr>
            </w:pPr>
            <w:r>
              <w:rPr>
                <w:rFonts w:ascii="Times New Roman" w:cs="Times New Roman" w:eastAsia="Times New Roman" w:hAnsi="Times New Roman"/>
                <w:sz w:val="19"/>
                <w:szCs w:val="19"/>
                <w:color w:val="auto"/>
                <w:w w:val="98"/>
              </w:rPr>
              <w:t>137</w:t>
            </w: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10.7</w:t>
            </w:r>
          </w:p>
        </w:tc>
        <w:tc>
          <w:tcPr>
            <w:tcW w:w="1760" w:type="dxa"/>
            <w:vAlign w:val="bottom"/>
            <w:gridSpan w:val="5"/>
          </w:tcPr>
          <w:p>
            <w:pPr>
              <w:ind w:left="40"/>
              <w:spacing w:after="0"/>
              <w:rPr>
                <w:sz w:val="20"/>
                <w:szCs w:val="20"/>
                <w:color w:val="auto"/>
              </w:rPr>
            </w:pPr>
            <w:r>
              <w:rPr>
                <w:rFonts w:ascii="Times New Roman" w:cs="Times New Roman" w:eastAsia="Times New Roman" w:hAnsi="Times New Roman"/>
                <w:sz w:val="19"/>
                <w:szCs w:val="19"/>
                <w:color w:val="auto"/>
              </w:rPr>
              <w:t>Adjustments; Set-off.</w:t>
            </w: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w:t>
            </w: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4"/>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10.8</w:t>
            </w: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9"/>
                <w:szCs w:val="19"/>
                <w:color w:val="auto"/>
              </w:rPr>
              <w:t>Payments Set Aside</w:t>
            </w:r>
          </w:p>
        </w:tc>
        <w:tc>
          <w:tcPr>
            <w:tcW w:w="80" w:type="dxa"/>
            <w:vAlign w:val="bottom"/>
          </w:tcPr>
          <w:p>
            <w:pPr>
              <w:spacing w:after="0"/>
              <w:rPr>
                <w:sz w:val="20"/>
                <w:szCs w:val="20"/>
                <w:color w:val="auto"/>
              </w:rPr>
            </w:pPr>
          </w:p>
        </w:tc>
        <w:tc>
          <w:tcPr>
            <w:tcW w:w="42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w w:val="98"/>
              </w:rPr>
              <w:t>142</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10.9</w:t>
            </w:r>
          </w:p>
        </w:tc>
        <w:tc>
          <w:tcPr>
            <w:tcW w:w="2680" w:type="dxa"/>
            <w:vAlign w:val="bottom"/>
            <w:gridSpan w:val="7"/>
          </w:tcPr>
          <w:p>
            <w:pPr>
              <w:ind w:left="40"/>
              <w:spacing w:after="0"/>
              <w:rPr>
                <w:sz w:val="20"/>
                <w:szCs w:val="20"/>
                <w:color w:val="auto"/>
              </w:rPr>
            </w:pPr>
            <w:r>
              <w:rPr>
                <w:rFonts w:ascii="Times New Roman" w:cs="Times New Roman" w:eastAsia="Times New Roman" w:hAnsi="Times New Roman"/>
                <w:sz w:val="19"/>
                <w:szCs w:val="19"/>
                <w:color w:val="auto"/>
              </w:rPr>
              <w:t>Interest Rate Limitation  142</w:t>
            </w: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4"/>
        </w:trPr>
        <w:tc>
          <w:tcPr>
            <w:tcW w:w="5280" w:type="dxa"/>
            <w:vAlign w:val="bottom"/>
            <w:gridSpan w:val="11"/>
          </w:tcPr>
          <w:p>
            <w:pPr>
              <w:jc w:val="center"/>
              <w:ind w:left="125"/>
              <w:spacing w:after="0"/>
              <w:rPr>
                <w:sz w:val="20"/>
                <w:szCs w:val="20"/>
                <w:color w:val="auto"/>
              </w:rPr>
            </w:pPr>
            <w:r>
              <w:rPr>
                <w:rFonts w:ascii="Times New Roman" w:cs="Times New Roman" w:eastAsia="Times New Roman" w:hAnsi="Times New Roman"/>
                <w:sz w:val="19"/>
                <w:szCs w:val="19"/>
                <w:color w:val="auto"/>
              </w:rPr>
              <w:t>10.10  Counterparts; Electronic Execution of Assignments.  142</w:t>
            </w:r>
          </w:p>
        </w:tc>
        <w:tc>
          <w:tcPr>
            <w:tcW w:w="580" w:type="dxa"/>
            <w:vAlign w:val="bottom"/>
          </w:tcPr>
          <w:p>
            <w:pPr>
              <w:spacing w:after="0"/>
              <w:rPr>
                <w:sz w:val="20"/>
                <w:szCs w:val="20"/>
                <w:color w:val="auto"/>
              </w:rPr>
            </w:pP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10.11</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Severability</w:t>
            </w:r>
          </w:p>
        </w:tc>
        <w:tc>
          <w:tcPr>
            <w:tcW w:w="500" w:type="dxa"/>
            <w:vAlign w:val="bottom"/>
            <w:gridSpan w:val="2"/>
          </w:tcPr>
          <w:p>
            <w:pPr>
              <w:jc w:val="right"/>
              <w:ind w:right="45"/>
              <w:spacing w:after="0"/>
              <w:rPr>
                <w:sz w:val="20"/>
                <w:szCs w:val="20"/>
                <w:color w:val="auto"/>
              </w:rPr>
            </w:pPr>
            <w:r>
              <w:rPr>
                <w:rFonts w:ascii="Times New Roman" w:cs="Times New Roman" w:eastAsia="Times New Roman" w:hAnsi="Times New Roman"/>
                <w:sz w:val="19"/>
                <w:szCs w:val="19"/>
                <w:color w:val="auto"/>
              </w:rPr>
              <w:t>142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10.12</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Integration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143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34"/>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10.13</w:t>
            </w:r>
          </w:p>
        </w:tc>
        <w:tc>
          <w:tcPr>
            <w:tcW w:w="1760" w:type="dxa"/>
            <w:vAlign w:val="bottom"/>
            <w:gridSpan w:val="5"/>
          </w:tcPr>
          <w:p>
            <w:pPr>
              <w:ind w:left="140"/>
              <w:spacing w:after="0"/>
              <w:rPr>
                <w:sz w:val="20"/>
                <w:szCs w:val="20"/>
                <w:color w:val="auto"/>
              </w:rPr>
            </w:pPr>
            <w:r>
              <w:rPr>
                <w:rFonts w:ascii="Times New Roman" w:cs="Times New Roman" w:eastAsia="Times New Roman" w:hAnsi="Times New Roman"/>
                <w:sz w:val="19"/>
                <w:szCs w:val="19"/>
                <w:color w:val="auto"/>
                <w:w w:val="99"/>
              </w:rPr>
              <w:t>GOVERNING LAW</w:t>
            </w:r>
          </w:p>
        </w:tc>
        <w:tc>
          <w:tcPr>
            <w:tcW w:w="920" w:type="dxa"/>
            <w:vAlign w:val="bottom"/>
            <w:gridSpan w:val="2"/>
          </w:tcPr>
          <w:p>
            <w:pPr>
              <w:jc w:val="center"/>
              <w:ind w:right="185"/>
              <w:spacing w:after="0"/>
              <w:rPr>
                <w:sz w:val="20"/>
                <w:szCs w:val="20"/>
                <w:color w:val="auto"/>
              </w:rPr>
            </w:pPr>
            <w:r>
              <w:rPr>
                <w:rFonts w:ascii="Times New Roman" w:cs="Times New Roman" w:eastAsia="Times New Roman" w:hAnsi="Times New Roman"/>
                <w:sz w:val="19"/>
                <w:szCs w:val="19"/>
                <w:color w:val="auto"/>
                <w:w w:val="98"/>
              </w:rPr>
              <w:t>143</w:t>
            </w: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10.14</w:t>
            </w:r>
          </w:p>
        </w:tc>
        <w:tc>
          <w:tcPr>
            <w:tcW w:w="3060" w:type="dxa"/>
            <w:vAlign w:val="bottom"/>
            <w:gridSpan w:val="8"/>
          </w:tcPr>
          <w:p>
            <w:pPr>
              <w:ind w:left="140"/>
              <w:spacing w:after="0"/>
              <w:rPr>
                <w:sz w:val="20"/>
                <w:szCs w:val="20"/>
                <w:color w:val="auto"/>
              </w:rPr>
            </w:pPr>
            <w:r>
              <w:rPr>
                <w:rFonts w:ascii="Times New Roman" w:cs="Times New Roman" w:eastAsia="Times New Roman" w:hAnsi="Times New Roman"/>
                <w:sz w:val="19"/>
                <w:szCs w:val="19"/>
                <w:color w:val="auto"/>
              </w:rPr>
              <w:t>Submission to Jurisdiction; Waivers</w:t>
            </w:r>
          </w:p>
        </w:tc>
        <w:tc>
          <w:tcPr>
            <w:tcW w:w="1540" w:type="dxa"/>
            <w:vAlign w:val="bottom"/>
          </w:tcPr>
          <w:p>
            <w:pPr>
              <w:jc w:val="right"/>
              <w:ind w:right="1145"/>
              <w:spacing w:after="0"/>
              <w:rPr>
                <w:sz w:val="20"/>
                <w:szCs w:val="20"/>
                <w:color w:val="auto"/>
              </w:rPr>
            </w:pPr>
            <w:r>
              <w:rPr>
                <w:rFonts w:ascii="Times New Roman" w:cs="Times New Roman" w:eastAsia="Times New Roman" w:hAnsi="Times New Roman"/>
                <w:sz w:val="19"/>
                <w:szCs w:val="19"/>
                <w:color w:val="auto"/>
                <w:w w:val="98"/>
              </w:rPr>
              <w:t>143</w:t>
            </w:r>
          </w:p>
        </w:tc>
        <w:tc>
          <w:tcPr>
            <w:tcW w:w="580" w:type="dxa"/>
            <w:vAlign w:val="bottom"/>
          </w:tcPr>
          <w:p>
            <w:pPr>
              <w:spacing w:after="0"/>
              <w:rPr>
                <w:sz w:val="21"/>
                <w:szCs w:val="21"/>
                <w:color w:val="auto"/>
              </w:rPr>
            </w:pPr>
          </w:p>
        </w:tc>
      </w:tr>
      <w:tr>
        <w:trPr>
          <w:trHeight w:val="234"/>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10.15</w:t>
            </w:r>
          </w:p>
        </w:tc>
        <w:tc>
          <w:tcPr>
            <w:tcW w:w="1680" w:type="dxa"/>
            <w:vAlign w:val="bottom"/>
            <w:gridSpan w:val="4"/>
          </w:tcPr>
          <w:p>
            <w:pPr>
              <w:ind w:left="140"/>
              <w:spacing w:after="0"/>
              <w:rPr>
                <w:sz w:val="20"/>
                <w:szCs w:val="20"/>
                <w:color w:val="auto"/>
              </w:rPr>
            </w:pPr>
            <w:r>
              <w:rPr>
                <w:rFonts w:ascii="Times New Roman" w:cs="Times New Roman" w:eastAsia="Times New Roman" w:hAnsi="Times New Roman"/>
                <w:sz w:val="19"/>
                <w:szCs w:val="19"/>
                <w:color w:val="auto"/>
              </w:rPr>
              <w:t>Acknowledgements</w:t>
            </w: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10.16</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[Reserved].</w:t>
            </w:r>
          </w:p>
        </w:tc>
        <w:tc>
          <w:tcPr>
            <w:tcW w:w="500" w:type="dxa"/>
            <w:vAlign w:val="bottom"/>
            <w:gridSpan w:val="2"/>
          </w:tcPr>
          <w:p>
            <w:pPr>
              <w:jc w:val="right"/>
              <w:ind w:right="85"/>
              <w:spacing w:after="0"/>
              <w:rPr>
                <w:sz w:val="20"/>
                <w:szCs w:val="20"/>
                <w:color w:val="auto"/>
              </w:rPr>
            </w:pPr>
            <w:r>
              <w:rPr>
                <w:rFonts w:ascii="Times New Roman" w:cs="Times New Roman" w:eastAsia="Times New Roman" w:hAnsi="Times New Roman"/>
                <w:sz w:val="19"/>
                <w:szCs w:val="19"/>
                <w:color w:val="auto"/>
              </w:rPr>
              <w:t>145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10.17</w:t>
            </w:r>
          </w:p>
        </w:tc>
        <w:tc>
          <w:tcPr>
            <w:tcW w:w="4600" w:type="dxa"/>
            <w:vAlign w:val="bottom"/>
            <w:gridSpan w:val="9"/>
          </w:tcPr>
          <w:p>
            <w:pPr>
              <w:ind w:left="140"/>
              <w:spacing w:after="0"/>
              <w:rPr>
                <w:sz w:val="20"/>
                <w:szCs w:val="20"/>
                <w:color w:val="auto"/>
              </w:rPr>
            </w:pPr>
            <w:r>
              <w:rPr>
                <w:rFonts w:ascii="Times New Roman" w:cs="Times New Roman" w:eastAsia="Times New Roman" w:hAnsi="Times New Roman"/>
                <w:sz w:val="19"/>
                <w:szCs w:val="19"/>
                <w:color w:val="auto"/>
              </w:rPr>
              <w:t>Treatment of Certain Information; Confidentiality  145</w:t>
            </w:r>
          </w:p>
        </w:tc>
        <w:tc>
          <w:tcPr>
            <w:tcW w:w="580" w:type="dxa"/>
            <w:vAlign w:val="bottom"/>
          </w:tcPr>
          <w:p>
            <w:pPr>
              <w:spacing w:after="0"/>
              <w:rPr>
                <w:sz w:val="21"/>
                <w:szCs w:val="21"/>
                <w:color w:val="auto"/>
              </w:rPr>
            </w:pPr>
          </w:p>
        </w:tc>
      </w:tr>
      <w:tr>
        <w:trPr>
          <w:trHeight w:val="234"/>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10.18</w:t>
            </w:r>
          </w:p>
        </w:tc>
        <w:tc>
          <w:tcPr>
            <w:tcW w:w="1680" w:type="dxa"/>
            <w:vAlign w:val="bottom"/>
            <w:gridSpan w:val="4"/>
          </w:tcPr>
          <w:p>
            <w:pPr>
              <w:ind w:left="140"/>
              <w:spacing w:after="0"/>
              <w:rPr>
                <w:sz w:val="20"/>
                <w:szCs w:val="20"/>
                <w:color w:val="auto"/>
              </w:rPr>
            </w:pPr>
            <w:r>
              <w:rPr>
                <w:rFonts w:ascii="Times New Roman" w:cs="Times New Roman" w:eastAsia="Times New Roman" w:hAnsi="Times New Roman"/>
                <w:sz w:val="19"/>
                <w:szCs w:val="19"/>
                <w:color w:val="auto"/>
              </w:rPr>
              <w:t>Automatic Debits</w:t>
            </w:r>
          </w:p>
        </w:tc>
        <w:tc>
          <w:tcPr>
            <w:tcW w:w="500" w:type="dxa"/>
            <w:vAlign w:val="bottom"/>
            <w:gridSpan w:val="2"/>
          </w:tcPr>
          <w:p>
            <w:pPr>
              <w:jc w:val="right"/>
              <w:ind w:right="105"/>
              <w:spacing w:after="0"/>
              <w:rPr>
                <w:sz w:val="20"/>
                <w:szCs w:val="20"/>
                <w:color w:val="auto"/>
              </w:rPr>
            </w:pPr>
            <w:r>
              <w:rPr>
                <w:rFonts w:ascii="Times New Roman" w:cs="Times New Roman" w:eastAsia="Times New Roman" w:hAnsi="Times New Roman"/>
                <w:sz w:val="19"/>
                <w:szCs w:val="19"/>
                <w:color w:val="auto"/>
                <w:w w:val="98"/>
              </w:rPr>
              <w:t>146</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7"/>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10.19</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1"/>
              </w:rPr>
              <w:t>146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50"/>
        </w:trPr>
        <w:tc>
          <w:tcPr>
            <w:tcW w:w="68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10.20</w:t>
            </w: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9"/>
                <w:szCs w:val="19"/>
                <w:color w:val="auto"/>
              </w:rPr>
              <w:t>Patriot Act  146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1068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-123825</wp:posOffset>
            </wp:positionV>
            <wp:extent cx="6748145" cy="2317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6748145" cy="231775"/>
                    </a:xfrm>
                    <a:prstGeom prst="rect">
                      <a:avLst/>
                    </a:prstGeom>
                    <a:noFill/>
                  </pic:spPr>
                </pic:pic>
              </a:graphicData>
            </a:graphic>
          </wp:anchor>
        </w:drawing>
      </w:r>
    </w:p>
    <w:p>
      <w:pPr>
        <w:spacing w:after="0" w:line="12" w:lineRule="exact"/>
        <w:rPr>
          <w:sz w:val="20"/>
          <w:szCs w:val="20"/>
          <w:color w:val="auto"/>
        </w:rPr>
      </w:pPr>
    </w:p>
    <w:p>
      <w:pPr>
        <w:jc w:val="center"/>
        <w:ind w:left="10680"/>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1240"/>
          </w:cols>
          <w:pgMar w:left="320" w:top="114" w:right="339" w:bottom="1440" w:gutter="0" w:footer="0" w:header="0"/>
          <w:type w:val="continuous"/>
        </w:sectPr>
      </w:pPr>
    </w:p>
    <w:bookmarkStart w:id="130" w:name="page131"/>
    <w:bookmarkEnd w:id="13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(continued)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-123825</wp:posOffset>
            </wp:positionV>
            <wp:extent cx="6748145" cy="2317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6748145" cy="231775"/>
                    </a:xfrm>
                    <a:prstGeom prst="rect">
                      <a:avLst/>
                    </a:prstGeom>
                    <a:noFill/>
                  </pic:spPr>
                </pic:pic>
              </a:graphicData>
            </a:graphic>
          </wp:anchor>
        </w:drawing>
      </w:r>
    </w:p>
    <w:p>
      <w:pPr>
        <w:spacing w:after="0" w:line="5"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9"/>
          <w:szCs w:val="19"/>
          <w:color w:val="auto"/>
        </w:rPr>
        <w:t>v-</w:t>
      </w:r>
    </w:p>
    <w:p>
      <w:pPr>
        <w:sectPr>
          <w:pgSz w:w="11900" w:h="16838" w:orient="portrait"/>
          <w:cols w:equalWidth="0" w:num="1">
            <w:col w:w="10120"/>
          </w:cols>
          <w:pgMar w:left="1440" w:top="114" w:right="339"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9"/>
          <w:szCs w:val="19"/>
          <w:b w:val="1"/>
          <w:bCs w:val="1"/>
          <w:color w:val="auto"/>
        </w:rPr>
        <w:t>SCHEDULES</w:t>
      </w:r>
    </w:p>
    <w:p>
      <w:pPr>
        <w:spacing w:after="0" w:line="22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Schedule 1.1:</w:t>
        <w:tab/>
        <w:t>Commitments</w:t>
      </w:r>
    </w:p>
    <w:p>
      <w:pPr>
        <w:spacing w:after="0" w:line="5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Schedule 4.4:</w:t>
        <w:tab/>
        <w:t>Governmental Approvals, Consents, Authorizations, Filings and Notices</w:t>
      </w:r>
    </w:p>
    <w:p>
      <w:pPr>
        <w:spacing w:after="0" w:line="6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9"/>
          <w:szCs w:val="19"/>
          <w:color w:val="auto"/>
        </w:rPr>
        <w:t>Schedule 4.13:</w:t>
        <w:tab/>
        <w:t>ERISA Plans</w:t>
      </w:r>
    </w:p>
    <w:p>
      <w:pPr>
        <w:spacing w:after="0" w:line="5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9"/>
          <w:szCs w:val="19"/>
          <w:color w:val="auto"/>
        </w:rPr>
        <w:t>Schedule 4.15:</w:t>
        <w:tab/>
        <w:t>Subsidiaries</w:t>
      </w:r>
    </w:p>
    <w:p>
      <w:pPr>
        <w:spacing w:after="0" w:line="6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9"/>
          <w:szCs w:val="19"/>
          <w:color w:val="auto"/>
        </w:rPr>
        <w:t>Schedule 4.17:</w:t>
        <w:tab/>
        <w:t>Environmental Matters</w:t>
      </w:r>
    </w:p>
    <w:p>
      <w:pPr>
        <w:spacing w:after="0" w:line="6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9"/>
          <w:szCs w:val="19"/>
          <w:color w:val="auto"/>
        </w:rPr>
        <w:t>Schedule 4.19(a):</w:t>
        <w:tab/>
        <w:t>Financing Statements and Other Filings</w:t>
      </w:r>
    </w:p>
    <w:p>
      <w:pPr>
        <w:spacing w:after="0" w:line="5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9"/>
          <w:szCs w:val="19"/>
          <w:color w:val="auto"/>
        </w:rPr>
        <w:t>Schedule 4.27:</w:t>
        <w:tab/>
        <w:t>Capitalization</w:t>
      </w:r>
    </w:p>
    <w:p>
      <w:pPr>
        <w:spacing w:after="0" w:line="6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9"/>
          <w:szCs w:val="19"/>
          <w:color w:val="auto"/>
        </w:rPr>
        <w:t>Schedule 5.3:</w:t>
      </w:r>
      <w:r>
        <w:rPr>
          <w:sz w:val="20"/>
          <w:szCs w:val="20"/>
          <w:color w:val="auto"/>
        </w:rPr>
        <w:tab/>
      </w:r>
      <w:r>
        <w:rPr>
          <w:rFonts w:ascii="Times New Roman" w:cs="Times New Roman" w:eastAsia="Times New Roman" w:hAnsi="Times New Roman"/>
          <w:sz w:val="18"/>
          <w:szCs w:val="18"/>
          <w:color w:val="auto"/>
        </w:rPr>
        <w:t>Post-Closing</w:t>
      </w:r>
    </w:p>
    <w:p>
      <w:pPr>
        <w:spacing w:after="0" w:line="5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9"/>
          <w:szCs w:val="19"/>
          <w:color w:val="auto"/>
        </w:rPr>
        <w:t>Schedule 6.10:</w:t>
        <w:tab/>
        <w:t>Controlled Accounts</w:t>
      </w:r>
    </w:p>
    <w:p>
      <w:pPr>
        <w:spacing w:after="0" w:line="6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9"/>
          <w:szCs w:val="19"/>
          <w:color w:val="auto"/>
        </w:rPr>
        <w:t>Schedule 7.2(d):</w:t>
        <w:tab/>
        <w:t>Existing Indebtedness</w:t>
      </w:r>
    </w:p>
    <w:p>
      <w:pPr>
        <w:spacing w:after="0" w:line="68"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9"/>
          <w:szCs w:val="19"/>
          <w:color w:val="auto"/>
        </w:rPr>
        <w:t>Schedule 7.3(f):</w:t>
        <w:tab/>
        <w:t>Existing Liens</w:t>
      </w:r>
    </w:p>
    <w:p>
      <w:pPr>
        <w:spacing w:after="0" w:line="200" w:lineRule="exact"/>
        <w:rPr>
          <w:sz w:val="20"/>
          <w:szCs w:val="20"/>
          <w:color w:val="auto"/>
        </w:rPr>
      </w:pPr>
    </w:p>
    <w:p>
      <w:pPr>
        <w:spacing w:after="0" w:line="2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b w:val="1"/>
          <w:bCs w:val="1"/>
          <w:color w:val="auto"/>
        </w:rPr>
        <w:t>EXHIBITS</w:t>
      </w:r>
    </w:p>
    <w:p>
      <w:pPr>
        <w:spacing w:after="0" w:line="22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Exhibit A:</w:t>
        <w:tab/>
        <w:t>Form of Guarantee and Collateral Agreement</w:t>
      </w:r>
    </w:p>
    <w:p>
      <w:pPr>
        <w:spacing w:after="0" w:line="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color w:val="auto"/>
        </w:rPr>
        <w:t>Exhibit B:</w:t>
        <w:tab/>
        <w:t>Form of Compliance Certificate</w:t>
      </w:r>
    </w:p>
    <w:p>
      <w:pPr>
        <w:spacing w:after="0" w:line="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color w:val="auto"/>
        </w:rPr>
        <w:t>Exhibit C:</w:t>
        <w:tab/>
        <w:t>Form of Secretary’s Certificate</w:t>
      </w:r>
    </w:p>
    <w:p>
      <w:pPr>
        <w:spacing w:after="0" w:line="6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Exhibit D:</w:t>
      </w:r>
      <w:r>
        <w:rPr>
          <w:sz w:val="20"/>
          <w:szCs w:val="20"/>
          <w:color w:val="auto"/>
        </w:rPr>
        <w:tab/>
      </w:r>
      <w:r>
        <w:rPr>
          <w:rFonts w:ascii="Times New Roman" w:cs="Times New Roman" w:eastAsia="Times New Roman" w:hAnsi="Times New Roman"/>
          <w:sz w:val="18"/>
          <w:szCs w:val="18"/>
          <w:color w:val="auto"/>
        </w:rPr>
        <w:t>Form of Solvency Certificate</w:t>
      </w:r>
    </w:p>
    <w:p>
      <w:pPr>
        <w:spacing w:after="0" w:line="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color w:val="auto"/>
        </w:rPr>
        <w:t>Exhibit E:</w:t>
      </w:r>
      <w:r>
        <w:rPr>
          <w:sz w:val="20"/>
          <w:szCs w:val="20"/>
          <w:color w:val="auto"/>
        </w:rPr>
        <w:tab/>
      </w:r>
      <w:r>
        <w:rPr>
          <w:rFonts w:ascii="Times New Roman" w:cs="Times New Roman" w:eastAsia="Times New Roman" w:hAnsi="Times New Roman"/>
          <w:sz w:val="18"/>
          <w:szCs w:val="18"/>
          <w:color w:val="auto"/>
        </w:rPr>
        <w:t>Form of Assignment and Assumption</w:t>
      </w:r>
    </w:p>
    <w:p>
      <w:pPr>
        <w:spacing w:after="0" w:line="68"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9"/>
          <w:szCs w:val="19"/>
          <w:color w:val="auto"/>
        </w:rPr>
        <w:t>Exhibit F-1 – F-4:</w:t>
        <w:tab/>
        <w:t>Forms of U.S. Tax Compliance Certificate</w:t>
      </w:r>
    </w:p>
    <w:p>
      <w:pPr>
        <w:spacing w:after="0" w:line="5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Exhibit G:</w:t>
        <w:tab/>
        <w:t>[Reserved]</w:t>
      </w:r>
    </w:p>
    <w:p>
      <w:pPr>
        <w:spacing w:after="0" w:line="6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Exhibit H-1:</w:t>
        <w:tab/>
        <w:t>Form of Revolving Loan Note</w:t>
      </w:r>
    </w:p>
    <w:p>
      <w:pPr>
        <w:spacing w:after="0" w:line="5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Exhibit H-2:</w:t>
        <w:tab/>
        <w:t>Form of Swingline Loan Note</w:t>
      </w:r>
    </w:p>
    <w:p>
      <w:pPr>
        <w:spacing w:after="0" w:line="6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Exhibit H-3:</w:t>
      </w:r>
      <w:r>
        <w:rPr>
          <w:sz w:val="20"/>
          <w:szCs w:val="20"/>
          <w:color w:val="auto"/>
        </w:rPr>
        <w:tab/>
      </w:r>
      <w:r>
        <w:rPr>
          <w:rFonts w:ascii="Times New Roman" w:cs="Times New Roman" w:eastAsia="Times New Roman" w:hAnsi="Times New Roman"/>
          <w:sz w:val="18"/>
          <w:szCs w:val="18"/>
          <w:color w:val="auto"/>
        </w:rPr>
        <w:t>Form of Term Loan Note</w:t>
      </w:r>
    </w:p>
    <w:p>
      <w:pPr>
        <w:spacing w:after="0" w:line="6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9"/>
          <w:szCs w:val="19"/>
          <w:color w:val="auto"/>
        </w:rPr>
        <w:t>Exhibit I:</w:t>
        <w:tab/>
        <w:t>[Reserved]</w:t>
      </w:r>
    </w:p>
    <w:p>
      <w:pPr>
        <w:spacing w:after="0" w:line="5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color w:val="auto"/>
        </w:rPr>
        <w:t>Exhibit J:</w:t>
        <w:tab/>
        <w:t>Form of Collateral Information Certificate</w:t>
      </w:r>
    </w:p>
    <w:p>
      <w:pPr>
        <w:spacing w:after="0" w:line="6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9"/>
          <w:szCs w:val="19"/>
          <w:color w:val="auto"/>
        </w:rPr>
        <w:t>Exhibit K:</w:t>
        <w:tab/>
        <w:t>Form of Notice of Borrowing</w:t>
      </w:r>
    </w:p>
    <w:p>
      <w:pPr>
        <w:spacing w:after="0" w:line="5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color w:val="auto"/>
        </w:rPr>
        <w:t>Exhibit L:</w:t>
        <w:tab/>
        <w:t>Form of Notice of Conversion/Continuation</w:t>
      </w:r>
    </w:p>
    <w:p>
      <w:pPr>
        <w:spacing w:after="0" w:line="6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color w:val="auto"/>
        </w:rPr>
        <w:t>Exhibit M:</w:t>
        <w:tab/>
        <w:t>Form of Flow of Funds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-vi-</w:t>
      </w:r>
    </w:p>
    <w:p>
      <w:pPr>
        <w:sectPr>
          <w:pgSz w:w="11900" w:h="16838" w:orient="portrait"/>
          <w:cols w:equalWidth="0" w:num="1">
            <w:col w:w="10139"/>
          </w:cols>
          <w:pgMar w:left="320" w:top="1440"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9"/>
          <w:szCs w:val="19"/>
          <w:b w:val="1"/>
          <w:bCs w:val="1"/>
          <w:color w:val="auto"/>
        </w:rPr>
        <w:t>CREDIT AGREEMENT</w:t>
      </w:r>
    </w:p>
    <w:p>
      <w:pPr>
        <w:spacing w:after="0" w:line="222" w:lineRule="exact"/>
        <w:rPr>
          <w:sz w:val="20"/>
          <w:szCs w:val="20"/>
          <w:color w:val="auto"/>
        </w:rPr>
      </w:pPr>
    </w:p>
    <w:p>
      <w:pPr>
        <w:jc w:val="both"/>
        <w:ind w:firstLine="625"/>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THIS CREDIT AGREEMENT </w:t>
      </w:r>
      <w:r>
        <w:rPr>
          <w:rFonts w:ascii="Times New Roman" w:cs="Times New Roman" w:eastAsia="Times New Roman" w:hAnsi="Times New Roman"/>
          <w:sz w:val="19"/>
          <w:szCs w:val="19"/>
          <w:color w:val="auto"/>
        </w:rPr>
        <w:t>(this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dated as of November 7, 2022, is entered into by and among</w:t>
      </w:r>
      <w:r>
        <w:rPr>
          <w:rFonts w:ascii="Times New Roman" w:cs="Times New Roman" w:eastAsia="Times New Roman" w:hAnsi="Times New Roman"/>
          <w:sz w:val="19"/>
          <w:szCs w:val="19"/>
          <w:b w:val="1"/>
          <w:bCs w:val="1"/>
          <w:color w:val="auto"/>
        </w:rPr>
        <w:t xml:space="preserve"> AIRSCULPT TECHNOLOGIES, INC.</w:t>
      </w:r>
      <w:r>
        <w:rPr>
          <w:rFonts w:ascii="Times New Roman" w:cs="Times New Roman" w:eastAsia="Times New Roman" w:hAnsi="Times New Roman"/>
          <w:sz w:val="19"/>
          <w:szCs w:val="19"/>
          <w:color w:val="auto"/>
        </w:rPr>
        <w:t>, a Delaware corporation (“</w:t>
      </w:r>
      <w:r>
        <w:rPr>
          <w:rFonts w:ascii="Times New Roman" w:cs="Times New Roman" w:eastAsia="Times New Roman" w:hAnsi="Times New Roman"/>
          <w:sz w:val="19"/>
          <w:szCs w:val="19"/>
          <w:b w:val="1"/>
          <w:bCs w:val="1"/>
          <w:i w:val="1"/>
          <w:iCs w:val="1"/>
          <w:color w:val="auto"/>
        </w:rPr>
        <w:t>Holdings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EBS INTERMEDIATE PARENT LLC</w:t>
      </w:r>
      <w:r>
        <w:rPr>
          <w:rFonts w:ascii="Times New Roman" w:cs="Times New Roman" w:eastAsia="Times New Roman" w:hAnsi="Times New Roman"/>
          <w:sz w:val="19"/>
          <w:szCs w:val="19"/>
          <w:color w:val="auto"/>
        </w:rPr>
        <w:t>, a Delaware limited liability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Intermediate Holdings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EBS ENTERPRISES LLC</w:t>
      </w:r>
      <w:r>
        <w:rPr>
          <w:rFonts w:ascii="Times New Roman" w:cs="Times New Roman" w:eastAsia="Times New Roman" w:hAnsi="Times New Roman"/>
          <w:sz w:val="19"/>
          <w:szCs w:val="19"/>
          <w:color w:val="auto"/>
        </w:rPr>
        <w:t>, a Delaware limited liability company (the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the several banks and other financial institutions or entities from time to time party to this Agreement (each a “</w:t>
      </w:r>
      <w:r>
        <w:rPr>
          <w:rFonts w:ascii="Times New Roman" w:cs="Times New Roman" w:eastAsia="Times New Roman" w:hAnsi="Times New Roman"/>
          <w:sz w:val="19"/>
          <w:szCs w:val="19"/>
          <w:b w:val="1"/>
          <w:bCs w:val="1"/>
          <w:i w:val="1"/>
          <w:iCs w:val="1"/>
          <w:color w:val="auto"/>
        </w:rPr>
        <w:t>Lender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Lenders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SILICON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VALLEY BANK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SVB</w:t>
      </w:r>
      <w:r>
        <w:rPr>
          <w:rFonts w:ascii="Times New Roman" w:cs="Times New Roman" w:eastAsia="Times New Roman" w:hAnsi="Times New Roman"/>
          <w:sz w:val="19"/>
          <w:szCs w:val="19"/>
          <w:color w:val="auto"/>
        </w:rPr>
        <w:t>”) as administrative agent and collateral agent for the Lenders (in such capacity,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Administrative Agent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Issuing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Lender and Swingline Lender.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22" w:lineRule="exact"/>
        <w:rPr>
          <w:sz w:val="20"/>
          <w:szCs w:val="20"/>
          <w:color w:val="auto"/>
        </w:rPr>
      </w:pPr>
    </w:p>
    <w:p>
      <w:pPr>
        <w:jc w:val="both"/>
        <w:ind w:firstLine="625"/>
        <w:spacing w:after="0" w:line="282"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on the Closing Date, the Borrower intends to (x) refinance existing indebtedness (the “</w:t>
      </w:r>
      <w:r>
        <w:rPr>
          <w:rFonts w:ascii="Times New Roman" w:cs="Times New Roman" w:eastAsia="Times New Roman" w:hAnsi="Times New Roman"/>
          <w:sz w:val="19"/>
          <w:szCs w:val="19"/>
          <w:b w:val="1"/>
          <w:bCs w:val="1"/>
          <w:i w:val="1"/>
          <w:iCs w:val="1"/>
          <w:color w:val="auto"/>
        </w:rPr>
        <w:t>Refinancing</w:t>
      </w:r>
      <w:r>
        <w:rPr>
          <w:rFonts w:ascii="Times New Roman" w:cs="Times New Roman" w:eastAsia="Times New Roman" w:hAnsi="Times New Roman"/>
          <w:sz w:val="19"/>
          <w:szCs w:val="19"/>
          <w:color w:val="auto"/>
        </w:rPr>
        <w:t>”) under the Existing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Credit Facility and (y) pay fees, commissions and expenses in connection with the Refinancing (collectively, the “</w:t>
      </w:r>
      <w:r>
        <w:rPr>
          <w:rFonts w:ascii="Times New Roman" w:cs="Times New Roman" w:eastAsia="Times New Roman" w:hAnsi="Times New Roman"/>
          <w:sz w:val="19"/>
          <w:szCs w:val="19"/>
          <w:b w:val="1"/>
          <w:bCs w:val="1"/>
          <w:i w:val="1"/>
          <w:iCs w:val="1"/>
          <w:color w:val="auto"/>
        </w:rPr>
        <w:t>Transactions</w:t>
      </w:r>
      <w:r>
        <w:rPr>
          <w:rFonts w:ascii="Times New Roman" w:cs="Times New Roman" w:eastAsia="Times New Roman" w:hAnsi="Times New Roman"/>
          <w:sz w:val="19"/>
          <w:szCs w:val="19"/>
          <w:color w:val="auto"/>
        </w:rPr>
        <w:t>”);</w:t>
      </w:r>
    </w:p>
    <w:p>
      <w:pPr>
        <w:spacing w:after="0" w:line="153"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to fund the Transactions, the Borrower has requested that the Lenders extend credit under this Agreement in the form of (x)</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term loan facility in an aggregate principal amount of $85,000,000 and (y) a revolving loan facility in an aggregate principal amount of up to $5,000,000; and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Lenders are willing to extend such credit to the Borrower on the terms and subject to the conditions set forth herein.</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the parties hereto hereby agree as follows:</w:t>
      </w:r>
    </w:p>
    <w:p>
      <w:pPr>
        <w:spacing w:after="0" w:line="21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Section 1</w:t>
      </w:r>
    </w:p>
    <w:p>
      <w:pPr>
        <w:spacing w:after="0" w:line="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148" w:lineRule="exact"/>
        <w:rPr>
          <w:sz w:val="20"/>
          <w:szCs w:val="20"/>
          <w:color w:val="auto"/>
        </w:rPr>
      </w:pPr>
    </w:p>
    <w:p>
      <w:pPr>
        <w:ind w:firstLine="625"/>
        <w:spacing w:after="0" w:line="251" w:lineRule="auto"/>
        <w:rPr>
          <w:sz w:val="20"/>
          <w:szCs w:val="20"/>
          <w:color w:val="auto"/>
        </w:rPr>
      </w:pPr>
      <w:r>
        <w:rPr>
          <w:rFonts w:ascii="Times New Roman" w:cs="Times New Roman" w:eastAsia="Times New Roman" w:hAnsi="Times New Roman"/>
          <w:sz w:val="19"/>
          <w:szCs w:val="19"/>
          <w:b w:val="1"/>
          <w:bCs w:val="1"/>
          <w:color w:val="auto"/>
        </w:rPr>
        <w:t>1.1 Defined Terms</w:t>
      </w:r>
      <w:r>
        <w:rPr>
          <w:rFonts w:ascii="Times New Roman" w:cs="Times New Roman" w:eastAsia="Times New Roman" w:hAnsi="Times New Roman"/>
          <w:sz w:val="19"/>
          <w:szCs w:val="19"/>
          <w:color w:val="auto"/>
        </w:rPr>
        <w:t>. As used in this Agreement (including the recitals hereof), the terms listed in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have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respective meanings set forth in this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w:t>
      </w:r>
    </w:p>
    <w:p>
      <w:pPr>
        <w:spacing w:after="0" w:line="140"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ABR</w:t>
      </w:r>
      <w:r>
        <w:rPr>
          <w:rFonts w:ascii="Times New Roman" w:cs="Times New Roman" w:eastAsia="Times New Roman" w:hAnsi="Times New Roman"/>
          <w:sz w:val="19"/>
          <w:szCs w:val="19"/>
          <w:color w:val="auto"/>
        </w:rPr>
        <w:t xml:space="preserve">” means, for any day, a rate per annum equal to the highest of (a) the Prime Rate in effect on such day, (b) the Federal Funds Effective Rate in effect on such day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0.50%, and (c) the Term SOFR for a one-month tenor in effect on such day (taking into account the Floor</w:t>
      </w:r>
    </w:p>
    <w:p>
      <w:pPr>
        <w:spacing w:after="0" w:line="216" w:lineRule="auto"/>
        <w:rPr>
          <w:sz w:val="20"/>
          <w:szCs w:val="20"/>
          <w:color w:val="auto"/>
        </w:rPr>
      </w:pPr>
      <w:r>
        <w:rPr>
          <w:rFonts w:ascii="Times New Roman" w:cs="Times New Roman" w:eastAsia="Times New Roman" w:hAnsi="Times New Roman"/>
          <w:sz w:val="19"/>
          <w:szCs w:val="19"/>
          <w:color w:val="auto"/>
        </w:rPr>
        <w:t xml:space="preserve">set forth in the definition of “Term SOFR”)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1.0%. Any change in the ABR due to a change in any of the Prime Rate, the Federal Funds</w:t>
      </w:r>
    </w:p>
    <w:p>
      <w:pPr>
        <w:spacing w:after="0" w:line="225" w:lineRule="auto"/>
        <w:rPr>
          <w:sz w:val="20"/>
          <w:szCs w:val="20"/>
          <w:color w:val="auto"/>
        </w:rPr>
      </w:pPr>
      <w:r>
        <w:rPr>
          <w:rFonts w:ascii="Times New Roman" w:cs="Times New Roman" w:eastAsia="Times New Roman" w:hAnsi="Times New Roman"/>
          <w:sz w:val="19"/>
          <w:szCs w:val="19"/>
          <w:color w:val="auto"/>
        </w:rPr>
        <w:t>Effective Rate or the Term SOFR, as the case may be, shall be effective as of the opening of business on the effective day of the change in such rates.</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ABR Loans</w:t>
      </w:r>
      <w:r>
        <w:rPr>
          <w:rFonts w:ascii="Times New Roman" w:cs="Times New Roman" w:eastAsia="Times New Roman" w:hAnsi="Times New Roman"/>
          <w:sz w:val="19"/>
          <w:szCs w:val="19"/>
          <w:color w:val="auto"/>
        </w:rPr>
        <w:t>” means Loans that bear interest based upon the ABR.</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ABR Term SOFR Determination Day</w:t>
      </w:r>
      <w:r>
        <w:rPr>
          <w:rFonts w:ascii="Times New Roman" w:cs="Times New Roman" w:eastAsia="Times New Roman" w:hAnsi="Times New Roman"/>
          <w:sz w:val="19"/>
          <w:szCs w:val="19"/>
          <w:color w:val="auto"/>
        </w:rPr>
        <w:t>” has the meaning specified within the definition of “Term SOFR”.</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Account Debtor</w:t>
      </w:r>
      <w:r>
        <w:rPr>
          <w:rFonts w:ascii="Times New Roman" w:cs="Times New Roman" w:eastAsia="Times New Roman" w:hAnsi="Times New Roman"/>
          <w:sz w:val="19"/>
          <w:szCs w:val="19"/>
          <w:color w:val="auto"/>
        </w:rPr>
        <w:t>” means any Person who may become obligated to any other Person under, with respect to, or on account of, an Account,</w:t>
      </w:r>
    </w:p>
    <w:p>
      <w:pPr>
        <w:spacing w:after="0" w:line="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chattel paper or general intangible (including a payment intangible) of such other Person. Unless otherwise stated, the term “Account Debtor,” when used herein, shall mean an Account Debtor in respect of an Account of the Borrower.</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Accounts</w:t>
      </w:r>
      <w:r>
        <w:rPr>
          <w:rFonts w:ascii="Times New Roman" w:cs="Times New Roman" w:eastAsia="Times New Roman" w:hAnsi="Times New Roman"/>
          <w:sz w:val="19"/>
          <w:szCs w:val="19"/>
          <w:color w:val="auto"/>
        </w:rPr>
        <w:t>” means all “accounts” (as defined in the UCC) of a Person, including, without limitation, accounts, accounts receivable,</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monies due or to become due and obligations in any form (whether arising in connection with contracts, contract rights, instruments, general intangibles, or chattel paper), in each case whether arising out of goods sold or services rendered or from any other transaction and whether or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earned by performance, now or hereafter in existence, and all documents of title 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36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9"/>
          <w:szCs w:val="19"/>
          <w:color w:val="auto"/>
        </w:rPr>
        <w:t>other documents representing any of the foregoing, and all collateral security and guaranties of any kind, now or hereafter in existence, given by</w:t>
      </w:r>
    </w:p>
    <w:p>
      <w:pPr>
        <w:jc w:val="both"/>
        <w:spacing w:after="0" w:line="225" w:lineRule="auto"/>
        <w:rPr>
          <w:sz w:val="20"/>
          <w:szCs w:val="20"/>
          <w:color w:val="auto"/>
        </w:rPr>
      </w:pPr>
      <w:r>
        <w:rPr>
          <w:rFonts w:ascii="Times New Roman" w:cs="Times New Roman" w:eastAsia="Times New Roman" w:hAnsi="Times New Roman"/>
          <w:sz w:val="19"/>
          <w:szCs w:val="19"/>
          <w:color w:val="auto"/>
        </w:rPr>
        <w:t>any Person with respect to any of the foregoing. Unless otherwise stated, the term “Account,” when used herein, shall mean an Account of the Borrower.</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Administrative Agent</w:t>
      </w:r>
      <w:r>
        <w:rPr>
          <w:rFonts w:ascii="Times New Roman" w:cs="Times New Roman" w:eastAsia="Times New Roman" w:hAnsi="Times New Roman"/>
          <w:sz w:val="19"/>
          <w:szCs w:val="19"/>
          <w:color w:val="auto"/>
        </w:rPr>
        <w:t>” has the meaning set forth in the preamble hereto.</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Affected Lender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jc w:val="both"/>
        <w:ind w:firstLine="625"/>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xml:space="preserve">” means, with respect to a specified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the Administrative Agent nor the Lenders shall be deemed Affiliates of the Loan Parties as a result of the exercise of their rights and remedies under the Loan Documents.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Agent Parties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10.2(c)(ii)</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Aggregate Exposure</w:t>
      </w:r>
      <w:r>
        <w:rPr>
          <w:rFonts w:ascii="Times New Roman" w:cs="Times New Roman" w:eastAsia="Times New Roman" w:hAnsi="Times New Roman"/>
          <w:sz w:val="19"/>
          <w:szCs w:val="19"/>
          <w:color w:val="auto"/>
        </w:rPr>
        <w:t>” means, with respect to any Lender at any time, an amount equal to the sum of (a) the aggregate then unpaid</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principal amount of such Lender’s Term Loans, (b) the amount of such Lender’s Revolving Commitment then in effect or, if the Revolving Commitments have been terminated, the amount of such Lender’s Revolving Extensions of Credit then outstanding, and (c) without duplication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the L/C Commitment of such Lender then in effect (as a sublimit of the Revolving Commitment of such Lender).</w:t>
      </w:r>
    </w:p>
    <w:p>
      <w:pPr>
        <w:spacing w:after="0" w:line="159" w:lineRule="exact"/>
        <w:rPr>
          <w:sz w:val="20"/>
          <w:szCs w:val="20"/>
          <w:color w:val="auto"/>
        </w:rPr>
      </w:pPr>
    </w:p>
    <w:p>
      <w:pPr>
        <w:jc w:val="both"/>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Aggregate Exposure Percentage</w:t>
      </w:r>
      <w:r>
        <w:rPr>
          <w:rFonts w:ascii="Times New Roman" w:cs="Times New Roman" w:eastAsia="Times New Roman" w:hAnsi="Times New Roman"/>
          <w:sz w:val="19"/>
          <w:szCs w:val="19"/>
          <w:color w:val="auto"/>
        </w:rPr>
        <w:t>” means, with respect to any Lender at any time, the ratio (expressed as a percentage) of such Lender’s Aggregate Exposure at such time to the Aggregate Exposure of all Lenders at such time.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has the meaning set forth in the preamble hereto.</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Applicable Margin</w:t>
      </w:r>
      <w:r>
        <w:rPr>
          <w:rFonts w:ascii="Times New Roman" w:cs="Times New Roman" w:eastAsia="Times New Roman" w:hAnsi="Times New Roman"/>
          <w:sz w:val="19"/>
          <w:szCs w:val="19"/>
          <w:color w:val="auto"/>
        </w:rPr>
        <w:t>” means</w:t>
      </w:r>
    </w:p>
    <w:p>
      <w:pPr>
        <w:spacing w:after="0" w:line="176" w:lineRule="exact"/>
        <w:rPr>
          <w:sz w:val="20"/>
          <w:szCs w:val="20"/>
          <w:color w:val="auto"/>
        </w:rPr>
      </w:pPr>
    </w:p>
    <w:p>
      <w:pPr>
        <w:jc w:val="both"/>
        <w:ind w:firstLine="629"/>
        <w:spacing w:after="0" w:line="229" w:lineRule="auto"/>
        <w:tabs>
          <w:tab w:leader="none" w:pos="896"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prior to the Covenant Relief Period Beginning Date, the applicable percentage per annum set forth below determined by reference to the Consolidated Leverage Ratio as set forth in the most recent Compliance Certificate received by the Administrative Agent pursuant to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w:t>
      </w:r>
    </w:p>
    <w:p>
      <w:pPr>
        <w:spacing w:after="0" w:line="156" w:lineRule="exact"/>
        <w:rPr>
          <w:sz w:val="20"/>
          <w:szCs w:val="20"/>
          <w:color w:val="auto"/>
        </w:rPr>
      </w:pPr>
    </w:p>
    <w:tbl>
      <w:tblPr>
        <w:tblLayout w:type="fixed"/>
        <w:tblInd w:w="620" w:type="dxa"/>
        <w:tblCellMar>
          <w:top w:w="0" w:type="dxa"/>
          <w:left w:w="0" w:type="dxa"/>
          <w:bottom w:w="0" w:type="dxa"/>
          <w:right w:w="0" w:type="dxa"/>
        </w:tblCellMar>
      </w:tblPr>
      <w:tr>
        <w:trPr>
          <w:trHeight w:val="250"/>
        </w:trPr>
        <w:tc>
          <w:tcPr>
            <w:tcW w:w="38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TERM LOANS</w:t>
            </w: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7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Leverage Ratio</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gridSpan w:val="2"/>
          </w:tcPr>
          <w:p>
            <w:pPr>
              <w:jc w:val="center"/>
              <w:ind w:right="1600"/>
              <w:spacing w:after="0"/>
              <w:rPr>
                <w:sz w:val="20"/>
                <w:szCs w:val="20"/>
                <w:color w:val="auto"/>
              </w:rPr>
            </w:pPr>
            <w:r>
              <w:rPr>
                <w:rFonts w:ascii="Times New Roman" w:cs="Times New Roman" w:eastAsia="Times New Roman" w:hAnsi="Times New Roman"/>
                <w:sz w:val="19"/>
                <w:szCs w:val="19"/>
                <w:color w:val="auto"/>
                <w:w w:val="99"/>
              </w:rPr>
              <w:t>Term SOFR Loans</w:t>
            </w: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ABR Loans</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960" w:type="dxa"/>
            <w:vAlign w:val="bottom"/>
            <w:gridSpan w:val="2"/>
          </w:tcPr>
          <w:p>
            <w:pPr>
              <w:ind w:left="700"/>
              <w:spacing w:after="0"/>
              <w:rPr>
                <w:sz w:val="20"/>
                <w:szCs w:val="20"/>
                <w:color w:val="auto"/>
              </w:rPr>
            </w:pPr>
            <w:r>
              <w:rPr>
                <w:rFonts w:ascii="Times New Roman" w:cs="Times New Roman" w:eastAsia="Times New Roman" w:hAnsi="Times New Roman"/>
                <w:sz w:val="19"/>
                <w:szCs w:val="19"/>
                <w:color w:val="auto"/>
              </w:rPr>
              <w:t>&lt; 1.00:1.00</w:t>
            </w:r>
          </w:p>
        </w:tc>
        <w:tc>
          <w:tcPr>
            <w:tcW w:w="840" w:type="dxa"/>
            <w:vAlign w:val="bottom"/>
          </w:tcPr>
          <w:p>
            <w:pPr>
              <w:spacing w:after="0"/>
              <w:rPr>
                <w:sz w:val="23"/>
                <w:szCs w:val="23"/>
                <w:color w:val="auto"/>
              </w:rPr>
            </w:pPr>
          </w:p>
        </w:tc>
        <w:tc>
          <w:tcPr>
            <w:tcW w:w="2280" w:type="dxa"/>
            <w:vAlign w:val="bottom"/>
            <w:gridSpan w:val="2"/>
          </w:tcPr>
          <w:p>
            <w:pPr>
              <w:jc w:val="center"/>
              <w:ind w:left="765"/>
              <w:spacing w:after="0"/>
              <w:rPr>
                <w:sz w:val="20"/>
                <w:szCs w:val="20"/>
                <w:color w:val="auto"/>
              </w:rPr>
            </w:pPr>
            <w:r>
              <w:rPr>
                <w:rFonts w:ascii="Times New Roman" w:cs="Times New Roman" w:eastAsia="Times New Roman" w:hAnsi="Times New Roman"/>
                <w:sz w:val="19"/>
                <w:szCs w:val="19"/>
                <w:color w:val="auto"/>
              </w:rPr>
              <w:t>2.50%</w:t>
            </w:r>
          </w:p>
        </w:tc>
        <w:tc>
          <w:tcPr>
            <w:tcW w:w="16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1.50%</w:t>
            </w:r>
          </w:p>
        </w:tc>
        <w:tc>
          <w:tcPr>
            <w:tcW w:w="0" w:type="dxa"/>
            <w:vAlign w:val="bottom"/>
          </w:tcPr>
          <w:p>
            <w:pPr>
              <w:spacing w:after="0"/>
              <w:rPr>
                <w:sz w:val="1"/>
                <w:szCs w:val="1"/>
                <w:color w:val="auto"/>
              </w:rPr>
            </w:pPr>
          </w:p>
        </w:tc>
      </w:tr>
      <w:tr>
        <w:trPr>
          <w:trHeight w:val="232"/>
        </w:trPr>
        <w:tc>
          <w:tcPr>
            <w:tcW w:w="380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1.00:1.00 but</w:t>
            </w:r>
          </w:p>
        </w:tc>
        <w:tc>
          <w:tcPr>
            <w:tcW w:w="2280" w:type="dxa"/>
            <w:vAlign w:val="bottom"/>
            <w:gridSpan w:val="2"/>
            <w:vMerge w:val="restart"/>
          </w:tcPr>
          <w:p>
            <w:pPr>
              <w:jc w:val="center"/>
              <w:ind w:left="765"/>
              <w:spacing w:after="0"/>
              <w:rPr>
                <w:sz w:val="20"/>
                <w:szCs w:val="20"/>
                <w:color w:val="auto"/>
              </w:rPr>
            </w:pPr>
            <w:r>
              <w:rPr>
                <w:rFonts w:ascii="Times New Roman" w:cs="Times New Roman" w:eastAsia="Times New Roman" w:hAnsi="Times New Roman"/>
                <w:sz w:val="19"/>
                <w:szCs w:val="19"/>
                <w:color w:val="auto"/>
              </w:rPr>
              <w:t>3.00%</w:t>
            </w:r>
          </w:p>
        </w:tc>
        <w:tc>
          <w:tcPr>
            <w:tcW w:w="1600" w:type="dxa"/>
            <w:vAlign w:val="bottom"/>
          </w:tcPr>
          <w:p>
            <w:pPr>
              <w:spacing w:after="0"/>
              <w:rPr>
                <w:sz w:val="20"/>
                <w:szCs w:val="2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7"/>
              </w:rPr>
              <w:t>2.00%</w:t>
            </w:r>
          </w:p>
        </w:tc>
        <w:tc>
          <w:tcPr>
            <w:tcW w:w="0" w:type="dxa"/>
            <w:vAlign w:val="bottom"/>
          </w:tcPr>
          <w:p>
            <w:pPr>
              <w:spacing w:after="0"/>
              <w:rPr>
                <w:sz w:val="1"/>
                <w:szCs w:val="1"/>
                <w:color w:val="auto"/>
              </w:rPr>
            </w:pPr>
          </w:p>
        </w:tc>
      </w:tr>
      <w:tr>
        <w:trPr>
          <w:trHeight w:val="146"/>
        </w:trPr>
        <w:tc>
          <w:tcPr>
            <w:tcW w:w="2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9"/>
                <w:szCs w:val="19"/>
                <w:color w:val="auto"/>
              </w:rPr>
              <w:t>&lt; 2.00:1.00</w:t>
            </w:r>
          </w:p>
        </w:tc>
        <w:tc>
          <w:tcPr>
            <w:tcW w:w="8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6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9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380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2.00:1.00</w:t>
            </w:r>
          </w:p>
        </w:tc>
        <w:tc>
          <w:tcPr>
            <w:tcW w:w="2280" w:type="dxa"/>
            <w:vAlign w:val="bottom"/>
            <w:gridSpan w:val="2"/>
          </w:tcPr>
          <w:p>
            <w:pPr>
              <w:jc w:val="center"/>
              <w:ind w:left="765"/>
              <w:spacing w:after="0"/>
              <w:rPr>
                <w:sz w:val="20"/>
                <w:szCs w:val="20"/>
                <w:color w:val="auto"/>
              </w:rPr>
            </w:pPr>
            <w:r>
              <w:rPr>
                <w:rFonts w:ascii="Times New Roman" w:cs="Times New Roman" w:eastAsia="Times New Roman" w:hAnsi="Times New Roman"/>
                <w:sz w:val="19"/>
                <w:szCs w:val="19"/>
                <w:color w:val="auto"/>
              </w:rPr>
              <w:t>3.50%</w:t>
            </w:r>
          </w:p>
        </w:tc>
        <w:tc>
          <w:tcPr>
            <w:tcW w:w="16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2.50%</w:t>
            </w:r>
          </w:p>
        </w:tc>
        <w:tc>
          <w:tcPr>
            <w:tcW w:w="0" w:type="dxa"/>
            <w:vAlign w:val="bottom"/>
          </w:tcPr>
          <w:p>
            <w:pPr>
              <w:spacing w:after="0"/>
              <w:rPr>
                <w:sz w:val="1"/>
                <w:szCs w:val="1"/>
                <w:color w:val="auto"/>
              </w:rPr>
            </w:pPr>
          </w:p>
        </w:tc>
      </w:tr>
      <w:tr>
        <w:trPr>
          <w:trHeight w:val="742"/>
        </w:trPr>
        <w:tc>
          <w:tcPr>
            <w:tcW w:w="38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REVOLVING LOANS</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Leverage Ratio</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gridSpan w:val="2"/>
          </w:tcPr>
          <w:p>
            <w:pPr>
              <w:jc w:val="center"/>
              <w:ind w:right="1600"/>
              <w:spacing w:after="0"/>
              <w:rPr>
                <w:sz w:val="20"/>
                <w:szCs w:val="20"/>
                <w:color w:val="auto"/>
              </w:rPr>
            </w:pPr>
            <w:r>
              <w:rPr>
                <w:rFonts w:ascii="Times New Roman" w:cs="Times New Roman" w:eastAsia="Times New Roman" w:hAnsi="Times New Roman"/>
                <w:sz w:val="19"/>
                <w:szCs w:val="19"/>
                <w:color w:val="auto"/>
                <w:w w:val="99"/>
              </w:rPr>
              <w:t>Term SOFR Loans</w:t>
            </w: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ABR Loans</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960" w:type="dxa"/>
            <w:vAlign w:val="bottom"/>
            <w:gridSpan w:val="2"/>
          </w:tcPr>
          <w:p>
            <w:pPr>
              <w:ind w:left="700"/>
              <w:spacing w:after="0"/>
              <w:rPr>
                <w:sz w:val="20"/>
                <w:szCs w:val="20"/>
                <w:color w:val="auto"/>
              </w:rPr>
            </w:pPr>
            <w:r>
              <w:rPr>
                <w:rFonts w:ascii="Times New Roman" w:cs="Times New Roman" w:eastAsia="Times New Roman" w:hAnsi="Times New Roman"/>
                <w:sz w:val="19"/>
                <w:szCs w:val="19"/>
                <w:color w:val="auto"/>
              </w:rPr>
              <w:t>&lt; 1.00:1.00</w:t>
            </w:r>
          </w:p>
        </w:tc>
        <w:tc>
          <w:tcPr>
            <w:tcW w:w="840" w:type="dxa"/>
            <w:vAlign w:val="bottom"/>
          </w:tcPr>
          <w:p>
            <w:pPr>
              <w:spacing w:after="0"/>
              <w:rPr>
                <w:sz w:val="23"/>
                <w:szCs w:val="23"/>
                <w:color w:val="auto"/>
              </w:rPr>
            </w:pPr>
          </w:p>
        </w:tc>
        <w:tc>
          <w:tcPr>
            <w:tcW w:w="2280" w:type="dxa"/>
            <w:vAlign w:val="bottom"/>
            <w:gridSpan w:val="2"/>
          </w:tcPr>
          <w:p>
            <w:pPr>
              <w:jc w:val="center"/>
              <w:ind w:left="765"/>
              <w:spacing w:after="0"/>
              <w:rPr>
                <w:sz w:val="20"/>
                <w:szCs w:val="20"/>
                <w:color w:val="auto"/>
              </w:rPr>
            </w:pPr>
            <w:r>
              <w:rPr>
                <w:rFonts w:ascii="Times New Roman" w:cs="Times New Roman" w:eastAsia="Times New Roman" w:hAnsi="Times New Roman"/>
                <w:sz w:val="19"/>
                <w:szCs w:val="19"/>
                <w:color w:val="auto"/>
              </w:rPr>
              <w:t>2.50%</w:t>
            </w:r>
          </w:p>
        </w:tc>
        <w:tc>
          <w:tcPr>
            <w:tcW w:w="16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1.50%</w:t>
            </w:r>
          </w:p>
        </w:tc>
        <w:tc>
          <w:tcPr>
            <w:tcW w:w="0" w:type="dxa"/>
            <w:vAlign w:val="bottom"/>
          </w:tcPr>
          <w:p>
            <w:pPr>
              <w:spacing w:after="0"/>
              <w:rPr>
                <w:sz w:val="1"/>
                <w:szCs w:val="1"/>
                <w:color w:val="auto"/>
              </w:rPr>
            </w:pPr>
          </w:p>
        </w:tc>
      </w:tr>
      <w:tr>
        <w:trPr>
          <w:trHeight w:val="245"/>
        </w:trPr>
        <w:tc>
          <w:tcPr>
            <w:tcW w:w="380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1.00:1.00 but</w:t>
            </w:r>
          </w:p>
        </w:tc>
        <w:tc>
          <w:tcPr>
            <w:tcW w:w="2280" w:type="dxa"/>
            <w:vAlign w:val="bottom"/>
            <w:gridSpan w:val="2"/>
            <w:vMerge w:val="restart"/>
          </w:tcPr>
          <w:p>
            <w:pPr>
              <w:jc w:val="center"/>
              <w:ind w:left="765"/>
              <w:spacing w:after="0"/>
              <w:rPr>
                <w:sz w:val="20"/>
                <w:szCs w:val="20"/>
                <w:color w:val="auto"/>
              </w:rPr>
            </w:pPr>
            <w:r>
              <w:rPr>
                <w:rFonts w:ascii="Times New Roman" w:cs="Times New Roman" w:eastAsia="Times New Roman" w:hAnsi="Times New Roman"/>
                <w:sz w:val="19"/>
                <w:szCs w:val="19"/>
                <w:color w:val="auto"/>
              </w:rPr>
              <w:t>3.00%</w:t>
            </w:r>
          </w:p>
        </w:tc>
        <w:tc>
          <w:tcPr>
            <w:tcW w:w="1600" w:type="dxa"/>
            <w:vAlign w:val="bottom"/>
          </w:tcPr>
          <w:p>
            <w:pPr>
              <w:spacing w:after="0"/>
              <w:rPr>
                <w:sz w:val="21"/>
                <w:szCs w:val="2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7"/>
              </w:rPr>
              <w:t>2.00%</w:t>
            </w:r>
          </w:p>
        </w:tc>
        <w:tc>
          <w:tcPr>
            <w:tcW w:w="0" w:type="dxa"/>
            <w:vAlign w:val="bottom"/>
          </w:tcPr>
          <w:p>
            <w:pPr>
              <w:spacing w:after="0"/>
              <w:rPr>
                <w:sz w:val="1"/>
                <w:szCs w:val="1"/>
                <w:color w:val="auto"/>
              </w:rPr>
            </w:pPr>
          </w:p>
        </w:tc>
      </w:tr>
      <w:tr>
        <w:trPr>
          <w:trHeight w:val="133"/>
        </w:trPr>
        <w:tc>
          <w:tcPr>
            <w:tcW w:w="2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9"/>
                <w:szCs w:val="19"/>
                <w:color w:val="auto"/>
              </w:rPr>
              <w:t>&lt; 2.00:1.00</w:t>
            </w:r>
          </w:p>
        </w:tc>
        <w:tc>
          <w:tcPr>
            <w:tcW w:w="84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16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380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2.00:1.00</w:t>
            </w:r>
          </w:p>
        </w:tc>
        <w:tc>
          <w:tcPr>
            <w:tcW w:w="2280" w:type="dxa"/>
            <w:vAlign w:val="bottom"/>
            <w:gridSpan w:val="2"/>
          </w:tcPr>
          <w:p>
            <w:pPr>
              <w:jc w:val="center"/>
              <w:ind w:left="765"/>
              <w:spacing w:after="0"/>
              <w:rPr>
                <w:sz w:val="20"/>
                <w:szCs w:val="20"/>
                <w:color w:val="auto"/>
              </w:rPr>
            </w:pPr>
            <w:r>
              <w:rPr>
                <w:rFonts w:ascii="Times New Roman" w:cs="Times New Roman" w:eastAsia="Times New Roman" w:hAnsi="Times New Roman"/>
                <w:sz w:val="19"/>
                <w:szCs w:val="19"/>
                <w:color w:val="auto"/>
              </w:rPr>
              <w:t>3.50%</w:t>
            </w:r>
          </w:p>
        </w:tc>
        <w:tc>
          <w:tcPr>
            <w:tcW w:w="16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53"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50"/>
        </w:trPr>
        <w:tc>
          <w:tcPr>
            <w:tcW w:w="43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SWINGLINE LOANS</w:t>
            </w:r>
          </w:p>
        </w:tc>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74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w w:val="99"/>
              </w:rPr>
              <w:t>Consolidated Leverage Ratio</w:t>
            </w:r>
          </w:p>
        </w:tc>
        <w:tc>
          <w:tcPr>
            <w:tcW w:w="1420" w:type="dxa"/>
            <w:vAlign w:val="bottom"/>
          </w:tcPr>
          <w:p>
            <w:pPr>
              <w:spacing w:after="0"/>
              <w:rPr>
                <w:sz w:val="24"/>
                <w:szCs w:val="24"/>
                <w:color w:val="auto"/>
              </w:rPr>
            </w:pPr>
          </w:p>
        </w:tc>
        <w:tc>
          <w:tcPr>
            <w:tcW w:w="2700" w:type="dxa"/>
            <w:vAlign w:val="bottom"/>
            <w:gridSpan w:val="2"/>
          </w:tcPr>
          <w:p>
            <w:pPr>
              <w:jc w:val="center"/>
              <w:ind w:left="1325"/>
              <w:spacing w:after="0"/>
              <w:rPr>
                <w:sz w:val="20"/>
                <w:szCs w:val="20"/>
                <w:color w:val="auto"/>
              </w:rPr>
            </w:pPr>
            <w:r>
              <w:rPr>
                <w:rFonts w:ascii="Times New Roman" w:cs="Times New Roman" w:eastAsia="Times New Roman" w:hAnsi="Times New Roman"/>
                <w:sz w:val="19"/>
                <w:szCs w:val="19"/>
                <w:color w:val="auto"/>
                <w:w w:val="99"/>
              </w:rPr>
              <w:t>Swingline Loans</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960" w:type="dxa"/>
            <w:vAlign w:val="bottom"/>
            <w:gridSpan w:val="2"/>
          </w:tcPr>
          <w:p>
            <w:pPr>
              <w:ind w:left="700"/>
              <w:spacing w:after="0"/>
              <w:rPr>
                <w:sz w:val="20"/>
                <w:szCs w:val="20"/>
                <w:color w:val="auto"/>
              </w:rPr>
            </w:pPr>
            <w:r>
              <w:rPr>
                <w:rFonts w:ascii="Times New Roman" w:cs="Times New Roman" w:eastAsia="Times New Roman" w:hAnsi="Times New Roman"/>
                <w:sz w:val="19"/>
                <w:szCs w:val="19"/>
                <w:color w:val="auto"/>
              </w:rPr>
              <w:t>&lt; 1.00:1.00</w:t>
            </w:r>
          </w:p>
        </w:tc>
        <w:tc>
          <w:tcPr>
            <w:tcW w:w="1420" w:type="dxa"/>
            <w:vAlign w:val="bottom"/>
          </w:tcPr>
          <w:p>
            <w:pPr>
              <w:spacing w:after="0"/>
              <w:rPr>
                <w:sz w:val="24"/>
                <w:szCs w:val="24"/>
                <w:color w:val="auto"/>
              </w:rPr>
            </w:pPr>
          </w:p>
        </w:tc>
        <w:tc>
          <w:tcPr>
            <w:tcW w:w="2700" w:type="dxa"/>
            <w:vAlign w:val="bottom"/>
            <w:gridSpan w:val="2"/>
          </w:tcPr>
          <w:p>
            <w:pPr>
              <w:jc w:val="center"/>
              <w:ind w:left="1325"/>
              <w:spacing w:after="0"/>
              <w:rPr>
                <w:sz w:val="20"/>
                <w:szCs w:val="20"/>
                <w:color w:val="auto"/>
              </w:rPr>
            </w:pPr>
            <w:r>
              <w:rPr>
                <w:rFonts w:ascii="Times New Roman" w:cs="Times New Roman" w:eastAsia="Times New Roman" w:hAnsi="Times New Roman"/>
                <w:sz w:val="19"/>
                <w:szCs w:val="19"/>
                <w:color w:val="auto"/>
                <w:w w:val="97"/>
              </w:rPr>
              <w:t>1.50%</w:t>
            </w:r>
          </w:p>
        </w:tc>
        <w:tc>
          <w:tcPr>
            <w:tcW w:w="0" w:type="dxa"/>
            <w:vAlign w:val="bottom"/>
          </w:tcPr>
          <w:p>
            <w:pPr>
              <w:spacing w:after="0"/>
              <w:rPr>
                <w:sz w:val="1"/>
                <w:szCs w:val="1"/>
                <w:color w:val="auto"/>
              </w:rPr>
            </w:pPr>
          </w:p>
        </w:tc>
      </w:tr>
      <w:tr>
        <w:trPr>
          <w:trHeight w:val="258"/>
        </w:trPr>
        <w:tc>
          <w:tcPr>
            <w:tcW w:w="438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1.00:1.00 but</w:t>
            </w:r>
          </w:p>
        </w:tc>
        <w:tc>
          <w:tcPr>
            <w:tcW w:w="2700" w:type="dxa"/>
            <w:vAlign w:val="bottom"/>
            <w:gridSpan w:val="2"/>
            <w:vMerge w:val="restart"/>
          </w:tcPr>
          <w:p>
            <w:pPr>
              <w:jc w:val="center"/>
              <w:ind w:left="1325"/>
              <w:spacing w:after="0"/>
              <w:rPr>
                <w:sz w:val="20"/>
                <w:szCs w:val="20"/>
                <w:color w:val="auto"/>
              </w:rPr>
            </w:pPr>
            <w:r>
              <w:rPr>
                <w:rFonts w:ascii="Times New Roman" w:cs="Times New Roman" w:eastAsia="Times New Roman" w:hAnsi="Times New Roman"/>
                <w:sz w:val="19"/>
                <w:szCs w:val="19"/>
                <w:color w:val="auto"/>
                <w:w w:val="97"/>
              </w:rPr>
              <w:t>2.00%</w:t>
            </w:r>
          </w:p>
        </w:tc>
        <w:tc>
          <w:tcPr>
            <w:tcW w:w="0" w:type="dxa"/>
            <w:vAlign w:val="bottom"/>
          </w:tcPr>
          <w:p>
            <w:pPr>
              <w:spacing w:after="0"/>
              <w:rPr>
                <w:sz w:val="1"/>
                <w:szCs w:val="1"/>
                <w:color w:val="auto"/>
              </w:rPr>
            </w:pPr>
          </w:p>
        </w:tc>
      </w:tr>
      <w:tr>
        <w:trPr>
          <w:trHeight w:val="146"/>
        </w:trPr>
        <w:tc>
          <w:tcPr>
            <w:tcW w:w="2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9"/>
                <w:szCs w:val="19"/>
                <w:color w:val="auto"/>
              </w:rPr>
              <w:t>&lt; 2.00:1.00</w:t>
            </w:r>
          </w:p>
        </w:tc>
        <w:tc>
          <w:tcPr>
            <w:tcW w:w="14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96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438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2.00:1.00</w:t>
            </w:r>
          </w:p>
        </w:tc>
        <w:tc>
          <w:tcPr>
            <w:tcW w:w="2700" w:type="dxa"/>
            <w:vAlign w:val="bottom"/>
            <w:gridSpan w:val="2"/>
          </w:tcPr>
          <w:p>
            <w:pPr>
              <w:jc w:val="center"/>
              <w:ind w:left="1325"/>
              <w:spacing w:after="0"/>
              <w:rPr>
                <w:sz w:val="20"/>
                <w:szCs w:val="20"/>
                <w:color w:val="auto"/>
              </w:rPr>
            </w:pPr>
            <w:r>
              <w:rPr>
                <w:rFonts w:ascii="Times New Roman" w:cs="Times New Roman" w:eastAsia="Times New Roman" w:hAnsi="Times New Roman"/>
                <w:sz w:val="19"/>
                <w:szCs w:val="19"/>
                <w:color w:val="auto"/>
                <w:w w:val="97"/>
              </w:rPr>
              <w:t>2.50%</w:t>
            </w:r>
          </w:p>
        </w:tc>
        <w:tc>
          <w:tcPr>
            <w:tcW w:w="0" w:type="dxa"/>
            <w:vAlign w:val="bottom"/>
          </w:tcPr>
          <w:p>
            <w:pPr>
              <w:spacing w:after="0"/>
              <w:rPr>
                <w:sz w:val="1"/>
                <w:szCs w:val="1"/>
                <w:color w:val="auto"/>
              </w:rPr>
            </w:pPr>
          </w:p>
        </w:tc>
      </w:tr>
      <w:tr>
        <w:trPr>
          <w:trHeight w:val="768"/>
        </w:trPr>
        <w:tc>
          <w:tcPr>
            <w:tcW w:w="43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LETTERS OF CREDIT</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74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w w:val="99"/>
              </w:rPr>
              <w:t>Consolidated Leverage Ratio</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Letters of Credit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960" w:type="dxa"/>
            <w:vAlign w:val="bottom"/>
            <w:gridSpan w:val="2"/>
          </w:tcPr>
          <w:p>
            <w:pPr>
              <w:ind w:left="700"/>
              <w:spacing w:after="0"/>
              <w:rPr>
                <w:sz w:val="20"/>
                <w:szCs w:val="20"/>
                <w:color w:val="auto"/>
              </w:rPr>
            </w:pPr>
            <w:r>
              <w:rPr>
                <w:rFonts w:ascii="Times New Roman" w:cs="Times New Roman" w:eastAsia="Times New Roman" w:hAnsi="Times New Roman"/>
                <w:sz w:val="19"/>
                <w:szCs w:val="19"/>
                <w:color w:val="auto"/>
              </w:rPr>
              <w:t>&lt; 1.00:1.00</w:t>
            </w:r>
          </w:p>
        </w:tc>
        <w:tc>
          <w:tcPr>
            <w:tcW w:w="1420" w:type="dxa"/>
            <w:vAlign w:val="bottom"/>
          </w:tcPr>
          <w:p>
            <w:pPr>
              <w:spacing w:after="0"/>
              <w:rPr>
                <w:sz w:val="24"/>
                <w:szCs w:val="24"/>
                <w:color w:val="auto"/>
              </w:rPr>
            </w:pPr>
          </w:p>
        </w:tc>
        <w:tc>
          <w:tcPr>
            <w:tcW w:w="2700" w:type="dxa"/>
            <w:vAlign w:val="bottom"/>
            <w:gridSpan w:val="2"/>
          </w:tcPr>
          <w:p>
            <w:pPr>
              <w:jc w:val="center"/>
              <w:ind w:left="1325"/>
              <w:spacing w:after="0"/>
              <w:rPr>
                <w:sz w:val="20"/>
                <w:szCs w:val="20"/>
                <w:color w:val="auto"/>
              </w:rPr>
            </w:pPr>
            <w:r>
              <w:rPr>
                <w:rFonts w:ascii="Times New Roman" w:cs="Times New Roman" w:eastAsia="Times New Roman" w:hAnsi="Times New Roman"/>
                <w:sz w:val="19"/>
                <w:szCs w:val="19"/>
                <w:color w:val="auto"/>
                <w:w w:val="97"/>
              </w:rPr>
              <w:t>2.50%</w:t>
            </w:r>
          </w:p>
        </w:tc>
        <w:tc>
          <w:tcPr>
            <w:tcW w:w="0" w:type="dxa"/>
            <w:vAlign w:val="bottom"/>
          </w:tcPr>
          <w:p>
            <w:pPr>
              <w:spacing w:after="0"/>
              <w:rPr>
                <w:sz w:val="1"/>
                <w:szCs w:val="1"/>
                <w:color w:val="auto"/>
              </w:rPr>
            </w:pPr>
          </w:p>
        </w:tc>
      </w:tr>
      <w:tr>
        <w:trPr>
          <w:trHeight w:val="271"/>
        </w:trPr>
        <w:tc>
          <w:tcPr>
            <w:tcW w:w="438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1.00:1.00 but</w:t>
            </w:r>
          </w:p>
        </w:tc>
        <w:tc>
          <w:tcPr>
            <w:tcW w:w="2700" w:type="dxa"/>
            <w:vAlign w:val="bottom"/>
            <w:gridSpan w:val="2"/>
            <w:vMerge w:val="restart"/>
          </w:tcPr>
          <w:p>
            <w:pPr>
              <w:jc w:val="center"/>
              <w:ind w:left="1325"/>
              <w:spacing w:after="0"/>
              <w:rPr>
                <w:sz w:val="20"/>
                <w:szCs w:val="20"/>
                <w:color w:val="auto"/>
              </w:rPr>
            </w:pPr>
            <w:r>
              <w:rPr>
                <w:rFonts w:ascii="Times New Roman" w:cs="Times New Roman" w:eastAsia="Times New Roman" w:hAnsi="Times New Roman"/>
                <w:sz w:val="19"/>
                <w:szCs w:val="19"/>
                <w:color w:val="auto"/>
                <w:w w:val="97"/>
              </w:rPr>
              <w:t>3.00%</w:t>
            </w:r>
          </w:p>
        </w:tc>
        <w:tc>
          <w:tcPr>
            <w:tcW w:w="0" w:type="dxa"/>
            <w:vAlign w:val="bottom"/>
          </w:tcPr>
          <w:p>
            <w:pPr>
              <w:spacing w:after="0"/>
              <w:rPr>
                <w:sz w:val="1"/>
                <w:szCs w:val="1"/>
                <w:color w:val="auto"/>
              </w:rPr>
            </w:pPr>
          </w:p>
        </w:tc>
      </w:tr>
      <w:tr>
        <w:trPr>
          <w:trHeight w:val="133"/>
        </w:trPr>
        <w:tc>
          <w:tcPr>
            <w:tcW w:w="2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9"/>
                <w:szCs w:val="19"/>
                <w:color w:val="auto"/>
              </w:rPr>
              <w:t>&lt; 2.00:1.00</w:t>
            </w:r>
          </w:p>
        </w:tc>
        <w:tc>
          <w:tcPr>
            <w:tcW w:w="1420" w:type="dxa"/>
            <w:vAlign w:val="bottom"/>
          </w:tcPr>
          <w:p>
            <w:pPr>
              <w:spacing w:after="0"/>
              <w:rPr>
                <w:sz w:val="11"/>
                <w:szCs w:val="11"/>
                <w:color w:val="auto"/>
              </w:rPr>
            </w:pPr>
          </w:p>
        </w:tc>
        <w:tc>
          <w:tcPr>
            <w:tcW w:w="2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6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438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2.00:1.00</w:t>
            </w:r>
          </w:p>
        </w:tc>
        <w:tc>
          <w:tcPr>
            <w:tcW w:w="2700" w:type="dxa"/>
            <w:vAlign w:val="bottom"/>
            <w:gridSpan w:val="2"/>
          </w:tcPr>
          <w:p>
            <w:pPr>
              <w:jc w:val="center"/>
              <w:ind w:left="1325"/>
              <w:spacing w:after="0"/>
              <w:rPr>
                <w:sz w:val="20"/>
                <w:szCs w:val="20"/>
                <w:color w:val="auto"/>
              </w:rPr>
            </w:pPr>
            <w:r>
              <w:rPr>
                <w:rFonts w:ascii="Times New Roman" w:cs="Times New Roman" w:eastAsia="Times New Roman" w:hAnsi="Times New Roman"/>
                <w:sz w:val="19"/>
                <w:szCs w:val="19"/>
                <w:color w:val="auto"/>
                <w:w w:val="97"/>
              </w:rPr>
              <w:t>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620" w:firstLine="629"/>
        <w:spacing w:after="0" w:line="237" w:lineRule="auto"/>
        <w:tabs>
          <w:tab w:leader="none" w:pos="286"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Covenant Relief Period, the applicable percentage per annum set forth below determined by reference to the Consolidated Leverage Ratio as set forth in the most recent Compliance Certificate received by the Administrative Agent pursuant to </w:t>
      </w:r>
      <w:r>
        <w:rPr>
          <w:rFonts w:ascii="Times New Roman" w:cs="Times New Roman" w:eastAsia="Times New Roman" w:hAnsi="Times New Roman"/>
          <w:sz w:val="19"/>
          <w:szCs w:val="19"/>
          <w:u w:val="single" w:color="auto"/>
          <w:color w:val="auto"/>
        </w:rPr>
        <w:t>Section 6.2(b):</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TERM LOANS</w:t>
            </w: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Leverage Ratio</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gridSpan w:val="2"/>
          </w:tcPr>
          <w:p>
            <w:pPr>
              <w:jc w:val="center"/>
              <w:ind w:right="1600"/>
              <w:spacing w:after="0"/>
              <w:rPr>
                <w:sz w:val="20"/>
                <w:szCs w:val="20"/>
                <w:color w:val="auto"/>
              </w:rPr>
            </w:pPr>
            <w:r>
              <w:rPr>
                <w:rFonts w:ascii="Times New Roman" w:cs="Times New Roman" w:eastAsia="Times New Roman" w:hAnsi="Times New Roman"/>
                <w:sz w:val="19"/>
                <w:szCs w:val="19"/>
                <w:color w:val="auto"/>
                <w:w w:val="99"/>
              </w:rPr>
              <w:t>Term SOFR Loans</w:t>
            </w: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ABR Loans</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960" w:type="dxa"/>
            <w:vAlign w:val="bottom"/>
            <w:gridSpan w:val="2"/>
          </w:tcPr>
          <w:p>
            <w:pPr>
              <w:ind w:left="700"/>
              <w:spacing w:after="0"/>
              <w:rPr>
                <w:sz w:val="20"/>
                <w:szCs w:val="20"/>
                <w:color w:val="auto"/>
              </w:rPr>
            </w:pPr>
            <w:r>
              <w:rPr>
                <w:rFonts w:ascii="Times New Roman" w:cs="Times New Roman" w:eastAsia="Times New Roman" w:hAnsi="Times New Roman"/>
                <w:sz w:val="19"/>
                <w:szCs w:val="19"/>
                <w:color w:val="auto"/>
              </w:rPr>
              <w:t>&lt; 2.00:1.00</w:t>
            </w:r>
          </w:p>
        </w:tc>
        <w:tc>
          <w:tcPr>
            <w:tcW w:w="840" w:type="dxa"/>
            <w:vAlign w:val="bottom"/>
          </w:tcPr>
          <w:p>
            <w:pPr>
              <w:spacing w:after="0"/>
              <w:rPr>
                <w:sz w:val="23"/>
                <w:szCs w:val="23"/>
                <w:color w:val="auto"/>
              </w:rPr>
            </w:pPr>
          </w:p>
        </w:tc>
        <w:tc>
          <w:tcPr>
            <w:tcW w:w="2280" w:type="dxa"/>
            <w:vAlign w:val="bottom"/>
            <w:gridSpan w:val="2"/>
          </w:tcPr>
          <w:p>
            <w:pPr>
              <w:jc w:val="center"/>
              <w:ind w:left="765"/>
              <w:spacing w:after="0"/>
              <w:rPr>
                <w:sz w:val="20"/>
                <w:szCs w:val="20"/>
                <w:color w:val="auto"/>
              </w:rPr>
            </w:pPr>
            <w:r>
              <w:rPr>
                <w:rFonts w:ascii="Times New Roman" w:cs="Times New Roman" w:eastAsia="Times New Roman" w:hAnsi="Times New Roman"/>
                <w:sz w:val="19"/>
                <w:szCs w:val="19"/>
                <w:color w:val="auto"/>
              </w:rPr>
              <w:t>4.25%</w:t>
            </w:r>
          </w:p>
        </w:tc>
        <w:tc>
          <w:tcPr>
            <w:tcW w:w="16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3.25%</w:t>
            </w:r>
          </w:p>
        </w:tc>
        <w:tc>
          <w:tcPr>
            <w:tcW w:w="0" w:type="dxa"/>
            <w:vAlign w:val="bottom"/>
          </w:tcPr>
          <w:p>
            <w:pPr>
              <w:spacing w:after="0"/>
              <w:rPr>
                <w:sz w:val="1"/>
                <w:szCs w:val="1"/>
                <w:color w:val="auto"/>
              </w:rPr>
            </w:pPr>
          </w:p>
        </w:tc>
      </w:tr>
      <w:tr>
        <w:trPr>
          <w:trHeight w:val="232"/>
        </w:trPr>
        <w:tc>
          <w:tcPr>
            <w:tcW w:w="380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2.00:1.00 but</w:t>
            </w:r>
          </w:p>
        </w:tc>
        <w:tc>
          <w:tcPr>
            <w:tcW w:w="2280" w:type="dxa"/>
            <w:vAlign w:val="bottom"/>
            <w:gridSpan w:val="2"/>
            <w:vMerge w:val="restart"/>
          </w:tcPr>
          <w:p>
            <w:pPr>
              <w:jc w:val="center"/>
              <w:ind w:left="765"/>
              <w:spacing w:after="0"/>
              <w:rPr>
                <w:sz w:val="20"/>
                <w:szCs w:val="20"/>
                <w:color w:val="auto"/>
              </w:rPr>
            </w:pPr>
            <w:r>
              <w:rPr>
                <w:rFonts w:ascii="Times New Roman" w:cs="Times New Roman" w:eastAsia="Times New Roman" w:hAnsi="Times New Roman"/>
                <w:sz w:val="19"/>
                <w:szCs w:val="19"/>
                <w:color w:val="auto"/>
              </w:rPr>
              <w:t>4.50%</w:t>
            </w:r>
          </w:p>
        </w:tc>
        <w:tc>
          <w:tcPr>
            <w:tcW w:w="1600" w:type="dxa"/>
            <w:vAlign w:val="bottom"/>
          </w:tcPr>
          <w:p>
            <w:pPr>
              <w:spacing w:after="0"/>
              <w:rPr>
                <w:sz w:val="20"/>
                <w:szCs w:val="2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7"/>
              </w:rPr>
              <w:t>3.50%</w:t>
            </w:r>
          </w:p>
        </w:tc>
        <w:tc>
          <w:tcPr>
            <w:tcW w:w="0" w:type="dxa"/>
            <w:vAlign w:val="bottom"/>
          </w:tcPr>
          <w:p>
            <w:pPr>
              <w:spacing w:after="0"/>
              <w:rPr>
                <w:sz w:val="1"/>
                <w:szCs w:val="1"/>
                <w:color w:val="auto"/>
              </w:rPr>
            </w:pPr>
          </w:p>
        </w:tc>
      </w:tr>
      <w:tr>
        <w:trPr>
          <w:trHeight w:val="146"/>
        </w:trPr>
        <w:tc>
          <w:tcPr>
            <w:tcW w:w="2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9"/>
                <w:szCs w:val="19"/>
                <w:color w:val="auto"/>
              </w:rPr>
              <w:t>&lt; 3.00:1.00</w:t>
            </w:r>
          </w:p>
        </w:tc>
        <w:tc>
          <w:tcPr>
            <w:tcW w:w="8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6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9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380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3.00:1.00</w:t>
            </w:r>
          </w:p>
        </w:tc>
        <w:tc>
          <w:tcPr>
            <w:tcW w:w="2280" w:type="dxa"/>
            <w:vAlign w:val="bottom"/>
            <w:gridSpan w:val="2"/>
          </w:tcPr>
          <w:p>
            <w:pPr>
              <w:jc w:val="center"/>
              <w:ind w:left="765"/>
              <w:spacing w:after="0"/>
              <w:rPr>
                <w:sz w:val="20"/>
                <w:szCs w:val="20"/>
                <w:color w:val="auto"/>
              </w:rPr>
            </w:pPr>
            <w:r>
              <w:rPr>
                <w:rFonts w:ascii="Times New Roman" w:cs="Times New Roman" w:eastAsia="Times New Roman" w:hAnsi="Times New Roman"/>
                <w:sz w:val="19"/>
                <w:szCs w:val="19"/>
                <w:color w:val="auto"/>
              </w:rPr>
              <w:t>4.75%</w:t>
            </w:r>
          </w:p>
        </w:tc>
        <w:tc>
          <w:tcPr>
            <w:tcW w:w="16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3.75%</w:t>
            </w:r>
          </w:p>
        </w:tc>
        <w:tc>
          <w:tcPr>
            <w:tcW w:w="0" w:type="dxa"/>
            <w:vAlign w:val="bottom"/>
          </w:tcPr>
          <w:p>
            <w:pPr>
              <w:spacing w:after="0"/>
              <w:rPr>
                <w:sz w:val="1"/>
                <w:szCs w:val="1"/>
                <w:color w:val="auto"/>
              </w:rPr>
            </w:pPr>
          </w:p>
        </w:tc>
      </w:tr>
      <w:tr>
        <w:trPr>
          <w:trHeight w:val="638"/>
        </w:trPr>
        <w:tc>
          <w:tcPr>
            <w:tcW w:w="38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REVOLVING LOANS</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2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9"/>
                <w:szCs w:val="19"/>
                <w:color w:val="auto"/>
              </w:rPr>
              <w:t>Consolidated Leverage Ratio</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gridSpan w:val="2"/>
          </w:tcPr>
          <w:p>
            <w:pPr>
              <w:jc w:val="center"/>
              <w:ind w:right="1600"/>
              <w:spacing w:after="0"/>
              <w:rPr>
                <w:sz w:val="20"/>
                <w:szCs w:val="20"/>
                <w:color w:val="auto"/>
              </w:rPr>
            </w:pPr>
            <w:r>
              <w:rPr>
                <w:rFonts w:ascii="Times New Roman" w:cs="Times New Roman" w:eastAsia="Times New Roman" w:hAnsi="Times New Roman"/>
                <w:sz w:val="19"/>
                <w:szCs w:val="19"/>
                <w:color w:val="auto"/>
                <w:w w:val="99"/>
              </w:rPr>
              <w:t>Term SOFR Loans</w:t>
            </w: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ABR Loans</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960" w:type="dxa"/>
            <w:vAlign w:val="bottom"/>
            <w:gridSpan w:val="2"/>
          </w:tcPr>
          <w:p>
            <w:pPr>
              <w:ind w:left="700"/>
              <w:spacing w:after="0"/>
              <w:rPr>
                <w:sz w:val="20"/>
                <w:szCs w:val="20"/>
                <w:color w:val="auto"/>
              </w:rPr>
            </w:pPr>
            <w:r>
              <w:rPr>
                <w:rFonts w:ascii="Times New Roman" w:cs="Times New Roman" w:eastAsia="Times New Roman" w:hAnsi="Times New Roman"/>
                <w:sz w:val="19"/>
                <w:szCs w:val="19"/>
                <w:color w:val="auto"/>
              </w:rPr>
              <w:t>&lt; 2.00:1.00</w:t>
            </w:r>
          </w:p>
        </w:tc>
        <w:tc>
          <w:tcPr>
            <w:tcW w:w="840" w:type="dxa"/>
            <w:vAlign w:val="bottom"/>
          </w:tcPr>
          <w:p>
            <w:pPr>
              <w:spacing w:after="0"/>
              <w:rPr>
                <w:sz w:val="23"/>
                <w:szCs w:val="23"/>
                <w:color w:val="auto"/>
              </w:rPr>
            </w:pPr>
          </w:p>
        </w:tc>
        <w:tc>
          <w:tcPr>
            <w:tcW w:w="2280" w:type="dxa"/>
            <w:vAlign w:val="bottom"/>
            <w:gridSpan w:val="2"/>
          </w:tcPr>
          <w:p>
            <w:pPr>
              <w:jc w:val="center"/>
              <w:ind w:left="765"/>
              <w:spacing w:after="0"/>
              <w:rPr>
                <w:sz w:val="20"/>
                <w:szCs w:val="20"/>
                <w:color w:val="auto"/>
              </w:rPr>
            </w:pPr>
            <w:r>
              <w:rPr>
                <w:rFonts w:ascii="Times New Roman" w:cs="Times New Roman" w:eastAsia="Times New Roman" w:hAnsi="Times New Roman"/>
                <w:sz w:val="19"/>
                <w:szCs w:val="19"/>
                <w:color w:val="auto"/>
              </w:rPr>
              <w:t>4.25%</w:t>
            </w:r>
          </w:p>
        </w:tc>
        <w:tc>
          <w:tcPr>
            <w:tcW w:w="16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3.25%</w:t>
            </w:r>
          </w:p>
        </w:tc>
        <w:tc>
          <w:tcPr>
            <w:tcW w:w="0" w:type="dxa"/>
            <w:vAlign w:val="bottom"/>
          </w:tcPr>
          <w:p>
            <w:pPr>
              <w:spacing w:after="0"/>
              <w:rPr>
                <w:sz w:val="1"/>
                <w:szCs w:val="1"/>
                <w:color w:val="auto"/>
              </w:rPr>
            </w:pPr>
          </w:p>
        </w:tc>
      </w:tr>
      <w:tr>
        <w:trPr>
          <w:trHeight w:val="245"/>
        </w:trPr>
        <w:tc>
          <w:tcPr>
            <w:tcW w:w="380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2.00:1.00 but</w:t>
            </w:r>
          </w:p>
        </w:tc>
        <w:tc>
          <w:tcPr>
            <w:tcW w:w="2280" w:type="dxa"/>
            <w:vAlign w:val="bottom"/>
            <w:gridSpan w:val="2"/>
            <w:vMerge w:val="restart"/>
          </w:tcPr>
          <w:p>
            <w:pPr>
              <w:jc w:val="center"/>
              <w:ind w:left="765"/>
              <w:spacing w:after="0"/>
              <w:rPr>
                <w:sz w:val="20"/>
                <w:szCs w:val="20"/>
                <w:color w:val="auto"/>
              </w:rPr>
            </w:pPr>
            <w:r>
              <w:rPr>
                <w:rFonts w:ascii="Times New Roman" w:cs="Times New Roman" w:eastAsia="Times New Roman" w:hAnsi="Times New Roman"/>
                <w:sz w:val="19"/>
                <w:szCs w:val="19"/>
                <w:color w:val="auto"/>
              </w:rPr>
              <w:t>4.50%</w:t>
            </w:r>
          </w:p>
        </w:tc>
        <w:tc>
          <w:tcPr>
            <w:tcW w:w="1600" w:type="dxa"/>
            <w:vAlign w:val="bottom"/>
          </w:tcPr>
          <w:p>
            <w:pPr>
              <w:spacing w:after="0"/>
              <w:rPr>
                <w:sz w:val="21"/>
                <w:szCs w:val="21"/>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7"/>
              </w:rPr>
              <w:t>3.50%</w:t>
            </w:r>
          </w:p>
        </w:tc>
        <w:tc>
          <w:tcPr>
            <w:tcW w:w="0" w:type="dxa"/>
            <w:vAlign w:val="bottom"/>
          </w:tcPr>
          <w:p>
            <w:pPr>
              <w:spacing w:after="0"/>
              <w:rPr>
                <w:sz w:val="1"/>
                <w:szCs w:val="1"/>
                <w:color w:val="auto"/>
              </w:rPr>
            </w:pPr>
          </w:p>
        </w:tc>
      </w:tr>
      <w:tr>
        <w:trPr>
          <w:trHeight w:val="133"/>
        </w:trPr>
        <w:tc>
          <w:tcPr>
            <w:tcW w:w="2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9"/>
                <w:szCs w:val="19"/>
                <w:color w:val="auto"/>
              </w:rPr>
              <w:t>&lt; 3.00:1.00</w:t>
            </w:r>
          </w:p>
        </w:tc>
        <w:tc>
          <w:tcPr>
            <w:tcW w:w="84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16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380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3.00:1.00</w:t>
            </w:r>
          </w:p>
        </w:tc>
        <w:tc>
          <w:tcPr>
            <w:tcW w:w="2280" w:type="dxa"/>
            <w:vAlign w:val="bottom"/>
            <w:gridSpan w:val="2"/>
          </w:tcPr>
          <w:p>
            <w:pPr>
              <w:jc w:val="center"/>
              <w:ind w:left="765"/>
              <w:spacing w:after="0"/>
              <w:rPr>
                <w:sz w:val="20"/>
                <w:szCs w:val="20"/>
                <w:color w:val="auto"/>
              </w:rPr>
            </w:pPr>
            <w:r>
              <w:rPr>
                <w:rFonts w:ascii="Times New Roman" w:cs="Times New Roman" w:eastAsia="Times New Roman" w:hAnsi="Times New Roman"/>
                <w:sz w:val="19"/>
                <w:szCs w:val="19"/>
                <w:color w:val="auto"/>
              </w:rPr>
              <w:t>4.75%</w:t>
            </w:r>
          </w:p>
        </w:tc>
        <w:tc>
          <w:tcPr>
            <w:tcW w:w="16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3.75%</w:t>
            </w:r>
          </w:p>
        </w:tc>
        <w:tc>
          <w:tcPr>
            <w:tcW w:w="0" w:type="dxa"/>
            <w:vAlign w:val="bottom"/>
          </w:tcPr>
          <w:p>
            <w:pPr>
              <w:spacing w:after="0"/>
              <w:rPr>
                <w:sz w:val="1"/>
                <w:szCs w:val="1"/>
                <w:color w:val="auto"/>
              </w:rPr>
            </w:pPr>
          </w:p>
        </w:tc>
      </w:tr>
      <w:tr>
        <w:trPr>
          <w:trHeight w:val="873"/>
        </w:trPr>
        <w:tc>
          <w:tcPr>
            <w:tcW w:w="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gridSpan w:val="2"/>
          </w:tcPr>
          <w:p>
            <w:pPr>
              <w:jc w:val="right"/>
              <w:ind w:right="925"/>
              <w:spacing w:after="0"/>
              <w:rPr>
                <w:sz w:val="20"/>
                <w:szCs w:val="20"/>
                <w:color w:val="auto"/>
              </w:rPr>
            </w:pPr>
            <w:r>
              <w:rPr>
                <w:rFonts w:ascii="Times New Roman" w:cs="Times New Roman" w:eastAsia="Times New Roman" w:hAnsi="Times New Roman"/>
                <w:sz w:val="19"/>
                <w:szCs w:val="19"/>
                <w:color w:val="auto"/>
              </w:rPr>
              <w:t>3</w:t>
            </w: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940" w:top="1354" w:right="339" w:bottom="1440" w:gutter="0" w:footer="0" w:header="0"/>
        </w:sectPr>
      </w:pPr>
    </w:p>
    <w:bookmarkStart w:id="135" w:name="page136"/>
    <w:bookmarkEnd w:id="135"/>
    <w:p>
      <w:pPr>
        <w:spacing w:after="0" w:line="253" w:lineRule="exact"/>
        <w:rPr>
          <w:sz w:val="20"/>
          <w:szCs w:val="20"/>
          <w:color w:val="auto"/>
        </w:rPr>
      </w:pPr>
    </w:p>
    <w:tbl>
      <w:tblPr>
        <w:tblLayout w:type="fixed"/>
        <w:tblInd w:w="620" w:type="dxa"/>
        <w:tblCellMar>
          <w:top w:w="0" w:type="dxa"/>
          <w:left w:w="0" w:type="dxa"/>
          <w:bottom w:w="0" w:type="dxa"/>
          <w:right w:w="0" w:type="dxa"/>
        </w:tblCellMar>
      </w:tblPr>
      <w:tr>
        <w:trPr>
          <w:trHeight w:val="250"/>
        </w:trPr>
        <w:tc>
          <w:tcPr>
            <w:tcW w:w="43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SWINGLINE LOANS</w:t>
            </w:r>
          </w:p>
        </w:tc>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7"/>
        </w:trPr>
        <w:tc>
          <w:tcPr>
            <w:tcW w:w="74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w w:val="99"/>
              </w:rPr>
              <w:t>Consolidated Leverage Ratio</w:t>
            </w:r>
          </w:p>
        </w:tc>
        <w:tc>
          <w:tcPr>
            <w:tcW w:w="1420" w:type="dxa"/>
            <w:vAlign w:val="bottom"/>
          </w:tcPr>
          <w:p>
            <w:pPr>
              <w:spacing w:after="0"/>
              <w:rPr>
                <w:sz w:val="24"/>
                <w:szCs w:val="24"/>
                <w:color w:val="auto"/>
              </w:rPr>
            </w:pPr>
          </w:p>
        </w:tc>
        <w:tc>
          <w:tcPr>
            <w:tcW w:w="2700" w:type="dxa"/>
            <w:vAlign w:val="bottom"/>
            <w:gridSpan w:val="2"/>
          </w:tcPr>
          <w:p>
            <w:pPr>
              <w:jc w:val="center"/>
              <w:ind w:left="1325"/>
              <w:spacing w:after="0"/>
              <w:rPr>
                <w:sz w:val="20"/>
                <w:szCs w:val="20"/>
                <w:color w:val="auto"/>
              </w:rPr>
            </w:pPr>
            <w:r>
              <w:rPr>
                <w:rFonts w:ascii="Times New Roman" w:cs="Times New Roman" w:eastAsia="Times New Roman" w:hAnsi="Times New Roman"/>
                <w:sz w:val="19"/>
                <w:szCs w:val="19"/>
                <w:color w:val="auto"/>
                <w:w w:val="99"/>
              </w:rPr>
              <w:t>Swingline Loans</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960" w:type="dxa"/>
            <w:vAlign w:val="bottom"/>
            <w:gridSpan w:val="2"/>
          </w:tcPr>
          <w:p>
            <w:pPr>
              <w:ind w:left="700"/>
              <w:spacing w:after="0"/>
              <w:rPr>
                <w:sz w:val="20"/>
                <w:szCs w:val="20"/>
                <w:color w:val="auto"/>
              </w:rPr>
            </w:pPr>
            <w:r>
              <w:rPr>
                <w:rFonts w:ascii="Times New Roman" w:cs="Times New Roman" w:eastAsia="Times New Roman" w:hAnsi="Times New Roman"/>
                <w:sz w:val="19"/>
                <w:szCs w:val="19"/>
                <w:color w:val="auto"/>
              </w:rPr>
              <w:t>&lt; 1.00:1.00</w:t>
            </w:r>
          </w:p>
        </w:tc>
        <w:tc>
          <w:tcPr>
            <w:tcW w:w="1420" w:type="dxa"/>
            <w:vAlign w:val="bottom"/>
          </w:tcPr>
          <w:p>
            <w:pPr>
              <w:spacing w:after="0"/>
              <w:rPr>
                <w:sz w:val="24"/>
                <w:szCs w:val="24"/>
                <w:color w:val="auto"/>
              </w:rPr>
            </w:pPr>
          </w:p>
        </w:tc>
        <w:tc>
          <w:tcPr>
            <w:tcW w:w="2700" w:type="dxa"/>
            <w:vAlign w:val="bottom"/>
            <w:gridSpan w:val="2"/>
          </w:tcPr>
          <w:p>
            <w:pPr>
              <w:jc w:val="center"/>
              <w:ind w:left="1325"/>
              <w:spacing w:after="0"/>
              <w:rPr>
                <w:sz w:val="20"/>
                <w:szCs w:val="20"/>
                <w:color w:val="auto"/>
              </w:rPr>
            </w:pPr>
            <w:r>
              <w:rPr>
                <w:rFonts w:ascii="Times New Roman" w:cs="Times New Roman" w:eastAsia="Times New Roman" w:hAnsi="Times New Roman"/>
                <w:sz w:val="19"/>
                <w:szCs w:val="19"/>
                <w:color w:val="auto"/>
                <w:w w:val="97"/>
              </w:rPr>
              <w:t>3.25%</w:t>
            </w:r>
          </w:p>
        </w:tc>
        <w:tc>
          <w:tcPr>
            <w:tcW w:w="0" w:type="dxa"/>
            <w:vAlign w:val="bottom"/>
          </w:tcPr>
          <w:p>
            <w:pPr>
              <w:spacing w:after="0"/>
              <w:rPr>
                <w:sz w:val="1"/>
                <w:szCs w:val="1"/>
                <w:color w:val="auto"/>
              </w:rPr>
            </w:pPr>
          </w:p>
        </w:tc>
      </w:tr>
      <w:tr>
        <w:trPr>
          <w:trHeight w:val="258"/>
        </w:trPr>
        <w:tc>
          <w:tcPr>
            <w:tcW w:w="438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1.00:1.00 but</w:t>
            </w:r>
          </w:p>
        </w:tc>
        <w:tc>
          <w:tcPr>
            <w:tcW w:w="2700" w:type="dxa"/>
            <w:vAlign w:val="bottom"/>
            <w:gridSpan w:val="2"/>
            <w:vMerge w:val="restart"/>
          </w:tcPr>
          <w:p>
            <w:pPr>
              <w:jc w:val="center"/>
              <w:ind w:left="1325"/>
              <w:spacing w:after="0"/>
              <w:rPr>
                <w:sz w:val="20"/>
                <w:szCs w:val="20"/>
                <w:color w:val="auto"/>
              </w:rPr>
            </w:pPr>
            <w:r>
              <w:rPr>
                <w:rFonts w:ascii="Times New Roman" w:cs="Times New Roman" w:eastAsia="Times New Roman" w:hAnsi="Times New Roman"/>
                <w:sz w:val="19"/>
                <w:szCs w:val="19"/>
                <w:color w:val="auto"/>
                <w:w w:val="97"/>
              </w:rPr>
              <w:t>3.50%</w:t>
            </w:r>
          </w:p>
        </w:tc>
        <w:tc>
          <w:tcPr>
            <w:tcW w:w="0" w:type="dxa"/>
            <w:vAlign w:val="bottom"/>
          </w:tcPr>
          <w:p>
            <w:pPr>
              <w:spacing w:after="0"/>
              <w:rPr>
                <w:sz w:val="1"/>
                <w:szCs w:val="1"/>
                <w:color w:val="auto"/>
              </w:rPr>
            </w:pPr>
          </w:p>
        </w:tc>
      </w:tr>
      <w:tr>
        <w:trPr>
          <w:trHeight w:val="146"/>
        </w:trPr>
        <w:tc>
          <w:tcPr>
            <w:tcW w:w="2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9"/>
                <w:szCs w:val="19"/>
                <w:color w:val="auto"/>
              </w:rPr>
              <w:t>&lt; 2.00:1.00</w:t>
            </w:r>
          </w:p>
        </w:tc>
        <w:tc>
          <w:tcPr>
            <w:tcW w:w="1420" w:type="dxa"/>
            <w:vAlign w:val="bottom"/>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96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438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2.00:1.00</w:t>
            </w:r>
          </w:p>
        </w:tc>
        <w:tc>
          <w:tcPr>
            <w:tcW w:w="2700" w:type="dxa"/>
            <w:vAlign w:val="bottom"/>
            <w:gridSpan w:val="2"/>
          </w:tcPr>
          <w:p>
            <w:pPr>
              <w:jc w:val="center"/>
              <w:ind w:left="1325"/>
              <w:spacing w:after="0"/>
              <w:rPr>
                <w:sz w:val="20"/>
                <w:szCs w:val="20"/>
                <w:color w:val="auto"/>
              </w:rPr>
            </w:pPr>
            <w:r>
              <w:rPr>
                <w:rFonts w:ascii="Times New Roman" w:cs="Times New Roman" w:eastAsia="Times New Roman" w:hAnsi="Times New Roman"/>
                <w:sz w:val="19"/>
                <w:szCs w:val="19"/>
                <w:color w:val="auto"/>
                <w:w w:val="97"/>
              </w:rPr>
              <w:t>3.75%</w:t>
            </w:r>
          </w:p>
        </w:tc>
        <w:tc>
          <w:tcPr>
            <w:tcW w:w="0" w:type="dxa"/>
            <w:vAlign w:val="bottom"/>
          </w:tcPr>
          <w:p>
            <w:pPr>
              <w:spacing w:after="0"/>
              <w:rPr>
                <w:sz w:val="1"/>
                <w:szCs w:val="1"/>
                <w:color w:val="auto"/>
              </w:rPr>
            </w:pPr>
          </w:p>
        </w:tc>
      </w:tr>
      <w:tr>
        <w:trPr>
          <w:trHeight w:val="560"/>
        </w:trPr>
        <w:tc>
          <w:tcPr>
            <w:tcW w:w="43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LETTERS OF CREDIT</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4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w w:val="99"/>
              </w:rPr>
              <w:t>Consolidated Leverage Ratio</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Letters of Credit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960" w:type="dxa"/>
            <w:vAlign w:val="bottom"/>
            <w:gridSpan w:val="2"/>
          </w:tcPr>
          <w:p>
            <w:pPr>
              <w:ind w:left="700"/>
              <w:spacing w:after="0"/>
              <w:rPr>
                <w:sz w:val="20"/>
                <w:szCs w:val="20"/>
                <w:color w:val="auto"/>
              </w:rPr>
            </w:pPr>
            <w:r>
              <w:rPr>
                <w:rFonts w:ascii="Times New Roman" w:cs="Times New Roman" w:eastAsia="Times New Roman" w:hAnsi="Times New Roman"/>
                <w:sz w:val="19"/>
                <w:szCs w:val="19"/>
                <w:color w:val="auto"/>
              </w:rPr>
              <w:t>&lt; 2.00:1.00</w:t>
            </w:r>
          </w:p>
        </w:tc>
        <w:tc>
          <w:tcPr>
            <w:tcW w:w="1420" w:type="dxa"/>
            <w:vAlign w:val="bottom"/>
          </w:tcPr>
          <w:p>
            <w:pPr>
              <w:spacing w:after="0"/>
              <w:rPr>
                <w:sz w:val="24"/>
                <w:szCs w:val="24"/>
                <w:color w:val="auto"/>
              </w:rPr>
            </w:pPr>
          </w:p>
        </w:tc>
        <w:tc>
          <w:tcPr>
            <w:tcW w:w="2700" w:type="dxa"/>
            <w:vAlign w:val="bottom"/>
            <w:gridSpan w:val="2"/>
          </w:tcPr>
          <w:p>
            <w:pPr>
              <w:jc w:val="center"/>
              <w:ind w:left="1325"/>
              <w:spacing w:after="0"/>
              <w:rPr>
                <w:sz w:val="20"/>
                <w:szCs w:val="20"/>
                <w:color w:val="auto"/>
              </w:rPr>
            </w:pPr>
            <w:r>
              <w:rPr>
                <w:rFonts w:ascii="Times New Roman" w:cs="Times New Roman" w:eastAsia="Times New Roman" w:hAnsi="Times New Roman"/>
                <w:sz w:val="19"/>
                <w:szCs w:val="19"/>
                <w:color w:val="auto"/>
                <w:w w:val="97"/>
              </w:rPr>
              <w:t>4.25%</w:t>
            </w:r>
          </w:p>
        </w:tc>
        <w:tc>
          <w:tcPr>
            <w:tcW w:w="0" w:type="dxa"/>
            <w:vAlign w:val="bottom"/>
          </w:tcPr>
          <w:p>
            <w:pPr>
              <w:spacing w:after="0"/>
              <w:rPr>
                <w:sz w:val="1"/>
                <w:szCs w:val="1"/>
                <w:color w:val="auto"/>
              </w:rPr>
            </w:pPr>
          </w:p>
        </w:tc>
      </w:tr>
      <w:tr>
        <w:trPr>
          <w:trHeight w:val="271"/>
        </w:trPr>
        <w:tc>
          <w:tcPr>
            <w:tcW w:w="438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2.00:1.00 but</w:t>
            </w:r>
          </w:p>
        </w:tc>
        <w:tc>
          <w:tcPr>
            <w:tcW w:w="2700" w:type="dxa"/>
            <w:vAlign w:val="bottom"/>
            <w:gridSpan w:val="2"/>
            <w:vMerge w:val="restart"/>
          </w:tcPr>
          <w:p>
            <w:pPr>
              <w:jc w:val="center"/>
              <w:ind w:left="1325"/>
              <w:spacing w:after="0"/>
              <w:rPr>
                <w:sz w:val="20"/>
                <w:szCs w:val="20"/>
                <w:color w:val="auto"/>
              </w:rPr>
            </w:pPr>
            <w:r>
              <w:rPr>
                <w:rFonts w:ascii="Times New Roman" w:cs="Times New Roman" w:eastAsia="Times New Roman" w:hAnsi="Times New Roman"/>
                <w:sz w:val="19"/>
                <w:szCs w:val="19"/>
                <w:color w:val="auto"/>
                <w:w w:val="97"/>
              </w:rPr>
              <w:t>4.50%</w:t>
            </w:r>
          </w:p>
        </w:tc>
        <w:tc>
          <w:tcPr>
            <w:tcW w:w="0" w:type="dxa"/>
            <w:vAlign w:val="bottom"/>
          </w:tcPr>
          <w:p>
            <w:pPr>
              <w:spacing w:after="0"/>
              <w:rPr>
                <w:sz w:val="1"/>
                <w:szCs w:val="1"/>
                <w:color w:val="auto"/>
              </w:rPr>
            </w:pPr>
          </w:p>
        </w:tc>
      </w:tr>
      <w:tr>
        <w:trPr>
          <w:trHeight w:val="133"/>
        </w:trPr>
        <w:tc>
          <w:tcPr>
            <w:tcW w:w="29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9"/>
                <w:szCs w:val="19"/>
                <w:color w:val="auto"/>
              </w:rPr>
              <w:t>&lt; 3.00:1.00</w:t>
            </w:r>
          </w:p>
        </w:tc>
        <w:tc>
          <w:tcPr>
            <w:tcW w:w="1420" w:type="dxa"/>
            <w:vAlign w:val="bottom"/>
          </w:tcPr>
          <w:p>
            <w:pPr>
              <w:spacing w:after="0"/>
              <w:rPr>
                <w:sz w:val="11"/>
                <w:szCs w:val="11"/>
                <w:color w:val="auto"/>
              </w:rPr>
            </w:pPr>
          </w:p>
        </w:tc>
        <w:tc>
          <w:tcPr>
            <w:tcW w:w="2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960" w:type="dxa"/>
            <w:vAlign w:val="bottom"/>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4380" w:type="dxa"/>
            <w:vAlign w:val="bottom"/>
            <w:gridSpan w:val="3"/>
          </w:tcPr>
          <w:p>
            <w:pPr>
              <w:ind w:left="700"/>
              <w:spacing w:after="0"/>
              <w:rPr>
                <w:sz w:val="20"/>
                <w:szCs w:val="20"/>
                <w:color w:val="auto"/>
              </w:rPr>
            </w:pPr>
            <w:r>
              <w:rPr>
                <w:rFonts w:ascii="Times New Roman" w:cs="Times New Roman" w:eastAsia="Times New Roman" w:hAnsi="Times New Roman"/>
                <w:sz w:val="19"/>
                <w:szCs w:val="19"/>
                <w:color w:val="auto"/>
              </w:rPr>
              <w:t>≥ 3.00:1.00</w:t>
            </w:r>
          </w:p>
        </w:tc>
        <w:tc>
          <w:tcPr>
            <w:tcW w:w="2700" w:type="dxa"/>
            <w:vAlign w:val="bottom"/>
            <w:gridSpan w:val="2"/>
          </w:tcPr>
          <w:p>
            <w:pPr>
              <w:jc w:val="center"/>
              <w:ind w:left="1325"/>
              <w:spacing w:after="0"/>
              <w:rPr>
                <w:sz w:val="20"/>
                <w:szCs w:val="20"/>
                <w:color w:val="auto"/>
              </w:rPr>
            </w:pPr>
            <w:r>
              <w:rPr>
                <w:rFonts w:ascii="Times New Roman" w:cs="Times New Roman" w:eastAsia="Times New Roman" w:hAnsi="Times New Roman"/>
                <w:sz w:val="19"/>
                <w:szCs w:val="19"/>
                <w:color w:val="auto"/>
                <w:w w:val="97"/>
              </w:rPr>
              <w:t>4.75%</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firstLine="625"/>
        <w:spacing w:after="0" w:line="256" w:lineRule="auto"/>
        <w:rPr>
          <w:sz w:val="20"/>
          <w:szCs w:val="20"/>
          <w:color w:val="auto"/>
        </w:rPr>
      </w:pPr>
      <w:r>
        <w:rPr>
          <w:rFonts w:ascii="Times New Roman" w:cs="Times New Roman" w:eastAsia="Times New Roman" w:hAnsi="Times New Roman"/>
          <w:sz w:val="19"/>
          <w:szCs w:val="19"/>
          <w:color w:val="auto"/>
        </w:rPr>
        <w:t xml:space="preserve">Notwithstanding the foregoing, (a) until the delivery of the Compliance Certificate required to be delivered pursuant to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xml:space="preserve"> in connection with the delivery of the consolidated financial statements required to be delivered to the Administrative Agent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6.1(b)</w:t>
      </w:r>
      <w:r>
        <w:rPr>
          <w:rFonts w:ascii="Times New Roman" w:cs="Times New Roman" w:eastAsia="Times New Roman" w:hAnsi="Times New Roman"/>
          <w:sz w:val="19"/>
          <w:szCs w:val="19"/>
          <w:color w:val="auto"/>
        </w:rPr>
        <w:t xml:space="preserve"> in respect of the Fiscal Quarter of the Borrower ending March 31, 2025, the Applicable Margin shall be the rates corresponding to a Consolidated Leverage Ratio of 3.00:1.00 in the foregoing tables, (b) if the financial statements required by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and the related Compliance Certificate required by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xml:space="preserve"> are not delivered by the respective date required thereunder after the end of any related Fiscal Quarter of the Borrower, the Applicable Margin shall be the rates corresponding to the Consolidated Leverage Ratio of 3.00:1.00 in the foregoing table until such financial statements and Compliance Certificate are delivered, and (c) no reduction to the Applicable Margin shall become effective at any time when an Event of Default has occurred and is continuing.</w:t>
      </w:r>
    </w:p>
    <w:p>
      <w:pPr>
        <w:spacing w:after="0" w:line="167" w:lineRule="exact"/>
        <w:rPr>
          <w:sz w:val="20"/>
          <w:szCs w:val="20"/>
          <w:color w:val="auto"/>
        </w:rPr>
      </w:pPr>
    </w:p>
    <w:p>
      <w:pPr>
        <w:jc w:val="both"/>
        <w:ind w:firstLine="625"/>
        <w:spacing w:after="0" w:line="258" w:lineRule="auto"/>
        <w:rPr>
          <w:sz w:val="20"/>
          <w:szCs w:val="20"/>
          <w:color w:val="auto"/>
        </w:rPr>
      </w:pPr>
      <w:r>
        <w:rPr>
          <w:rFonts w:ascii="Times New Roman" w:cs="Times New Roman" w:eastAsia="Times New Roman" w:hAnsi="Times New Roman"/>
          <w:sz w:val="19"/>
          <w:szCs w:val="19"/>
          <w:color w:val="auto"/>
        </w:rPr>
        <w:t>If, as a result of any restatement of or other adjustment to the financial statements of the Loan Parties or for any other reason, the Administrative Agent reasonable determines that (x) the Consolidated Leverage Ratio as calculated by the Borrower as of any applicable date was inaccurate and (y) a proper calculation of the Consolidated Leverage Ratio would have resulted in different pricing for any period, then (i) if the proper calculation of the Consolidated Leverage Ratio would have resulted in higher pricing for such period, the Borrower shall automatically and retroactively be obligated to pay to the Administrative Agent, for the benefit of the applicable Lenders, promptly on demand by the Administrative Agent, an amount equal to the excess of the amount of interest and fees that should have been paid for such period over the amount of interest and fees actually paid for such period; and (ii) if the proper calculation of the Consolidated Leverage Ratio would have resulted in lower pricing for such period, neither the Administrative Agent nor any Lender shall have any obligation to repay any interest or fees to the Borrower.</w:t>
      </w:r>
    </w:p>
    <w:p>
      <w:pPr>
        <w:spacing w:after="0" w:line="149"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Application</w:t>
      </w:r>
      <w:r>
        <w:rPr>
          <w:rFonts w:ascii="Times New Roman" w:cs="Times New Roman" w:eastAsia="Times New Roman" w:hAnsi="Times New Roman"/>
          <w:sz w:val="19"/>
          <w:szCs w:val="19"/>
          <w:color w:val="auto"/>
        </w:rPr>
        <w:t>” means an application, in such form as the Issuing Lender may specify from time to time, requesting the Issuing Lender to issue a Letter of Credit.</w:t>
      </w:r>
    </w:p>
    <w:p>
      <w:pPr>
        <w:spacing w:after="0" w:line="125"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Approved Fund</w:t>
      </w:r>
      <w:r>
        <w:rPr>
          <w:rFonts w:ascii="Times New Roman" w:cs="Times New Roman" w:eastAsia="Times New Roman" w:hAnsi="Times New Roman"/>
          <w:sz w:val="19"/>
          <w:szCs w:val="19"/>
          <w:color w:val="auto"/>
        </w:rPr>
        <w:t>” means any Fund that is administered or managed by (a) a Lender, (b) an Affiliate of a Lender, or (c) an entity or an Affiliate of an entity that administers or manages a Lender.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136" w:name="page137"/>
    <w:bookmarkEnd w:id="136"/>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Asset Sale</w:t>
      </w:r>
      <w:r>
        <w:rPr>
          <w:rFonts w:ascii="Times New Roman" w:cs="Times New Roman" w:eastAsia="Times New Roman" w:hAnsi="Times New Roman"/>
          <w:sz w:val="19"/>
          <w:szCs w:val="19"/>
          <w:color w:val="auto"/>
        </w:rPr>
        <w:t>” means any Disposition of property or series of related Dispositions of property (excluding any such Disposition of property</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permitted by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(p)</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that yields gross proceeds to any Group Member (valued at the initial principal amount thereof in the case of non-cash proceeds consisting of notes or other debt securities and valued at fair market value in the case of other non-cash proceeds)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excess of $500,000.</w:t>
      </w:r>
    </w:p>
    <w:p>
      <w:pPr>
        <w:spacing w:after="0" w:line="159"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Assignment and Assumption</w:t>
      </w:r>
      <w:r>
        <w:rPr>
          <w:rFonts w:ascii="Times New Roman" w:cs="Times New Roman" w:eastAsia="Times New Roman" w:hAnsi="Times New Roman"/>
          <w:sz w:val="19"/>
          <w:szCs w:val="19"/>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and accepted by the Administrative Agent, in substantially the form of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xml:space="preserve"> 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form approved by the Administrative Agent.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Authorization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4.26(b)</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Available Revolving Commitment</w:t>
      </w:r>
      <w:r>
        <w:rPr>
          <w:rFonts w:ascii="Times New Roman" w:cs="Times New Roman" w:eastAsia="Times New Roman" w:hAnsi="Times New Roman"/>
          <w:sz w:val="19"/>
          <w:szCs w:val="19"/>
          <w:color w:val="auto"/>
        </w:rPr>
        <w:t xml:space="preserve">” means at any time, an amount equal to (a) the Total Revolving Commitments in effect at such time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aggregate undrawn amount of all outstanding Letters of Credit at such time,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(c) the aggregate amount of all L/C</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Disbursements that have not yet been reimbursed or converted into Revolving Loans at such time,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(d) the aggregate principal balance of any Revolving Loans outstanding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calculating any Lender’s Revolving Extensions of Credit for the purpose</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 xml:space="preserve">of determining such Lender’s Available Revolving Commitment pursuant to </w:t>
      </w:r>
      <w:r>
        <w:rPr>
          <w:rFonts w:ascii="Times New Roman" w:cs="Times New Roman" w:eastAsia="Times New Roman" w:hAnsi="Times New Roman"/>
          <w:sz w:val="19"/>
          <w:szCs w:val="19"/>
          <w:u w:val="single" w:color="auto"/>
          <w:color w:val="auto"/>
        </w:rPr>
        <w:t>Section 2.9(b)</w:t>
      </w:r>
      <w:r>
        <w:rPr>
          <w:rFonts w:ascii="Times New Roman" w:cs="Times New Roman" w:eastAsia="Times New Roman" w:hAnsi="Times New Roman"/>
          <w:sz w:val="19"/>
          <w:szCs w:val="19"/>
          <w:color w:val="auto"/>
        </w:rPr>
        <w:t>, the aggregate principal amount of Swingline Loans then outstanding shall be deemed to be zero.</w:t>
      </w:r>
    </w:p>
    <w:p>
      <w:pPr>
        <w:spacing w:after="0" w:line="138"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Available Tenor</w:t>
      </w:r>
      <w:r>
        <w:rPr>
          <w:rFonts w:ascii="Times New Roman" w:cs="Times New Roman" w:eastAsia="Times New Roman" w:hAnsi="Times New Roman"/>
          <w:sz w:val="19"/>
          <w:szCs w:val="19"/>
          <w:color w:val="auto"/>
        </w:rPr>
        <w:t>” means, as of any date of determination and with respect to the then-current Benchmark, as applicable, (x) if such Benchmark is a term rate, any tenor for such Benchmark (or component thereof) that is or may be used for determining the length of an interest</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period (if applicable) pursuant to this Agreement or (y) otherwise, any payment period for interest calculated with reference to such Benchmark (or component thereof) that is or may be used for determining any frequency of making payments of interest calculated with reference to such</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 xml:space="preserve">Benchmark pursuant to this Agreement, in each case, as of such date and not including, for the avoidance of doubt, any tenor for such Benchmark that is then-removed from the definition of “Interest Period” (if applicable) pursuant to </w:t>
      </w:r>
      <w:r>
        <w:rPr>
          <w:rFonts w:ascii="Times New Roman" w:cs="Times New Roman" w:eastAsia="Times New Roman" w:hAnsi="Times New Roman"/>
          <w:sz w:val="19"/>
          <w:szCs w:val="19"/>
          <w:u w:val="single" w:color="auto"/>
          <w:color w:val="auto"/>
        </w:rPr>
        <w:t>Section 2.17(b)(iv)</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Bankruptcy Code</w:t>
      </w:r>
      <w:r>
        <w:rPr>
          <w:rFonts w:ascii="Times New Roman" w:cs="Times New Roman" w:eastAsia="Times New Roman" w:hAnsi="Times New Roman"/>
          <w:sz w:val="19"/>
          <w:szCs w:val="19"/>
          <w:color w:val="auto"/>
        </w:rPr>
        <w:t>” means Title 11 of the United States Code entitled “Bankruptcy.”</w:t>
      </w:r>
    </w:p>
    <w:p>
      <w:pPr>
        <w:spacing w:after="0" w:line="185"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w:t>
      </w:r>
      <w:r>
        <w:rPr>
          <w:rFonts w:ascii="Times New Roman" w:cs="Times New Roman" w:eastAsia="Times New Roman" w:hAnsi="Times New Roman"/>
          <w:sz w:val="19"/>
          <w:szCs w:val="19"/>
          <w:color w:val="auto"/>
        </w:rPr>
        <w:t xml:space="preserve">” means Term SOFR;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 the Term SOFR Reference Rate or the then-current Benchmark, then “Benchmark” means the applicable Benchmark Replacement to the extent that such Benchmark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Replacement has replaced such prior benchmark rate pursuant to </w:t>
      </w:r>
      <w:r>
        <w:rPr>
          <w:rFonts w:ascii="Times New Roman" w:cs="Times New Roman" w:eastAsia="Times New Roman" w:hAnsi="Times New Roman"/>
          <w:sz w:val="19"/>
          <w:szCs w:val="19"/>
          <w:u w:val="single" w:color="auto"/>
          <w:color w:val="auto"/>
        </w:rPr>
        <w:t>Section 2.17(b)(i)</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Replacement</w:t>
      </w:r>
      <w:r>
        <w:rPr>
          <w:rFonts w:ascii="Times New Roman" w:cs="Times New Roman" w:eastAsia="Times New Roman" w:hAnsi="Times New Roman"/>
          <w:sz w:val="19"/>
          <w:szCs w:val="19"/>
          <w:color w:val="auto"/>
        </w:rPr>
        <w:t>” means, with respect to any Benchmark Transition Event, the first alternative set forth in the order below that can be determined by the Administrative Agent for the applicable Benchmark Replacement Date:</w:t>
      </w:r>
    </w:p>
    <w:p>
      <w:pPr>
        <w:spacing w:after="0" w:line="155" w:lineRule="exact"/>
        <w:rPr>
          <w:sz w:val="20"/>
          <w:szCs w:val="20"/>
          <w:color w:val="auto"/>
        </w:rPr>
      </w:pPr>
    </w:p>
    <w:p>
      <w:pPr>
        <w:ind w:left="1880" w:hanging="626"/>
        <w:spacing w:after="0"/>
        <w:tabs>
          <w:tab w:leader="none" w:pos="188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(i) Daily Simple SOFR and (ii) the related Benchmark Replacement Adjustment; or</w:t>
      </w:r>
    </w:p>
    <w:p>
      <w:pPr>
        <w:spacing w:after="0" w:line="185"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3"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w:t>
      </w:r>
    </w:p>
    <w:p>
      <w:pPr>
        <w:spacing w:after="0" w:line="154" w:lineRule="exact"/>
        <w:rPr>
          <w:sz w:val="20"/>
          <w:szCs w:val="20"/>
          <w:color w:val="auto"/>
        </w:rPr>
      </w:pPr>
    </w:p>
    <w:p>
      <w:pPr>
        <w:ind w:firstLine="625"/>
        <w:spacing w:after="0" w:line="292" w:lineRule="auto"/>
        <w:rPr>
          <w:sz w:val="20"/>
          <w:szCs w:val="20"/>
          <w:color w:val="auto"/>
        </w:rPr>
      </w:pPr>
      <w:r>
        <w:rPr>
          <w:rFonts w:ascii="Times New Roman" w:cs="Times New Roman" w:eastAsia="Times New Roman" w:hAnsi="Times New Roman"/>
          <w:sz w:val="19"/>
          <w:szCs w:val="19"/>
          <w:color w:val="auto"/>
        </w:rPr>
        <w:t xml:space="preserve">If the Benchmark Replacement as determined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would be less than the Floor, the Benchmark Replacement will be deemed to be the Floor for the purposes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50" w:right="339" w:bottom="1440" w:gutter="0" w:footer="0" w:header="0"/>
        </w:sectPr>
      </w:pPr>
    </w:p>
    <w:bookmarkStart w:id="137" w:name="page138"/>
    <w:bookmarkEnd w:id="137"/>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Replacement Adjustment</w:t>
      </w:r>
      <w:r>
        <w:rPr>
          <w:rFonts w:ascii="Times New Roman" w:cs="Times New Roman" w:eastAsia="Times New Roman" w:hAnsi="Times New Roman"/>
          <w:sz w:val="19"/>
          <w:szCs w:val="19"/>
          <w:color w:val="auto"/>
        </w:rPr>
        <w:t>” means, with respect to any replacement of the then current Benchmark with an Unadjusted</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Benchmark Replacement, the spread adjustment, or method for calculating or determining such spread adjustment (which may be a positive or negative value or zero) that has been selected by the Administrative Agent and the Borrower giving due consideration to (a) any selection or</w:t>
      </w:r>
    </w:p>
    <w:p>
      <w:pPr>
        <w:spacing w:after="0" w:line="215" w:lineRule="auto"/>
        <w:rPr>
          <w:sz w:val="20"/>
          <w:szCs w:val="20"/>
          <w:color w:val="auto"/>
        </w:rPr>
      </w:pPr>
      <w:r>
        <w:rPr>
          <w:rFonts w:ascii="Times New Roman" w:cs="Times New Roman" w:eastAsia="Times New Roman" w:hAnsi="Times New Roman"/>
          <w:sz w:val="19"/>
          <w:szCs w:val="19"/>
          <w:color w:val="auto"/>
        </w:rPr>
        <w:t>recommendation of a spread adjustment, or method for calculating or determining such spread adjustment, for the replacement of such Benchmark</w:t>
      </w:r>
    </w:p>
    <w:p>
      <w:pPr>
        <w:spacing w:after="0" w:line="207" w:lineRule="auto"/>
        <w:rPr>
          <w:sz w:val="20"/>
          <w:szCs w:val="20"/>
          <w:color w:val="auto"/>
        </w:rPr>
      </w:pPr>
      <w:r>
        <w:rPr>
          <w:rFonts w:ascii="Times New Roman" w:cs="Times New Roman" w:eastAsia="Times New Roman" w:hAnsi="Times New Roman"/>
          <w:sz w:val="19"/>
          <w:szCs w:val="19"/>
          <w:color w:val="auto"/>
        </w:rPr>
        <w:t>with the applicable Unadjusted Benchmark Replacement by the Relevant Governmental Body or (b) any evolving or then-prevailing market convention for determining a spread adjustment, or method for calculating or determining such spread adjustment, for the replacement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Benchmark with the applicable Unadjusted Benchmark Replacement for Dollar-denominated syndicated credit facilities at such time.</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Replacement Date</w:t>
      </w:r>
      <w:r>
        <w:rPr>
          <w:rFonts w:ascii="Times New Roman" w:cs="Times New Roman" w:eastAsia="Times New Roman" w:hAnsi="Times New Roman"/>
          <w:sz w:val="19"/>
          <w:szCs w:val="19"/>
          <w:color w:val="auto"/>
        </w:rPr>
        <w:t>” means the earliest to occur of the following events with respect to the then-current Benchmark:</w:t>
      </w:r>
    </w:p>
    <w:p>
      <w:pPr>
        <w:spacing w:after="0" w:line="176" w:lineRule="exact"/>
        <w:rPr>
          <w:sz w:val="20"/>
          <w:szCs w:val="20"/>
          <w:color w:val="auto"/>
        </w:rPr>
      </w:pPr>
    </w:p>
    <w:p>
      <w:pPr>
        <w:jc w:val="both"/>
        <w:ind w:firstLine="1254"/>
        <w:spacing w:after="0" w:line="226" w:lineRule="auto"/>
        <w:tabs>
          <w:tab w:leader="none" w:pos="1866"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53"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3"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and even if any Available Tenor of such Benchmark (or such component thereof) continues to be provided on such date.</w:t>
      </w:r>
    </w:p>
    <w:p>
      <w:pPr>
        <w:spacing w:after="0" w:line="157" w:lineRule="exact"/>
        <w:rPr>
          <w:sz w:val="20"/>
          <w:szCs w:val="20"/>
          <w:color w:val="auto"/>
        </w:rPr>
      </w:pPr>
    </w:p>
    <w:p>
      <w:pPr>
        <w:jc w:val="both"/>
        <w:ind w:firstLine="625"/>
        <w:spacing w:after="0" w:line="267" w:lineRule="auto"/>
        <w:rPr>
          <w:sz w:val="20"/>
          <w:szCs w:val="20"/>
          <w:color w:val="auto"/>
        </w:rPr>
      </w:pPr>
      <w:r>
        <w:rPr>
          <w:rFonts w:ascii="Times New Roman" w:cs="Times New Roman" w:eastAsia="Times New Roman" w:hAnsi="Times New Roman"/>
          <w:sz w:val="19"/>
          <w:szCs w:val="19"/>
          <w:color w:val="auto"/>
        </w:rPr>
        <w:t xml:space="preserve">For the avoidance of doubt, the “Benchmark Replacement Date” will be deemed to have occurred in the case of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Transition Event</w:t>
      </w:r>
      <w:r>
        <w:rPr>
          <w:rFonts w:ascii="Times New Roman" w:cs="Times New Roman" w:eastAsia="Times New Roman" w:hAnsi="Times New Roman"/>
          <w:sz w:val="19"/>
          <w:szCs w:val="19"/>
          <w:color w:val="auto"/>
        </w:rPr>
        <w:t>” means the occurrence of one or more of the following events with respect to the then-current Benchmark:</w:t>
      </w:r>
    </w:p>
    <w:p>
      <w:pPr>
        <w:spacing w:after="0" w:line="189" w:lineRule="exact"/>
        <w:rPr>
          <w:sz w:val="20"/>
          <w:szCs w:val="20"/>
          <w:color w:val="auto"/>
        </w:rPr>
      </w:pPr>
    </w:p>
    <w:p>
      <w:pPr>
        <w:jc w:val="both"/>
        <w:ind w:firstLine="1254"/>
        <w:spacing w:after="0" w:line="226" w:lineRule="auto"/>
        <w:tabs>
          <w:tab w:leader="none" w:pos="1866"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w:t>
      </w:r>
    </w:p>
    <w:p>
      <w:pPr>
        <w:spacing w:after="0" w:line="140" w:lineRule="exact"/>
        <w:rPr>
          <w:rFonts w:ascii="Times New Roman" w:cs="Times New Roman" w:eastAsia="Times New Roman" w:hAnsi="Times New Roman"/>
          <w:sz w:val="19"/>
          <w:szCs w:val="19"/>
          <w:color w:val="auto"/>
        </w:rPr>
      </w:pPr>
    </w:p>
    <w:p>
      <w:pPr>
        <w:jc w:val="both"/>
        <w:ind w:firstLine="1254"/>
        <w:spacing w:after="0" w:line="218" w:lineRule="auto"/>
        <w:tabs>
          <w:tab w:leader="none" w:pos="1871"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44"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50" w:right="339" w:bottom="1440" w:gutter="0" w:footer="0" w:header="0"/>
        </w:sectPr>
      </w:pPr>
    </w:p>
    <w:bookmarkStart w:id="138" w:name="page139"/>
    <w:bookmarkEnd w:id="138"/>
    <w:p>
      <w:pPr>
        <w:jc w:val="both"/>
        <w:spacing w:after="0" w:line="249" w:lineRule="auto"/>
        <w:rPr>
          <w:sz w:val="20"/>
          <w:szCs w:val="20"/>
          <w:color w:val="auto"/>
        </w:rPr>
      </w:pPr>
      <w:r>
        <w:rPr>
          <w:rFonts w:ascii="Times New Roman" w:cs="Times New Roman" w:eastAsia="Times New Roman" w:hAnsi="Times New Roman"/>
          <w:sz w:val="19"/>
          <w:szCs w:val="19"/>
          <w:color w:val="auto"/>
        </w:rPr>
        <w:t>announcing that all Available Tenors of such Benchmark (or such component thereof) are not, or as of a specified future date will not be, representative.</w:t>
      </w:r>
    </w:p>
    <w:p>
      <w:pPr>
        <w:spacing w:after="0" w:line="133" w:lineRule="exact"/>
        <w:rPr>
          <w:sz w:val="20"/>
          <w:szCs w:val="20"/>
          <w:color w:val="auto"/>
        </w:rPr>
      </w:pPr>
    </w:p>
    <w:p>
      <w:pPr>
        <w:jc w:val="both"/>
        <w:ind w:firstLine="625"/>
        <w:spacing w:after="0" w:line="234"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38" w:lineRule="exact"/>
        <w:rPr>
          <w:sz w:val="20"/>
          <w:szCs w:val="20"/>
          <w:color w:val="auto"/>
        </w:rPr>
      </w:pPr>
    </w:p>
    <w:p>
      <w:pPr>
        <w:jc w:val="both"/>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Unavailability Period</w:t>
      </w:r>
      <w:r>
        <w:rPr>
          <w:rFonts w:ascii="Times New Roman" w:cs="Times New Roman" w:eastAsia="Times New Roman" w:hAnsi="Times New Roman"/>
          <w:sz w:val="19"/>
          <w:szCs w:val="19"/>
          <w:color w:val="auto"/>
        </w:rPr>
        <w:t>” means the period (if any) (x) beginning at the time that a Benchmark Replacement Date has occurred if, at such time, no Benchmark Replacement has replaced the then-current Benchmark for all purposes hereunder and under any Loan Document in</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 xml:space="preserve">accordance with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Benefitted Lender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10.7(a)</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Beneficial Ownership Certification</w:t>
      </w:r>
      <w:r>
        <w:rPr>
          <w:rFonts w:ascii="Times New Roman" w:cs="Times New Roman" w:eastAsia="Times New Roman" w:hAnsi="Times New Roman"/>
          <w:sz w:val="19"/>
          <w:szCs w:val="19"/>
          <w:color w:val="auto"/>
        </w:rPr>
        <w:t>” means a certification regarding beneficial ownership required by the Beneficial Ownership Regulation.</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Beneficial Ownership Regulation</w:t>
      </w:r>
      <w:r>
        <w:rPr>
          <w:rFonts w:ascii="Times New Roman" w:cs="Times New Roman" w:eastAsia="Times New Roman" w:hAnsi="Times New Roman"/>
          <w:sz w:val="19"/>
          <w:szCs w:val="19"/>
          <w:color w:val="auto"/>
        </w:rPr>
        <w:t>” means 31 C.F.R. § 1010.230.</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Blocked Person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7.23</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has the meaning set forth in the preamble hereto.</w:t>
      </w:r>
    </w:p>
    <w:p>
      <w:pPr>
        <w:spacing w:after="0" w:line="185"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Borrowing</w:t>
      </w:r>
      <w:r>
        <w:rPr>
          <w:rFonts w:ascii="Times New Roman" w:cs="Times New Roman" w:eastAsia="Times New Roman" w:hAnsi="Times New Roman"/>
          <w:sz w:val="19"/>
          <w:szCs w:val="19"/>
          <w:color w:val="auto"/>
        </w:rPr>
        <w:t>” means a borrowing consisting of simultaneous Loans of the same Type and, in the case of a SOFR Loan, having the same Interest Period made by the Lenders.</w:t>
      </w:r>
    </w:p>
    <w:p>
      <w:pPr>
        <w:spacing w:after="0" w:line="125"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Borrowing Date</w:t>
      </w:r>
      <w:r>
        <w:rPr>
          <w:rFonts w:ascii="Times New Roman" w:cs="Times New Roman" w:eastAsia="Times New Roman" w:hAnsi="Times New Roman"/>
          <w:sz w:val="19"/>
          <w:szCs w:val="19"/>
          <w:color w:val="auto"/>
        </w:rPr>
        <w:t>” means any Business Day specified by the Borrower in a Notice of Borrowing as a date on which the Borrower requests the relevant Lenders to make Loans hereunder.</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Business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4.17(b)</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Business Associate Agreement</w:t>
      </w:r>
      <w:r>
        <w:rPr>
          <w:rFonts w:ascii="Times New Roman" w:cs="Times New Roman" w:eastAsia="Times New Roman" w:hAnsi="Times New Roman"/>
          <w:sz w:val="19"/>
          <w:szCs w:val="19"/>
          <w:color w:val="auto"/>
        </w:rPr>
        <w:t>” means each business associate agreement between a Loan Party and a PC Entity, in form and substance</w:t>
      </w:r>
    </w:p>
    <w:p>
      <w:pPr>
        <w:spacing w:after="0" w:line="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reasonably acceptable to the Administrative Agent, as the same may be amended, restated, supplemented or otherwise modified from time to time to the extent not prohibited by this Agreement.</w:t>
      </w:r>
    </w:p>
    <w:p>
      <w:pPr>
        <w:spacing w:after="0" w:line="150"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Business Day</w:t>
      </w:r>
      <w:r>
        <w:rPr>
          <w:rFonts w:ascii="Times New Roman" w:cs="Times New Roman" w:eastAsia="Times New Roman" w:hAnsi="Times New Roman"/>
          <w:sz w:val="19"/>
          <w:szCs w:val="19"/>
          <w:color w:val="auto"/>
        </w:rPr>
        <w:t>” means a day other than a Saturday, Sunday or other day on which commercial banks in the State of New York are authorized or required by law to close.</w:t>
      </w:r>
    </w:p>
    <w:p>
      <w:pPr>
        <w:spacing w:after="0" w:line="125"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Capital Lease Obligations</w:t>
      </w:r>
      <w:r>
        <w:rPr>
          <w:rFonts w:ascii="Times New Roman" w:cs="Times New Roman" w:eastAsia="Times New Roman" w:hAnsi="Times New Roman"/>
          <w:sz w:val="19"/>
          <w:szCs w:val="19"/>
          <w:color w:val="auto"/>
        </w:rPr>
        <w:t>” means, as to any Person, the obligations of such Person to pay rent or other amounts under any lease of (or other arrangement conveying the right to use) real or personal property, or a combination thereof, which obligations are required to be classified</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and accounted for as finance leases on a balance sheet of such Person under GAAP and, for the purposes of this Agreement, the amount of such obligations at any time shall be the capitalized amount thereof at such time determined in accordance with GAAP.</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Capital Stock</w:t>
      </w:r>
      <w:r>
        <w:rPr>
          <w:rFonts w:ascii="Times New Roman" w:cs="Times New Roman" w:eastAsia="Times New Roman" w:hAnsi="Times New Roman"/>
          <w:sz w:val="19"/>
          <w:szCs w:val="19"/>
          <w:color w:val="auto"/>
        </w:rPr>
        <w:t>” means, with respect to any Person, all of the shares of capital stock of (or other ownership or profit interests in) such</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w:t>
      </w:r>
    </w:p>
    <w:p>
      <w:pPr>
        <w:spacing w:after="0" w:line="215" w:lineRule="auto"/>
        <w:rPr>
          <w:sz w:val="20"/>
          <w:szCs w:val="20"/>
          <w:color w:val="auto"/>
        </w:rPr>
      </w:pPr>
      <w:r>
        <w:rPr>
          <w:rFonts w:ascii="Times New Roman" w:cs="Times New Roman" w:eastAsia="Times New Roman" w:hAnsi="Times New Roman"/>
          <w:sz w:val="19"/>
          <w:szCs w:val="19"/>
          <w:color w:val="auto"/>
        </w:rPr>
        <w:t>or profit interests in) such Person or warrants, rights or options for the purchase or acquisition from such Person of such shares (or such other</w:t>
      </w:r>
    </w:p>
    <w:p>
      <w:pPr>
        <w:spacing w:after="0" w:line="225" w:lineRule="auto"/>
        <w:rPr>
          <w:sz w:val="20"/>
          <w:szCs w:val="20"/>
          <w:color w:val="auto"/>
        </w:rPr>
      </w:pPr>
      <w:r>
        <w:rPr>
          <w:rFonts w:ascii="Times New Roman" w:cs="Times New Roman" w:eastAsia="Times New Roman" w:hAnsi="Times New Roman"/>
          <w:sz w:val="19"/>
          <w:szCs w:val="19"/>
          <w:color w:val="auto"/>
        </w:rPr>
        <w:t>interests), all voting and management rights and rights to become a partner, member or holder thereof, and all of the other ownership or profit interests in such Person (including partnership, member or trust interests therein), whether voting or nonvoting, and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35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9"/>
          <w:szCs w:val="19"/>
          <w:color w:val="auto"/>
        </w:rPr>
        <w:t>whether or not such shares, warrants, options, rights or other interests are outstanding on any date of determination.</w:t>
      </w:r>
    </w:p>
    <w:p>
      <w:pPr>
        <w:spacing w:after="0" w:line="181"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Cash Collateralize</w:t>
      </w:r>
      <w:r>
        <w:rPr>
          <w:rFonts w:ascii="Times New Roman" w:cs="Times New Roman" w:eastAsia="Times New Roman" w:hAnsi="Times New Roman"/>
          <w:sz w:val="19"/>
          <w:szCs w:val="19"/>
          <w:color w:val="auto"/>
        </w:rPr>
        <w:t>” means to deposit in a Controlled Account or to pledge and deposit with or deliver to the Administrative Agent, for the benefit of one or more of the Lenders, as collateral for L/C Exposure or obligations of the Lenders to fund participations in respect thereof,</w:t>
      </w:r>
    </w:p>
    <w:p>
      <w:pPr>
        <w:spacing w:after="0" w:line="216" w:lineRule="auto"/>
        <w:rPr>
          <w:sz w:val="20"/>
          <w:szCs w:val="20"/>
          <w:color w:val="auto"/>
        </w:rPr>
      </w:pPr>
      <w:r>
        <w:rPr>
          <w:rFonts w:ascii="Times New Roman" w:cs="Times New Roman" w:eastAsia="Times New Roman" w:hAnsi="Times New Roman"/>
          <w:sz w:val="19"/>
          <w:szCs w:val="19"/>
          <w:color w:val="auto"/>
        </w:rPr>
        <w:t>cash or deposit account balances or, if the Administrative Agent and the Issuing Lender shall agree in their sole discretion, other credit support, in</w:t>
      </w:r>
    </w:p>
    <w:p>
      <w:pPr>
        <w:spacing w:after="0" w:line="225" w:lineRule="auto"/>
        <w:rPr>
          <w:sz w:val="20"/>
          <w:szCs w:val="20"/>
          <w:color w:val="auto"/>
        </w:rPr>
      </w:pPr>
      <w:r>
        <w:rPr>
          <w:rFonts w:ascii="Times New Roman" w:cs="Times New Roman" w:eastAsia="Times New Roman" w:hAnsi="Times New Roman"/>
          <w:sz w:val="19"/>
          <w:szCs w:val="19"/>
          <w:color w:val="auto"/>
        </w:rPr>
        <w:t>each case pursuant to documentation in form and substance satisfactory to the Administrative Agent and such Issuing Lender. “</w:t>
      </w:r>
      <w:r>
        <w:rPr>
          <w:rFonts w:ascii="Times New Roman" w:cs="Times New Roman" w:eastAsia="Times New Roman" w:hAnsi="Times New Roman"/>
          <w:sz w:val="19"/>
          <w:szCs w:val="19"/>
          <w:b w:val="1"/>
          <w:bCs w:val="1"/>
          <w:i w:val="1"/>
          <w:iCs w:val="1"/>
          <w:color w:val="auto"/>
        </w:rPr>
        <w:t>Cash Collateral</w:t>
      </w:r>
      <w:r>
        <w:rPr>
          <w:rFonts w:ascii="Times New Roman" w:cs="Times New Roman" w:eastAsia="Times New Roman" w:hAnsi="Times New Roman"/>
          <w:sz w:val="19"/>
          <w:szCs w:val="19"/>
          <w:color w:val="auto"/>
        </w:rPr>
        <w:t>” shall have a meaning correlative to the foregoing and shall include the proceeds of such cash collateral and other credit support.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Cash Equivalents</w:t>
      </w:r>
      <w:r>
        <w:rPr>
          <w:rFonts w:ascii="Times New Roman" w:cs="Times New Roman" w:eastAsia="Times New Roman" w:hAnsi="Times New Roman"/>
          <w:sz w:val="19"/>
          <w:szCs w:val="19"/>
          <w:color w:val="auto"/>
        </w:rPr>
        <w:t>” means (a) marketable direct obligations issued by, or unconditionally guaranteed by, the United States Government or</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issued by any agency thereof and backed by the full faith and credit of the United States, in each case maturing within one year from the date of acquisition; (b) certificates of deposit, time deposits, eurodollar time deposits or overnight bank deposits having maturities of six months or less</w:t>
      </w:r>
    </w:p>
    <w:p>
      <w:pPr>
        <w:spacing w:after="0" w:line="215" w:lineRule="auto"/>
        <w:rPr>
          <w:sz w:val="20"/>
          <w:szCs w:val="20"/>
          <w:color w:val="auto"/>
        </w:rPr>
      </w:pPr>
      <w:r>
        <w:rPr>
          <w:rFonts w:ascii="Times New Roman" w:cs="Times New Roman" w:eastAsia="Times New Roman" w:hAnsi="Times New Roman"/>
          <w:sz w:val="19"/>
          <w:szCs w:val="19"/>
          <w:color w:val="auto"/>
        </w:rPr>
        <w:t>from the date of acquisition issued by any Lender or by any commercial bank organized under the laws of the United States or any state thereof</w:t>
      </w:r>
    </w:p>
    <w:p>
      <w:pPr>
        <w:spacing w:after="0" w:line="207" w:lineRule="auto"/>
        <w:rPr>
          <w:sz w:val="20"/>
          <w:szCs w:val="20"/>
          <w:color w:val="auto"/>
        </w:rPr>
      </w:pPr>
      <w:r>
        <w:rPr>
          <w:rFonts w:ascii="Times New Roman" w:cs="Times New Roman" w:eastAsia="Times New Roman" w:hAnsi="Times New Roman"/>
          <w:sz w:val="19"/>
          <w:szCs w:val="19"/>
          <w:color w:val="auto"/>
        </w:rPr>
        <w:t>having combined capital and surplus of not less than $250,000,000; (c) commercial paper of an issuer rated at least A-1 by S&amp;P or P-1 by Moody’s, or carrying an equivalent rating by a nationally recognized rating agency, if both of the two named rating agencies cease publishing</w:t>
      </w:r>
    </w:p>
    <w:p>
      <w:pPr>
        <w:spacing w:after="0" w:line="215" w:lineRule="auto"/>
        <w:rPr>
          <w:sz w:val="20"/>
          <w:szCs w:val="20"/>
          <w:color w:val="auto"/>
        </w:rPr>
      </w:pPr>
      <w:r>
        <w:rPr>
          <w:rFonts w:ascii="Times New Roman" w:cs="Times New Roman" w:eastAsia="Times New Roman" w:hAnsi="Times New Roman"/>
          <w:sz w:val="19"/>
          <w:szCs w:val="19"/>
          <w:color w:val="auto"/>
        </w:rPr>
        <w:t>ratings of commercial paper issuers generally, and maturing within six months from the date of acquisition; (d) repurchase obligations of any</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Lender or of any commercial bank satisfying the requirements of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this definition, having a term of not more than 30 days, with respect to securities issued or fully guaranteed or insured by the United States government; (e) securities with maturities of one year or less from the date</w:t>
      </w:r>
    </w:p>
    <w:p>
      <w:pPr>
        <w:spacing w:after="0" w:line="215" w:lineRule="auto"/>
        <w:rPr>
          <w:sz w:val="20"/>
          <w:szCs w:val="20"/>
          <w:color w:val="auto"/>
        </w:rPr>
      </w:pPr>
      <w:r>
        <w:rPr>
          <w:rFonts w:ascii="Times New Roman" w:cs="Times New Roman" w:eastAsia="Times New Roman" w:hAnsi="Times New Roman"/>
          <w:sz w:val="19"/>
          <w:szCs w:val="19"/>
          <w:color w:val="auto"/>
        </w:rPr>
        <w:t>of acquisition issued or fully guaranteed by any state, commonwealth or territory of the United States, by any political subdivision or taxing</w:t>
      </w:r>
    </w:p>
    <w:p>
      <w:pPr>
        <w:spacing w:after="0" w:line="207" w:lineRule="auto"/>
        <w:rPr>
          <w:sz w:val="20"/>
          <w:szCs w:val="20"/>
          <w:color w:val="auto"/>
        </w:rPr>
      </w:pPr>
      <w:r>
        <w:rPr>
          <w:rFonts w:ascii="Times New Roman" w:cs="Times New Roman" w:eastAsia="Times New Roman" w:hAnsi="Times New Roman"/>
          <w:sz w:val="19"/>
          <w:szCs w:val="19"/>
          <w:color w:val="auto"/>
        </w:rPr>
        <w:t>authority of any such state, commonwealth or territory or by any foreign government, the securities of which state, commonwealth, territory, political subdivision, taxing authority or foreign government (as the case may be) are rated at least A by S&amp;P or A by Moody’s; (f) securities with</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maturities of six months or less from the date of acquisition backed by standby letters of credit issued by any Lender or any commercial bank satisfying the requirements of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this definition; (g) money market mutual or similar funds that invest exclusively in assets satisfying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requirements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this definition; or (h) money market funds that (i) comply with the criteria set forth in SEC Rule 2a-7</w:t>
      </w:r>
    </w:p>
    <w:p>
      <w:pPr>
        <w:spacing w:after="0" w:line="225" w:lineRule="auto"/>
        <w:rPr>
          <w:sz w:val="20"/>
          <w:szCs w:val="20"/>
          <w:color w:val="auto"/>
        </w:rPr>
      </w:pPr>
      <w:r>
        <w:rPr>
          <w:rFonts w:ascii="Times New Roman" w:cs="Times New Roman" w:eastAsia="Times New Roman" w:hAnsi="Times New Roman"/>
          <w:sz w:val="19"/>
          <w:szCs w:val="19"/>
          <w:color w:val="auto"/>
        </w:rPr>
        <w:t>under the Investment Company Act of 1940, as amended, (ii) are rated AAA by S&amp;P and Aaa by Moody’s and (iii) have portfolio assets of at least $5,000,000,000.</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Cash Management Agreement</w:t>
      </w:r>
      <w:r>
        <w:rPr>
          <w:rFonts w:ascii="Times New Roman" w:cs="Times New Roman" w:eastAsia="Times New Roman" w:hAnsi="Times New Roman"/>
          <w:sz w:val="19"/>
          <w:szCs w:val="19"/>
          <w:color w:val="auto"/>
        </w:rPr>
        <w:t>” has the meaning specified within the definition of “Cash Management Services”.</w:t>
      </w:r>
    </w:p>
    <w:p>
      <w:pPr>
        <w:spacing w:after="0" w:line="185"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Cash Management Bank</w:t>
      </w:r>
      <w:r>
        <w:rPr>
          <w:rFonts w:ascii="Times New Roman" w:cs="Times New Roman" w:eastAsia="Times New Roman" w:hAnsi="Times New Roman"/>
          <w:sz w:val="19"/>
          <w:szCs w:val="19"/>
          <w:color w:val="auto"/>
        </w:rPr>
        <w:t>” means any Person that, at the time it enters into a Cash Management Agreement, is a Lender or an Affiliate of a Lender, in its capacity as a party to such Cash Management Agreement.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Cash Management Services</w:t>
      </w:r>
      <w:r>
        <w:rPr>
          <w:rFonts w:ascii="Times New Roman" w:cs="Times New Roman" w:eastAsia="Times New Roman" w:hAnsi="Times New Roman"/>
          <w:sz w:val="19"/>
          <w:szCs w:val="19"/>
          <w:color w:val="auto"/>
        </w:rPr>
        <w:t>” means cash management and other services provided to one or more of the Loan Parties by a Cash</w:t>
      </w:r>
    </w:p>
    <w:p>
      <w:pPr>
        <w:spacing w:after="0" w:line="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Management Bank which may include merchant services, direct deposit of payroll, business credit card, and check cashing services identified in such Cash Management Bank’s various cash management services or other similar agreements (each, a “</w:t>
      </w:r>
      <w:r>
        <w:rPr>
          <w:rFonts w:ascii="Times New Roman" w:cs="Times New Roman" w:eastAsia="Times New Roman" w:hAnsi="Times New Roman"/>
          <w:sz w:val="19"/>
          <w:szCs w:val="19"/>
          <w:b w:val="1"/>
          <w:bCs w:val="1"/>
          <w:i w:val="1"/>
          <w:iCs w:val="1"/>
          <w:color w:val="auto"/>
        </w:rPr>
        <w:t>Cash Management Agreement</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Casualty Event</w:t>
      </w:r>
      <w:r>
        <w:rPr>
          <w:rFonts w:ascii="Times New Roman" w:cs="Times New Roman" w:eastAsia="Times New Roman" w:hAnsi="Times New Roman"/>
          <w:sz w:val="19"/>
          <w:szCs w:val="19"/>
          <w:color w:val="auto"/>
        </w:rPr>
        <w:t>” means any damage to or any destruction of, or any condemnation or other taking by any Governmental Authority of any property of the Loan Parties.</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Certificated Securities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4.19(a)</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of Control</w:t>
      </w:r>
      <w:r>
        <w:rPr>
          <w:rFonts w:ascii="Times New Roman" w:cs="Times New Roman" w:eastAsia="Times New Roman" w:hAnsi="Times New Roman"/>
          <w:sz w:val="19"/>
          <w:szCs w:val="19"/>
          <w:color w:val="auto"/>
        </w:rPr>
        <w:t>” means (a) at any time, any “person” or “group” (as such terms are used in Sections 13(d) and 14(d) of the Exchange</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Act) beneficially and of record shall own and control, directly or indirectly, 35.0% or more on a fully diluted basis of the aggregate outstanding voting or economic rights of the outstanding Capital Stock of Holdings, (b) Holdings shall cease to directly own and control 100% of the voting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economic rights associated with all classes of Capital Stock of Intermediate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35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9"/>
          <w:szCs w:val="19"/>
          <w:color w:val="auto"/>
        </w:rPr>
        <w:t xml:space="preserve">Holdings, free and clear of all Liens (except as expressly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(c) Intermediate Holdings shall cease to directly own and</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control 100% of the voting and economic rights associated with all classes of Capital Stock of the Borrower, free and clear of all Liens (except as expressly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(d) the Borrower shall cease to own and control 100% of the voting and economic rights associated with all</w:t>
      </w:r>
    </w:p>
    <w:p>
      <w:pPr>
        <w:spacing w:after="0" w:line="215" w:lineRule="auto"/>
        <w:rPr>
          <w:sz w:val="20"/>
          <w:szCs w:val="20"/>
          <w:color w:val="auto"/>
        </w:rPr>
      </w:pPr>
      <w:r>
        <w:rPr>
          <w:rFonts w:ascii="Times New Roman" w:cs="Times New Roman" w:eastAsia="Times New Roman" w:hAnsi="Times New Roman"/>
          <w:sz w:val="19"/>
          <w:szCs w:val="19"/>
          <w:color w:val="auto"/>
        </w:rPr>
        <w:t>classes of Capital Stock of each of its Subsidiaries which are Loan Parties, free and clear of all Liens (except as expressly permitted by</w:t>
      </w:r>
    </w:p>
    <w:p>
      <w:pPr>
        <w:spacing w:after="0" w:line="207" w:lineRule="auto"/>
        <w:rPr>
          <w:sz w:val="20"/>
          <w:szCs w:val="20"/>
          <w:color w:val="auto"/>
        </w:rPr>
      </w:pP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(e) the sale, transfer or other disposition of all or substantially all of the assets of any Loan Party (other than pursuant to a transaction expressly permitted under this Agreement), or (f) a “change of control” shall occur in any other document governing Indebtedness (including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Subordinated Debt Document) of a Group Member.</w:t>
      </w:r>
    </w:p>
    <w:p>
      <w:pPr>
        <w:spacing w:after="0" w:line="159"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Closing Date</w:t>
      </w:r>
      <w:r>
        <w:rPr>
          <w:rFonts w:ascii="Times New Roman" w:cs="Times New Roman" w:eastAsia="Times New Roman" w:hAnsi="Times New Roman"/>
          <w:sz w:val="19"/>
          <w:szCs w:val="19"/>
          <w:color w:val="auto"/>
        </w:rPr>
        <w:t>” means the date on which all of the conditions precedent set forth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are satisfied or waived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and, as applicable, the Lenders or the Required Lenders.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Internal Revenue Code of 1986, as amended from time to time.</w:t>
      </w:r>
    </w:p>
    <w:p>
      <w:pPr>
        <w:spacing w:after="0" w:line="185"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Collateral</w:t>
      </w:r>
      <w:r>
        <w:rPr>
          <w:rFonts w:ascii="Times New Roman" w:cs="Times New Roman" w:eastAsia="Times New Roman" w:hAnsi="Times New Roman"/>
          <w:sz w:val="19"/>
          <w:szCs w:val="19"/>
          <w:color w:val="auto"/>
        </w:rPr>
        <w:t>” means all property of the Loan Parties, now owned or hereafter acquired, upon which a Lien is purported to be created by any Security Document. For the avoidance of doubt, no Excluded Asset (as such term is defined in the Guarantee and Collateral Agreement)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constitute “Collateral.”</w:t>
      </w:r>
    </w:p>
    <w:p>
      <w:pPr>
        <w:spacing w:after="0" w:line="159"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Collateral Assignment of PC Documents</w:t>
      </w:r>
      <w:r>
        <w:rPr>
          <w:rFonts w:ascii="Times New Roman" w:cs="Times New Roman" w:eastAsia="Times New Roman" w:hAnsi="Times New Roman"/>
          <w:sz w:val="19"/>
          <w:szCs w:val="19"/>
          <w:color w:val="auto"/>
        </w:rPr>
        <w:t>” means a collateral assignment of the PC Documents in respect of the PC Documents of a given PC Entity, in form and substance reasonably satisfactory to the Administrative Agent, which Collateral Assignment of PC Documents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 made by a Loan Party in favor of the Administrative Agent, and acknowledged by the applicable PC Entity.</w:t>
      </w:r>
    </w:p>
    <w:p>
      <w:pPr>
        <w:spacing w:after="0" w:line="159"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Collateral Information Certificate</w:t>
      </w:r>
      <w:r>
        <w:rPr>
          <w:rFonts w:ascii="Times New Roman" w:cs="Times New Roman" w:eastAsia="Times New Roman" w:hAnsi="Times New Roman"/>
          <w:sz w:val="19"/>
          <w:szCs w:val="19"/>
          <w:color w:val="auto"/>
        </w:rPr>
        <w:t xml:space="preserve">” means the Collateral Information Certificate to be executed and delivered by the Borrower and each other Loan Party pursuant to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substantially in the form of </w:t>
      </w:r>
      <w:r>
        <w:rPr>
          <w:rFonts w:ascii="Times New Roman" w:cs="Times New Roman" w:eastAsia="Times New Roman" w:hAnsi="Times New Roman"/>
          <w:sz w:val="19"/>
          <w:szCs w:val="19"/>
          <w:u w:val="single" w:color="auto"/>
          <w:color w:val="auto"/>
        </w:rPr>
        <w:t>Exhibit J</w:t>
      </w:r>
      <w:r>
        <w:rPr>
          <w:rFonts w:ascii="Times New Roman" w:cs="Times New Roman" w:eastAsia="Times New Roman" w:hAnsi="Times New Roman"/>
          <w:sz w:val="19"/>
          <w:szCs w:val="19"/>
          <w:color w:val="auto"/>
        </w:rPr>
        <w:t>.</w:t>
      </w:r>
    </w:p>
    <w:p>
      <w:pPr>
        <w:spacing w:after="0" w:line="151"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Collateral-Related Expenses</w:t>
      </w:r>
      <w:r>
        <w:rPr>
          <w:rFonts w:ascii="Times New Roman" w:cs="Times New Roman" w:eastAsia="Times New Roman" w:hAnsi="Times New Roman"/>
          <w:sz w:val="19"/>
          <w:szCs w:val="19"/>
          <w:color w:val="auto"/>
        </w:rPr>
        <w:t>” means all reasonable and documented out-of-pocket costs and expenses of the Administrative Agent paid or incurred in connection with any sale, collection or other realization on the Collateral, including reasonable compensation to the Administrative</w:t>
      </w:r>
    </w:p>
    <w:p>
      <w:pPr>
        <w:spacing w:after="0" w:line="216" w:lineRule="auto"/>
        <w:rPr>
          <w:sz w:val="20"/>
          <w:szCs w:val="20"/>
          <w:color w:val="auto"/>
        </w:rPr>
      </w:pPr>
      <w:r>
        <w:rPr>
          <w:rFonts w:ascii="Times New Roman" w:cs="Times New Roman" w:eastAsia="Times New Roman" w:hAnsi="Times New Roman"/>
          <w:sz w:val="19"/>
          <w:szCs w:val="19"/>
          <w:color w:val="auto"/>
        </w:rPr>
        <w:t>Agent and its agents and counsel, and reimbursement for all other reasonable and documented out-of-pocket costs, expenses and liabilities and</w:t>
      </w:r>
    </w:p>
    <w:p>
      <w:pPr>
        <w:spacing w:after="0" w:line="207" w:lineRule="auto"/>
        <w:rPr>
          <w:sz w:val="20"/>
          <w:szCs w:val="20"/>
          <w:color w:val="auto"/>
        </w:rPr>
      </w:pPr>
      <w:r>
        <w:rPr>
          <w:rFonts w:ascii="Times New Roman" w:cs="Times New Roman" w:eastAsia="Times New Roman" w:hAnsi="Times New Roman"/>
          <w:sz w:val="19"/>
          <w:szCs w:val="19"/>
          <w:color w:val="auto"/>
        </w:rPr>
        <w:t>advances made or incurred by the Administrative Agent in connection therewith (including as described in Section 6.6 of the Guarantee and Collateral Agreement), and all amounts for which the Administrative Agent is entitled to indemnification under the Security Documents and 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advances made by the Administrative Agent under the Security Documents for the account of any Loan Party.</w:t>
      </w:r>
    </w:p>
    <w:p>
      <w:pPr>
        <w:spacing w:after="0" w:line="159"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Collection Account</w:t>
      </w:r>
      <w:r>
        <w:rPr>
          <w:rFonts w:ascii="Times New Roman" w:cs="Times New Roman" w:eastAsia="Times New Roman" w:hAnsi="Times New Roman"/>
          <w:sz w:val="19"/>
          <w:szCs w:val="19"/>
          <w:color w:val="auto"/>
        </w:rPr>
        <w:t>” means the account established by the Borrower at the Administrative Agent or any of its Affiliates, which is located in the U.S..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Commitment</w:t>
      </w:r>
      <w:r>
        <w:rPr>
          <w:rFonts w:ascii="Times New Roman" w:cs="Times New Roman" w:eastAsia="Times New Roman" w:hAnsi="Times New Roman"/>
          <w:sz w:val="19"/>
          <w:szCs w:val="19"/>
          <w:color w:val="auto"/>
        </w:rPr>
        <w:t>” means, as to any Lender, the sum of its Term Commitment and its Revolving Commitment.</w:t>
      </w:r>
    </w:p>
    <w:p>
      <w:pPr>
        <w:spacing w:after="0" w:line="185"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Commitment Fee Rate</w:t>
      </w:r>
      <w:r>
        <w:rPr>
          <w:rFonts w:ascii="Times New Roman" w:cs="Times New Roman" w:eastAsia="Times New Roman" w:hAnsi="Times New Roman"/>
          <w:sz w:val="19"/>
          <w:szCs w:val="19"/>
          <w:color w:val="auto"/>
        </w:rPr>
        <w:t xml:space="preserve">” means initially, 0.30% per annum;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commencing on the date on which the Administrative Agent receives copies of the consolidated financial statements of Holdings and its Subsidiaries in respect of the Fiscal Quarter of the Borrower ending</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 xml:space="preserve">March 31, 2023, together with a Compliance Certificate in respect thereof as contemplated by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“Commitment Fee Rate”</w:t>
      </w:r>
      <w:r>
        <w:rPr>
          <w:rFonts w:ascii="Times New Roman" w:cs="Times New Roman" w:eastAsia="Times New Roman" w:hAnsi="Times New Roman"/>
          <w:sz w:val="19"/>
          <w:szCs w:val="19"/>
          <w:color w:val="auto"/>
        </w:rPr>
        <w:t xml:space="preserve"> shall mean the rate per annum set forth under the relevant column heading below: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353" w:right="339" w:bottom="1440" w:gutter="0" w:footer="0" w:header="0"/>
        </w:sectPr>
      </w:pPr>
    </w:p>
    <w:bookmarkStart w:id="141" w:name="page142"/>
    <w:bookmarkEnd w:id="141"/>
    <w:tbl>
      <w:tblPr>
        <w:tblLayout w:type="fixed"/>
        <w:tblInd w:w="1840" w:type="dxa"/>
        <w:tblCellMar>
          <w:top w:w="0" w:type="dxa"/>
          <w:left w:w="0" w:type="dxa"/>
          <w:bottom w:w="0" w:type="dxa"/>
          <w:right w:w="0" w:type="dxa"/>
        </w:tblCellMar>
      </w:tblPr>
      <w:tr>
        <w:trPr>
          <w:trHeight w:val="218"/>
        </w:trPr>
        <w:tc>
          <w:tcPr>
            <w:tcW w:w="5180" w:type="dxa"/>
            <w:vAlign w:val="bottom"/>
            <w:gridSpan w:val="2"/>
          </w:tcPr>
          <w:p>
            <w:pPr>
              <w:jc w:val="center"/>
              <w:ind w:right="2960"/>
              <w:spacing w:after="0"/>
              <w:rPr>
                <w:sz w:val="20"/>
                <w:szCs w:val="20"/>
                <w:color w:val="auto"/>
              </w:rPr>
            </w:pPr>
            <w:r>
              <w:rPr>
                <w:rFonts w:ascii="Times New Roman" w:cs="Times New Roman" w:eastAsia="Times New Roman" w:hAnsi="Times New Roman"/>
                <w:sz w:val="19"/>
                <w:szCs w:val="19"/>
                <w:color w:val="auto"/>
              </w:rPr>
              <w:t>Consolidated Leverage Ratio</w:t>
            </w: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Commitment Fee Rate</w:t>
            </w:r>
          </w:p>
        </w:tc>
      </w:tr>
      <w:tr>
        <w:trPr>
          <w:trHeight w:val="325"/>
        </w:trPr>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&lt; 1.00:1.00</w:t>
            </w:r>
          </w:p>
        </w:tc>
        <w:tc>
          <w:tcPr>
            <w:tcW w:w="2960" w:type="dxa"/>
            <w:vAlign w:val="bottom"/>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0.25%</w:t>
            </w:r>
          </w:p>
        </w:tc>
      </w:tr>
      <w:tr>
        <w:trPr>
          <w:trHeight w:val="352"/>
        </w:trPr>
        <w:tc>
          <w:tcPr>
            <w:tcW w:w="5180" w:type="dxa"/>
            <w:vAlign w:val="bottom"/>
            <w:gridSpan w:val="2"/>
          </w:tcPr>
          <w:p>
            <w:pPr>
              <w:jc w:val="center"/>
              <w:ind w:right="2960"/>
              <w:spacing w:after="0"/>
              <w:rPr>
                <w:sz w:val="20"/>
                <w:szCs w:val="20"/>
                <w:color w:val="auto"/>
              </w:rPr>
            </w:pPr>
            <w:r>
              <w:rPr>
                <w:rFonts w:ascii="Times New Roman" w:cs="Times New Roman" w:eastAsia="Times New Roman" w:hAnsi="Times New Roman"/>
                <w:sz w:val="19"/>
                <w:szCs w:val="19"/>
                <w:color w:val="auto"/>
              </w:rPr>
              <w:t>≥ 1.00:1.00 but &lt; 2.00:1.00</w:t>
            </w: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0.30%</w:t>
            </w:r>
          </w:p>
        </w:tc>
      </w:tr>
      <w:tr>
        <w:trPr>
          <w:trHeight w:val="352"/>
        </w:trPr>
        <w:tc>
          <w:tcPr>
            <w:tcW w:w="5180" w:type="dxa"/>
            <w:vAlign w:val="bottom"/>
            <w:gridSpan w:val="2"/>
          </w:tcPr>
          <w:p>
            <w:pPr>
              <w:jc w:val="center"/>
              <w:ind w:right="2940"/>
              <w:spacing w:after="0"/>
              <w:rPr>
                <w:sz w:val="20"/>
                <w:szCs w:val="20"/>
                <w:color w:val="auto"/>
              </w:rPr>
            </w:pPr>
            <w:r>
              <w:rPr>
                <w:rFonts w:ascii="Times New Roman" w:cs="Times New Roman" w:eastAsia="Times New Roman" w:hAnsi="Times New Roman"/>
                <w:sz w:val="19"/>
                <w:szCs w:val="19"/>
                <w:color w:val="auto"/>
              </w:rPr>
              <w:t>≥ 2.00:1.00</w:t>
            </w: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0.35%</w:t>
            </w:r>
          </w:p>
        </w:tc>
      </w:tr>
    </w:tbl>
    <w:p>
      <w:pPr>
        <w:spacing w:after="0" w:line="345"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Commodity Exchange Act</w:t>
      </w:r>
      <w:r>
        <w:rPr>
          <w:rFonts w:ascii="Times New Roman" w:cs="Times New Roman" w:eastAsia="Times New Roman" w:hAnsi="Times New Roman"/>
          <w:sz w:val="19"/>
          <w:szCs w:val="19"/>
          <w:color w:val="auto"/>
        </w:rPr>
        <w:t xml:space="preserve">” means the Commodity Exchange Act (7 U.S.C. Section 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as amended from time to time, and any successor statute.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Communications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10.2(c)(ii)</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Competitor</w:t>
      </w:r>
      <w:r>
        <w:rPr>
          <w:rFonts w:ascii="Times New Roman" w:cs="Times New Roman" w:eastAsia="Times New Roman" w:hAnsi="Times New Roman"/>
          <w:sz w:val="19"/>
          <w:szCs w:val="19"/>
          <w:color w:val="auto"/>
        </w:rPr>
        <w:t>” means any Person engaged in (a) the practice of body fat removal or transfer procedures or (b) the manufacturing or development of products involved in the removal or transfer of body fat.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Compliance Certificate</w:t>
      </w:r>
      <w:r>
        <w:rPr>
          <w:rFonts w:ascii="Times New Roman" w:cs="Times New Roman" w:eastAsia="Times New Roman" w:hAnsi="Times New Roman"/>
          <w:sz w:val="19"/>
          <w:szCs w:val="19"/>
          <w:color w:val="auto"/>
        </w:rPr>
        <w:t xml:space="preserve">” means a certificate duly executed by a Responsible Officer substantially in the form of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Confidential Healthcare Information</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Conforming Changes</w:t>
      </w:r>
      <w:r>
        <w:rPr>
          <w:rFonts w:ascii="Times New Roman" w:cs="Times New Roman" w:eastAsia="Times New Roman" w:hAnsi="Times New Roman"/>
          <w:sz w:val="19"/>
          <w:szCs w:val="19"/>
          <w:color w:val="auto"/>
        </w:rPr>
        <w:t>” means, with respect to either the use or administration of any Benchmark or the use, administration, adoption or implementation of any Benchmark Replacement, any technical, administrative or operational changes (including changes to the definition of</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“ABR,” the definition of “Business Day,” the definition of “U.S. Government Securities Business Day,” the definition of “Interest Period” (if applicable) or any similar or analogous definition (or the addition of a concept of “interest period”), timing and frequency of determining rates and</w:t>
      </w:r>
    </w:p>
    <w:p>
      <w:pPr>
        <w:spacing w:after="0" w:line="215" w:lineRule="auto"/>
        <w:rPr>
          <w:sz w:val="20"/>
          <w:szCs w:val="20"/>
          <w:color w:val="auto"/>
        </w:rPr>
      </w:pPr>
      <w:r>
        <w:rPr>
          <w:rFonts w:ascii="Times New Roman" w:cs="Times New Roman" w:eastAsia="Times New Roman" w:hAnsi="Times New Roman"/>
          <w:sz w:val="19"/>
          <w:szCs w:val="19"/>
          <w:color w:val="auto"/>
        </w:rPr>
        <w:t>making payments of interest, timing of borrowing requests or prepayment, conversion or continuation notices, the applicability and length of</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lookback periods, the applicability of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and other technical, administrative or operational matters) that the Administrative Agent decides may be appropriate to reflect the adoption and implementation of any such rate or to permit the use and administration thereof by the</w:t>
      </w: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in a manner substantially consistent with market practice (or, if the Administrative Agent decides that adoption of any</w:t>
      </w:r>
    </w:p>
    <w:p>
      <w:pPr>
        <w:spacing w:after="0" w:line="207" w:lineRule="auto"/>
        <w:rPr>
          <w:sz w:val="20"/>
          <w:szCs w:val="20"/>
          <w:color w:val="auto"/>
        </w:rPr>
      </w:pPr>
      <w:r>
        <w:rPr>
          <w:rFonts w:ascii="Times New Roman" w:cs="Times New Roman" w:eastAsia="Times New Roman" w:hAnsi="Times New Roman"/>
          <w:sz w:val="19"/>
          <w:szCs w:val="19"/>
          <w:color w:val="auto"/>
        </w:rPr>
        <w:t>portion of such market practice is not administratively feasible or if the Administrative Agent determines that no market practice for the administration of any such rate exists, in such other manner of administration as the Administrative Agent decides is reasonably necessary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connection with the administration of this Agreement and the other Loan Documents).</w:t>
      </w:r>
    </w:p>
    <w:p>
      <w:pPr>
        <w:spacing w:after="0" w:line="146"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Connection Income Taxes</w:t>
      </w:r>
      <w:r>
        <w:rPr>
          <w:rFonts w:ascii="Times New Roman" w:cs="Times New Roman" w:eastAsia="Times New Roman" w:hAnsi="Times New Roman"/>
          <w:sz w:val="19"/>
          <w:szCs w:val="19"/>
          <w:color w:val="auto"/>
        </w:rPr>
        <w:t>” means Other Connection Taxes that are imposed on or measured by net income (however denominated) or that are franchise Taxes or branch profits Taxes.</w:t>
      </w:r>
    </w:p>
    <w:p>
      <w:pPr>
        <w:spacing w:after="0" w:line="138"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Capital Expenditures</w:t>
      </w:r>
      <w:r>
        <w:rPr>
          <w:rFonts w:ascii="Times New Roman" w:cs="Times New Roman" w:eastAsia="Times New Roman" w:hAnsi="Times New Roman"/>
          <w:sz w:val="19"/>
          <w:szCs w:val="19"/>
          <w:color w:val="auto"/>
        </w:rPr>
        <w:t>” means, for any period, with respect to Holdings and its Subsidiaries, the aggregate of all expenditures (whether paid in cash or other consideration or accrued as a liability and including that portion of Capital Lease Obligations which is</w:t>
      </w:r>
    </w:p>
    <w:p>
      <w:pPr>
        <w:spacing w:after="0" w:line="216" w:lineRule="auto"/>
        <w:rPr>
          <w:sz w:val="20"/>
          <w:szCs w:val="20"/>
          <w:color w:val="auto"/>
        </w:rPr>
      </w:pPr>
      <w:r>
        <w:rPr>
          <w:rFonts w:ascii="Times New Roman" w:cs="Times New Roman" w:eastAsia="Times New Roman" w:hAnsi="Times New Roman"/>
          <w:sz w:val="19"/>
          <w:szCs w:val="19"/>
          <w:color w:val="auto"/>
        </w:rPr>
        <w:t>capitalized on the consolidated balance sheet of Holdings) by such Group Members during such period for the acquisition or leasing (pursuant to a</w:t>
      </w:r>
    </w:p>
    <w:p>
      <w:pPr>
        <w:spacing w:after="0" w:line="207" w:lineRule="auto"/>
        <w:rPr>
          <w:sz w:val="20"/>
          <w:szCs w:val="20"/>
          <w:color w:val="auto"/>
        </w:rPr>
      </w:pPr>
      <w:r>
        <w:rPr>
          <w:rFonts w:ascii="Times New Roman" w:cs="Times New Roman" w:eastAsia="Times New Roman" w:hAnsi="Times New Roman"/>
          <w:sz w:val="19"/>
          <w:szCs w:val="19"/>
          <w:color w:val="auto"/>
        </w:rPr>
        <w:t>finance lease) of fixed or capital assets or additions to equipment (including replacements, capitalized repairs and improvements during such period) that, in conformity with GAAP, are included in “additions to property, plant or equipment” or comparable items reflected in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consolidated statement of cash flows of Holdings;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t>
      </w:r>
      <w:r>
        <w:rPr>
          <w:rFonts w:ascii="Times New Roman" w:cs="Times New Roman" w:eastAsia="Times New Roman" w:hAnsi="Times New Roman"/>
          <w:sz w:val="19"/>
          <w:szCs w:val="19"/>
          <w:b w:val="1"/>
          <w:bCs w:val="1"/>
          <w:i w:val="1"/>
          <w:iCs w:val="1"/>
          <w:color w:val="auto"/>
        </w:rPr>
        <w:t>Consolidated Capital Expenditures</w:t>
      </w:r>
      <w:r>
        <w:rPr>
          <w:rFonts w:ascii="Times New Roman" w:cs="Times New Roman" w:eastAsia="Times New Roman" w:hAnsi="Times New Roman"/>
          <w:sz w:val="19"/>
          <w:szCs w:val="19"/>
          <w:color w:val="auto"/>
        </w:rPr>
        <w:t>” shall not include (a) expenditures in respect</w:t>
      </w:r>
    </w:p>
    <w:p>
      <w:pPr>
        <w:spacing w:after="0" w:line="207" w:lineRule="auto"/>
        <w:rPr>
          <w:sz w:val="20"/>
          <w:szCs w:val="20"/>
          <w:color w:val="auto"/>
        </w:rPr>
      </w:pPr>
      <w:r>
        <w:rPr>
          <w:rFonts w:ascii="Times New Roman" w:cs="Times New Roman" w:eastAsia="Times New Roman" w:hAnsi="Times New Roman"/>
          <w:sz w:val="19"/>
          <w:szCs w:val="19"/>
          <w:color w:val="auto"/>
        </w:rPr>
        <w:t>of normal replacements and maintenance which are properly charged to current operations, (b) expenditures made in connection with the replacement, substitution or restoration of assets to the extent financed (i) from insurance proceeds paid on account of the loss of or damage to the</w:t>
      </w:r>
    </w:p>
    <w:p>
      <w:pPr>
        <w:spacing w:after="0" w:line="215" w:lineRule="auto"/>
        <w:rPr>
          <w:sz w:val="20"/>
          <w:szCs w:val="20"/>
          <w:color w:val="auto"/>
        </w:rPr>
      </w:pPr>
      <w:r>
        <w:rPr>
          <w:rFonts w:ascii="Times New Roman" w:cs="Times New Roman" w:eastAsia="Times New Roman" w:hAnsi="Times New Roman"/>
          <w:sz w:val="19"/>
          <w:szCs w:val="19"/>
          <w:color w:val="auto"/>
        </w:rPr>
        <w:t>assets being replaced or restored or (ii) with awards of compensation arising from the taking by eminent domain or condemnation of the assets</w:t>
      </w:r>
    </w:p>
    <w:p>
      <w:pPr>
        <w:spacing w:after="0" w:line="225" w:lineRule="auto"/>
        <w:rPr>
          <w:sz w:val="20"/>
          <w:szCs w:val="20"/>
          <w:color w:val="auto"/>
        </w:rPr>
      </w:pPr>
      <w:r>
        <w:rPr>
          <w:rFonts w:ascii="Times New Roman" w:cs="Times New Roman" w:eastAsia="Times New Roman" w:hAnsi="Times New Roman"/>
          <w:sz w:val="19"/>
          <w:szCs w:val="19"/>
          <w:color w:val="auto"/>
        </w:rPr>
        <w:t>being replaced, or (c) expenditures made as a tenant as leasehold improvements during such period to the extent actually reimbursed by the landlord during such period.</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EBITDA</w:t>
      </w:r>
      <w:r>
        <w:rPr>
          <w:rFonts w:ascii="Times New Roman" w:cs="Times New Roman" w:eastAsia="Times New Roman" w:hAnsi="Times New Roman"/>
          <w:sz w:val="19"/>
          <w:szCs w:val="19"/>
          <w:color w:val="auto"/>
        </w:rPr>
        <w:t>” means, with respect to Holdings and its Subsidiaries for any period,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393" w:right="339" w:bottom="1440" w:gutter="0" w:footer="0" w:header="0"/>
        </w:sectPr>
      </w:pPr>
    </w:p>
    <w:bookmarkStart w:id="142" w:name="page143"/>
    <w:bookmarkEnd w:id="142"/>
    <w:p>
      <w:pPr>
        <w:ind w:left="880" w:hanging="251"/>
        <w:spacing w:after="0"/>
        <w:tabs>
          <w:tab w:leader="none" w:pos="88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u w:val="single" w:color="auto"/>
          <w:color w:val="auto"/>
        </w:rPr>
        <w:t>sum</w:t>
      </w:r>
      <w:r>
        <w:rPr>
          <w:rFonts w:ascii="Times New Roman" w:cs="Times New Roman" w:eastAsia="Times New Roman" w:hAnsi="Times New Roman"/>
          <w:sz w:val="19"/>
          <w:szCs w:val="19"/>
          <w:color w:val="auto"/>
        </w:rPr>
        <w:t>, without duplication, of the amounts for such period of</w:t>
      </w:r>
    </w:p>
    <w:p>
      <w:pPr>
        <w:spacing w:after="0" w:line="185" w:lineRule="exact"/>
        <w:rPr>
          <w:rFonts w:ascii="Times New Roman" w:cs="Times New Roman" w:eastAsia="Times New Roman" w:hAnsi="Times New Roman"/>
          <w:sz w:val="19"/>
          <w:szCs w:val="19"/>
          <w:color w:val="auto"/>
        </w:rPr>
      </w:pPr>
    </w:p>
    <w:p>
      <w:pPr>
        <w:ind w:left="1040" w:hanging="220"/>
        <w:spacing w:after="0"/>
        <w:tabs>
          <w:tab w:leader="none" w:pos="104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Consolidated Net Income, </w:t>
      </w:r>
      <w:r>
        <w:rPr>
          <w:rFonts w:ascii="Times New Roman" w:cs="Times New Roman" w:eastAsia="Times New Roman" w:hAnsi="Times New Roman"/>
          <w:sz w:val="19"/>
          <w:szCs w:val="19"/>
          <w:u w:val="single" w:color="auto"/>
          <w:color w:val="auto"/>
        </w:rPr>
        <w:t>plus</w:t>
      </w:r>
    </w:p>
    <w:p>
      <w:pPr>
        <w:spacing w:after="0" w:line="172" w:lineRule="exact"/>
        <w:rPr>
          <w:rFonts w:ascii="Times New Roman" w:cs="Times New Roman" w:eastAsia="Times New Roman" w:hAnsi="Times New Roman"/>
          <w:sz w:val="19"/>
          <w:szCs w:val="19"/>
          <w:color w:val="auto"/>
        </w:rPr>
      </w:pPr>
    </w:p>
    <w:p>
      <w:pPr>
        <w:ind w:left="1100" w:hanging="280"/>
        <w:spacing w:after="0"/>
        <w:tabs>
          <w:tab w:leader="none" w:pos="110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Consolidated Interest Expense, </w:t>
      </w:r>
      <w:r>
        <w:rPr>
          <w:rFonts w:ascii="Times New Roman" w:cs="Times New Roman" w:eastAsia="Times New Roman" w:hAnsi="Times New Roman"/>
          <w:sz w:val="19"/>
          <w:szCs w:val="19"/>
          <w:u w:val="single" w:color="auto"/>
          <w:color w:val="auto"/>
        </w:rPr>
        <w:t>plus</w:t>
      </w:r>
    </w:p>
    <w:p>
      <w:pPr>
        <w:spacing w:after="0" w:line="185" w:lineRule="exact"/>
        <w:rPr>
          <w:rFonts w:ascii="Times New Roman" w:cs="Times New Roman" w:eastAsia="Times New Roman" w:hAnsi="Times New Roman"/>
          <w:sz w:val="19"/>
          <w:szCs w:val="19"/>
          <w:color w:val="auto"/>
        </w:rPr>
      </w:pPr>
    </w:p>
    <w:p>
      <w:pPr>
        <w:ind w:left="1160" w:hanging="340"/>
        <w:spacing w:after="0"/>
        <w:tabs>
          <w:tab w:leader="none" w:pos="116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provisions for taxes based on income, </w:t>
      </w:r>
      <w:r>
        <w:rPr>
          <w:rFonts w:ascii="Times New Roman" w:cs="Times New Roman" w:eastAsia="Times New Roman" w:hAnsi="Times New Roman"/>
          <w:sz w:val="19"/>
          <w:szCs w:val="19"/>
          <w:u w:val="single" w:color="auto"/>
          <w:color w:val="auto"/>
        </w:rPr>
        <w:t>plus</w:t>
      </w:r>
    </w:p>
    <w:p>
      <w:pPr>
        <w:spacing w:after="0" w:line="185" w:lineRule="exact"/>
        <w:rPr>
          <w:rFonts w:ascii="Times New Roman" w:cs="Times New Roman" w:eastAsia="Times New Roman" w:hAnsi="Times New Roman"/>
          <w:sz w:val="19"/>
          <w:szCs w:val="19"/>
          <w:color w:val="auto"/>
        </w:rPr>
      </w:pPr>
    </w:p>
    <w:p>
      <w:pPr>
        <w:ind w:left="1140" w:hanging="320"/>
        <w:spacing w:after="0"/>
        <w:tabs>
          <w:tab w:leader="none" w:pos="114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total depreciation expense, </w:t>
      </w:r>
      <w:r>
        <w:rPr>
          <w:rFonts w:ascii="Times New Roman" w:cs="Times New Roman" w:eastAsia="Times New Roman" w:hAnsi="Times New Roman"/>
          <w:sz w:val="19"/>
          <w:szCs w:val="19"/>
          <w:u w:val="single" w:color="auto"/>
          <w:color w:val="auto"/>
        </w:rPr>
        <w:t>plus</w:t>
      </w:r>
    </w:p>
    <w:p>
      <w:pPr>
        <w:spacing w:after="0" w:line="172" w:lineRule="exact"/>
        <w:rPr>
          <w:rFonts w:ascii="Times New Roman" w:cs="Times New Roman" w:eastAsia="Times New Roman" w:hAnsi="Times New Roman"/>
          <w:sz w:val="19"/>
          <w:szCs w:val="19"/>
          <w:color w:val="auto"/>
        </w:rPr>
      </w:pPr>
    </w:p>
    <w:p>
      <w:pPr>
        <w:ind w:left="1100" w:hanging="280"/>
        <w:spacing w:after="0"/>
        <w:tabs>
          <w:tab w:leader="none" w:pos="110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total amortization expense, </w:t>
      </w:r>
      <w:r>
        <w:rPr>
          <w:rFonts w:ascii="Times New Roman" w:cs="Times New Roman" w:eastAsia="Times New Roman" w:hAnsi="Times New Roman"/>
          <w:sz w:val="19"/>
          <w:szCs w:val="19"/>
          <w:u w:val="single" w:color="auto"/>
          <w:color w:val="auto"/>
        </w:rPr>
        <w:t>plus</w:t>
      </w:r>
    </w:p>
    <w:p>
      <w:pPr>
        <w:spacing w:after="0" w:line="185" w:lineRule="exact"/>
        <w:rPr>
          <w:rFonts w:ascii="Times New Roman" w:cs="Times New Roman" w:eastAsia="Times New Roman" w:hAnsi="Times New Roman"/>
          <w:sz w:val="19"/>
          <w:szCs w:val="19"/>
          <w:color w:val="auto"/>
        </w:rPr>
      </w:pPr>
    </w:p>
    <w:p>
      <w:pPr>
        <w:jc w:val="both"/>
        <w:ind w:firstLine="824"/>
        <w:spacing w:after="0" w:line="229" w:lineRule="auto"/>
        <w:tabs>
          <w:tab w:leader="none" w:pos="1145"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costs and expenses relating to (A) the Transactions incurred on or prior to the Closing Date, (B) the Third Amendment Transactions incurred on or prior to the Third Amendment Effective Date and (C) the issuance of any Capital Stock by Holdings within six months after the Third Amendment Effective Date, </w:t>
      </w:r>
      <w:r>
        <w:rPr>
          <w:rFonts w:ascii="Times New Roman" w:cs="Times New Roman" w:eastAsia="Times New Roman" w:hAnsi="Times New Roman"/>
          <w:sz w:val="19"/>
          <w:szCs w:val="19"/>
          <w:u w:val="single" w:color="auto"/>
          <w:color w:val="auto"/>
        </w:rPr>
        <w:t>plus</w:t>
      </w:r>
    </w:p>
    <w:p>
      <w:pPr>
        <w:spacing w:after="0" w:line="156" w:lineRule="exact"/>
        <w:rPr>
          <w:rFonts w:ascii="Times New Roman" w:cs="Times New Roman" w:eastAsia="Times New Roman" w:hAnsi="Times New Roman"/>
          <w:sz w:val="19"/>
          <w:szCs w:val="19"/>
          <w:color w:val="auto"/>
        </w:rPr>
      </w:pPr>
    </w:p>
    <w:p>
      <w:pPr>
        <w:ind w:left="1200" w:hanging="380"/>
        <w:spacing w:after="0"/>
        <w:tabs>
          <w:tab w:leader="none" w:pos="120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restructuring and integration expenses, </w:t>
      </w:r>
      <w:r>
        <w:rPr>
          <w:rFonts w:ascii="Times New Roman" w:cs="Times New Roman" w:eastAsia="Times New Roman" w:hAnsi="Times New Roman"/>
          <w:sz w:val="19"/>
          <w:szCs w:val="19"/>
          <w:u w:val="single" w:color="auto"/>
          <w:color w:val="auto"/>
        </w:rPr>
        <w:t>plus</w:t>
      </w:r>
    </w:p>
    <w:p>
      <w:pPr>
        <w:spacing w:after="0" w:line="185" w:lineRule="exact"/>
        <w:rPr>
          <w:rFonts w:ascii="Times New Roman" w:cs="Times New Roman" w:eastAsia="Times New Roman" w:hAnsi="Times New Roman"/>
          <w:sz w:val="19"/>
          <w:szCs w:val="19"/>
          <w:color w:val="auto"/>
        </w:rPr>
      </w:pPr>
    </w:p>
    <w:p>
      <w:pPr>
        <w:ind w:left="1240" w:hanging="420"/>
        <w:spacing w:after="0"/>
        <w:tabs>
          <w:tab w:leader="none" w:pos="124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non-cash extraordinary or nonrecurring losses or charges, </w:t>
      </w:r>
      <w:r>
        <w:rPr>
          <w:rFonts w:ascii="Times New Roman" w:cs="Times New Roman" w:eastAsia="Times New Roman" w:hAnsi="Times New Roman"/>
          <w:sz w:val="19"/>
          <w:szCs w:val="19"/>
          <w:u w:val="single" w:color="auto"/>
          <w:color w:val="auto"/>
        </w:rPr>
        <w:t>plus</w:t>
      </w:r>
    </w:p>
    <w:p>
      <w:pPr>
        <w:spacing w:after="0" w:line="172" w:lineRule="exact"/>
        <w:rPr>
          <w:rFonts w:ascii="Times New Roman" w:cs="Times New Roman" w:eastAsia="Times New Roman" w:hAnsi="Times New Roman"/>
          <w:sz w:val="19"/>
          <w:szCs w:val="19"/>
          <w:color w:val="auto"/>
        </w:rPr>
      </w:pPr>
    </w:p>
    <w:p>
      <w:pPr>
        <w:ind w:left="1140" w:hanging="320"/>
        <w:spacing w:after="0"/>
        <w:tabs>
          <w:tab w:leader="none" w:pos="114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non-cash charges for employee compensation plans, </w:t>
      </w:r>
      <w:r>
        <w:rPr>
          <w:rFonts w:ascii="Times New Roman" w:cs="Times New Roman" w:eastAsia="Times New Roman" w:hAnsi="Times New Roman"/>
          <w:sz w:val="19"/>
          <w:szCs w:val="19"/>
          <w:u w:val="single" w:color="auto"/>
          <w:color w:val="auto"/>
        </w:rPr>
        <w:t>plus</w:t>
      </w:r>
    </w:p>
    <w:p>
      <w:pPr>
        <w:spacing w:after="0" w:line="185" w:lineRule="exact"/>
        <w:rPr>
          <w:rFonts w:ascii="Times New Roman" w:cs="Times New Roman" w:eastAsia="Times New Roman" w:hAnsi="Times New Roman"/>
          <w:sz w:val="19"/>
          <w:szCs w:val="19"/>
          <w:color w:val="auto"/>
        </w:rPr>
      </w:pPr>
    </w:p>
    <w:p>
      <w:pPr>
        <w:jc w:val="both"/>
        <w:ind w:firstLine="842"/>
        <w:spacing w:after="0" w:line="223" w:lineRule="auto"/>
        <w:tabs>
          <w:tab w:leader="none" w:pos="1113" w:val="left"/>
        </w:tabs>
        <w:numPr>
          <w:ilvl w:val="2"/>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reported operating losses or expenses incurred with respect to de novo treatment facilities during the six-month period immediately prior to the opening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amount added back to Consolidated Net Income pursuant to this </w:t>
      </w:r>
      <w:r>
        <w:rPr>
          <w:rFonts w:ascii="Times New Roman" w:cs="Times New Roman" w:eastAsia="Times New Roman" w:hAnsi="Times New Roman"/>
          <w:sz w:val="19"/>
          <w:szCs w:val="19"/>
          <w:u w:val="single" w:color="auto"/>
          <w:color w:val="auto"/>
        </w:rPr>
        <w:t>clause (x)</w:t>
      </w:r>
      <w:r>
        <w:rPr>
          <w:rFonts w:ascii="Times New Roman" w:cs="Times New Roman" w:eastAsia="Times New Roman" w:hAnsi="Times New Roman"/>
          <w:sz w:val="19"/>
          <w:szCs w:val="19"/>
          <w:color w:val="auto"/>
        </w:rPr>
        <w:t xml:space="preserve"> shall not exceed, in the case of any individual de novo treatment facility, an amount in excess of $250,000 in the aggregate during the term of this Agreement, and (B) the aggregate amount added back to Consolidated Net Income pursuant to this </w:t>
      </w:r>
      <w:r>
        <w:rPr>
          <w:rFonts w:ascii="Times New Roman" w:cs="Times New Roman" w:eastAsia="Times New Roman" w:hAnsi="Times New Roman"/>
          <w:sz w:val="19"/>
          <w:szCs w:val="19"/>
          <w:u w:val="single" w:color="auto"/>
          <w:color w:val="auto"/>
        </w:rPr>
        <w:t>clause (x)</w:t>
      </w:r>
      <w:r>
        <w:rPr>
          <w:rFonts w:ascii="Times New Roman" w:cs="Times New Roman" w:eastAsia="Times New Roman" w:hAnsi="Times New Roman"/>
          <w:sz w:val="19"/>
          <w:szCs w:val="19"/>
          <w:color w:val="auto"/>
        </w:rPr>
        <w:t xml:space="preserve"> for any Test Period shall not exceed 5.0% of Consolidated EBITDA (as calculated without giving effect to any addbacks under </w:t>
      </w:r>
      <w:r>
        <w:rPr>
          <w:rFonts w:ascii="Times New Roman" w:cs="Times New Roman" w:eastAsia="Times New Roman" w:hAnsi="Times New Roman"/>
          <w:sz w:val="19"/>
          <w:szCs w:val="19"/>
          <w:u w:val="single" w:color="auto"/>
          <w:color w:val="auto"/>
        </w:rPr>
        <w:t>clauses (vi)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(x)</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(xi)</w:t>
      </w:r>
      <w:r>
        <w:rPr>
          <w:rFonts w:ascii="Times New Roman" w:cs="Times New Roman" w:eastAsia="Times New Roman" w:hAnsi="Times New Roman"/>
          <w:sz w:val="19"/>
          <w:szCs w:val="19"/>
          <w:color w:val="auto"/>
        </w:rPr>
        <w:t xml:space="preserve"> hereof) for such period, </w:t>
      </w:r>
      <w:r>
        <w:rPr>
          <w:rFonts w:ascii="Times New Roman" w:cs="Times New Roman" w:eastAsia="Times New Roman" w:hAnsi="Times New Roman"/>
          <w:sz w:val="19"/>
          <w:szCs w:val="19"/>
          <w:u w:val="single" w:color="auto"/>
          <w:color w:val="auto"/>
        </w:rPr>
        <w:t>plus</w:t>
      </w:r>
    </w:p>
    <w:p>
      <w:pPr>
        <w:spacing w:after="0" w:line="144" w:lineRule="exact"/>
        <w:rPr>
          <w:sz w:val="20"/>
          <w:szCs w:val="20"/>
          <w:color w:val="auto"/>
        </w:rPr>
      </w:pPr>
    </w:p>
    <w:p>
      <w:pPr>
        <w:jc w:val="both"/>
        <w:ind w:firstLine="826"/>
        <w:spacing w:after="0" w:line="213" w:lineRule="auto"/>
        <w:tabs>
          <w:tab w:leader="none" w:pos="1147"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(A) any net-after tax unusual or non-recurring costs, expenses or charges actually and directly incurred in cash by the Loan Parties and (B) any pro forma “run rate” cost savings, operating expense reductions, cost synergies and other adjustments (including the amount of any synergies, business optimization expenses, restructuring charges or integration charges directly attributable to the undertaking or implementation of any strategic initiatives, severance, recruiting, relocation, closing and consolidation of facilities, reserves, consulting, cost-savings initiatives and contract termination costs), in each case, that are projected (a) by the Loan Parties in good faith to be realized within 12 months after the consummation of a Permitted Acquisition, a permitted Disposition or any other non-ordinary course transaction permitted under the Loan Documents, (b) by the restructuring as outlined in the Second Amendment Updated Lender Model in relation to the Second Amendment, or (c) by the restructuring and pro forma cost savings as outlined in the Third Amendment Updated Lender Model in relation to the Third Amendment, in each case giving rise to such adjustments from actions taken or committed to be taken within such period (calculated on a Pro Forma Basis as though such cost savings, operational expense reductions, cost synergies and other adjustments were realized on the first day of such period for which the Consolidated EBITDA is being determined as if such cost savings, operational expense reductions, cost synergies and other adjustments were realized during the entirety of the period), net of the amount of actual benefits realized during such period from such 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any such amounts added back under this </w:t>
      </w:r>
      <w:r>
        <w:rPr>
          <w:rFonts w:ascii="Times New Roman" w:cs="Times New Roman" w:eastAsia="Times New Roman" w:hAnsi="Times New Roman"/>
          <w:sz w:val="19"/>
          <w:szCs w:val="19"/>
          <w:u w:val="single" w:color="auto"/>
          <w:color w:val="auto"/>
        </w:rPr>
        <w:t>clause (xi)</w:t>
      </w:r>
      <w:r>
        <w:rPr>
          <w:rFonts w:ascii="Times New Roman" w:cs="Times New Roman" w:eastAsia="Times New Roman" w:hAnsi="Times New Roman"/>
          <w:sz w:val="19"/>
          <w:szCs w:val="19"/>
          <w:color w:val="auto"/>
        </w:rPr>
        <w:t xml:space="preserve"> are identifiable, factually supportable, reasonably expected to have a continuing impact and directly related to such transaction; (2) each compliance certificate delivered by an appropriate Responsible Officer of the Borrower shall provide reasonable detail (and attach back-up documentation and calculations) evidencing the amounts to be added back under this </w:t>
      </w:r>
      <w:r>
        <w:rPr>
          <w:rFonts w:ascii="Times New Roman" w:cs="Times New Roman" w:eastAsia="Times New Roman" w:hAnsi="Times New Roman"/>
          <w:sz w:val="19"/>
          <w:szCs w:val="19"/>
          <w:u w:val="single" w:color="auto"/>
          <w:color w:val="auto"/>
        </w:rPr>
        <w:t>clause (xi)</w:t>
      </w:r>
      <w:r>
        <w:rPr>
          <w:rFonts w:ascii="Times New Roman" w:cs="Times New Roman" w:eastAsia="Times New Roman" w:hAnsi="Times New Roman"/>
          <w:sz w:val="19"/>
          <w:szCs w:val="19"/>
          <w:color w:val="auto"/>
        </w:rPr>
        <w:t xml:space="preserve">; (3) the aggregate amount of cost synergies added back pursuant to this </w:t>
      </w:r>
      <w:r>
        <w:rPr>
          <w:rFonts w:ascii="Times New Roman" w:cs="Times New Roman" w:eastAsia="Times New Roman" w:hAnsi="Times New Roman"/>
          <w:sz w:val="19"/>
          <w:szCs w:val="19"/>
          <w:u w:val="single" w:color="auto"/>
          <w:color w:val="auto"/>
        </w:rPr>
        <w:t>clause (xi)</w:t>
      </w:r>
      <w:r>
        <w:rPr>
          <w:rFonts w:ascii="Times New Roman" w:cs="Times New Roman" w:eastAsia="Times New Roman" w:hAnsi="Times New Roman"/>
          <w:sz w:val="19"/>
          <w:szCs w:val="19"/>
          <w:color w:val="auto"/>
        </w:rPr>
        <w:t xml:space="preserve"> for any Test Period shall not exceed 10.0% of Consolidated EBITDA (as calculated without giving effect to any addbacks under </w:t>
      </w:r>
      <w:r>
        <w:rPr>
          <w:rFonts w:ascii="Times New Roman" w:cs="Times New Roman" w:eastAsia="Times New Roman" w:hAnsi="Times New Roman"/>
          <w:sz w:val="19"/>
          <w:szCs w:val="19"/>
          <w:u w:val="single" w:color="auto"/>
          <w:color w:val="auto"/>
        </w:rPr>
        <w:t>clauses (vi)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(x)</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(xi)</w:t>
      </w:r>
      <w:r>
        <w:rPr>
          <w:rFonts w:ascii="Times New Roman" w:cs="Times New Roman" w:eastAsia="Times New Roman" w:hAnsi="Times New Roman"/>
          <w:sz w:val="19"/>
          <w:szCs w:val="19"/>
          <w:color w:val="auto"/>
        </w:rPr>
        <w:t xml:space="preserve"> hereof); and (4) the aggregate amount added back pursuant to this </w:t>
      </w:r>
      <w:r>
        <w:rPr>
          <w:rFonts w:ascii="Times New Roman" w:cs="Times New Roman" w:eastAsia="Times New Roman" w:hAnsi="Times New Roman"/>
          <w:sz w:val="19"/>
          <w:szCs w:val="19"/>
          <w:u w:val="single" w:color="auto"/>
          <w:color w:val="auto"/>
        </w:rPr>
        <w:t>clause (xi)</w:t>
      </w:r>
      <w:r>
        <w:rPr>
          <w:rFonts w:ascii="Times New Roman" w:cs="Times New Roman" w:eastAsia="Times New Roman" w:hAnsi="Times New Roman"/>
          <w:sz w:val="19"/>
          <w:szCs w:val="19"/>
          <w:color w:val="auto"/>
        </w:rPr>
        <w:t xml:space="preserve"> for any Test Period (together with any amounts added back pursuant to </w:t>
      </w:r>
      <w:r>
        <w:rPr>
          <w:rFonts w:ascii="Times New Roman" w:cs="Times New Roman" w:eastAsia="Times New Roman" w:hAnsi="Times New Roman"/>
          <w:sz w:val="19"/>
          <w:szCs w:val="19"/>
          <w:u w:val="single" w:color="auto"/>
          <w:color w:val="auto"/>
        </w:rPr>
        <w:t>clause (x)</w:t>
      </w:r>
      <w:r>
        <w:rPr>
          <w:rFonts w:ascii="Times New Roman" w:cs="Times New Roman" w:eastAsia="Times New Roman" w:hAnsi="Times New Roman"/>
          <w:sz w:val="19"/>
          <w:szCs w:val="19"/>
          <w:color w:val="auto"/>
        </w:rPr>
        <w:t xml:space="preserve"> above) shall not exceed 20.0% of Consolidated EBITDA (as calculated without giving effect to any addbacks under </w:t>
      </w:r>
      <w:r>
        <w:rPr>
          <w:rFonts w:ascii="Times New Roman" w:cs="Times New Roman" w:eastAsia="Times New Roman" w:hAnsi="Times New Roman"/>
          <w:sz w:val="19"/>
          <w:szCs w:val="19"/>
          <w:u w:val="single" w:color="auto"/>
          <w:color w:val="auto"/>
        </w:rPr>
        <w:t>clauses (vi)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(x)</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(xi)</w:t>
      </w:r>
      <w:r>
        <w:rPr>
          <w:rFonts w:ascii="Times New Roman" w:cs="Times New Roman" w:eastAsia="Times New Roman" w:hAnsi="Times New Roman"/>
          <w:sz w:val="19"/>
          <w:szCs w:val="19"/>
          <w:color w:val="auto"/>
        </w:rPr>
        <w:t xml:space="preserve"> hereof), </w:t>
      </w:r>
      <w:r>
        <w:rPr>
          <w:rFonts w:ascii="Times New Roman" w:cs="Times New Roman" w:eastAsia="Times New Roman" w:hAnsi="Times New Roman"/>
          <w:sz w:val="19"/>
          <w:szCs w:val="19"/>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354" w:right="339" w:bottom="1440" w:gutter="0" w:footer="0" w:header="0"/>
        </w:sectPr>
      </w:pPr>
    </w:p>
    <w:bookmarkStart w:id="143" w:name="page144"/>
    <w:bookmarkEnd w:id="143"/>
    <w:p>
      <w:pPr>
        <w:jc w:val="both"/>
        <w:ind w:firstLine="906"/>
        <w:spacing w:after="0" w:line="229" w:lineRule="auto"/>
        <w:tabs>
          <w:tab w:leader="none" w:pos="1300" w:val="left"/>
        </w:tabs>
        <w:numPr>
          <w:ilvl w:val="2"/>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non-cash items reducing Consolidated Net Income (excluding any such non-cash item to the extent that it represents an accrual or reserve for potential cash items in any future period or amortization of a prepaid cash item that was paid in a prior period) approved by the Administrative Agent in writing as an ‘add back’ to Consolidated EBITDA, </w:t>
      </w:r>
      <w:r>
        <w:rPr>
          <w:rFonts w:ascii="Times New Roman" w:cs="Times New Roman" w:eastAsia="Times New Roman" w:hAnsi="Times New Roman"/>
          <w:sz w:val="19"/>
          <w:szCs w:val="19"/>
          <w:u w:val="single" w:color="auto"/>
          <w:color w:val="auto"/>
        </w:rPr>
        <w:t>plus</w:t>
      </w:r>
    </w:p>
    <w:p>
      <w:pPr>
        <w:spacing w:after="0" w:line="156" w:lineRule="exact"/>
        <w:rPr>
          <w:rFonts w:ascii="Times New Roman" w:cs="Times New Roman" w:eastAsia="Times New Roman" w:hAnsi="Times New Roman"/>
          <w:sz w:val="19"/>
          <w:szCs w:val="19"/>
          <w:color w:val="auto"/>
        </w:rPr>
      </w:pPr>
    </w:p>
    <w:p>
      <w:pPr>
        <w:ind w:left="1240" w:hanging="420"/>
        <w:spacing w:after="0"/>
        <w:tabs>
          <w:tab w:leader="none" w:pos="1240" w:val="left"/>
        </w:tabs>
        <w:numPr>
          <w:ilvl w:val="1"/>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amounts paid by Holdings and its Subsidiaries pursuant to </w:t>
      </w:r>
      <w:r>
        <w:rPr>
          <w:rFonts w:ascii="Times New Roman" w:cs="Times New Roman" w:eastAsia="Times New Roman" w:hAnsi="Times New Roman"/>
          <w:sz w:val="19"/>
          <w:szCs w:val="19"/>
          <w:u w:val="single" w:color="auto"/>
          <w:color w:val="auto"/>
        </w:rPr>
        <w:t>Section 6.20(c)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minus</w:t>
      </w:r>
    </w:p>
    <w:p>
      <w:pPr>
        <w:spacing w:after="0" w:line="185" w:lineRule="exact"/>
        <w:rPr>
          <w:rFonts w:ascii="Times New Roman" w:cs="Times New Roman" w:eastAsia="Times New Roman" w:hAnsi="Times New Roman"/>
          <w:sz w:val="19"/>
          <w:szCs w:val="19"/>
          <w:color w:val="auto"/>
        </w:rPr>
      </w:pPr>
    </w:p>
    <w:p>
      <w:pPr>
        <w:ind w:left="900" w:hanging="271"/>
        <w:spacing w:after="0"/>
        <w:tabs>
          <w:tab w:leader="none" w:pos="90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t>
      </w:r>
      <w:r>
        <w:rPr>
          <w:rFonts w:ascii="Times New Roman" w:cs="Times New Roman" w:eastAsia="Times New Roman" w:hAnsi="Times New Roman"/>
          <w:sz w:val="19"/>
          <w:szCs w:val="19"/>
          <w:u w:val="single" w:color="auto"/>
          <w:color w:val="auto"/>
        </w:rPr>
        <w:t>sum</w:t>
      </w:r>
      <w:r>
        <w:rPr>
          <w:rFonts w:ascii="Times New Roman" w:cs="Times New Roman" w:eastAsia="Times New Roman" w:hAnsi="Times New Roman"/>
          <w:sz w:val="19"/>
          <w:szCs w:val="19"/>
          <w:color w:val="auto"/>
        </w:rPr>
        <w:t>, without duplication of the amounts for such period of</w:t>
      </w:r>
    </w:p>
    <w:p>
      <w:pPr>
        <w:spacing w:after="0" w:line="172" w:lineRule="exact"/>
        <w:rPr>
          <w:sz w:val="20"/>
          <w:szCs w:val="20"/>
          <w:color w:val="auto"/>
        </w:rPr>
      </w:pPr>
    </w:p>
    <w:p>
      <w:pPr>
        <w:ind w:firstLine="945"/>
        <w:spacing w:after="0" w:line="249" w:lineRule="auto"/>
        <w:tabs>
          <w:tab w:leader="none" w:pos="120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non-cash items increasing Consolidated Net Income for such period (excluding any such non-cash item to the extent it represents the reversal of an accrual or reserve for potential cash item in any prior period), </w:t>
      </w:r>
      <w:r>
        <w:rPr>
          <w:rFonts w:ascii="Times New Roman" w:cs="Times New Roman" w:eastAsia="Times New Roman" w:hAnsi="Times New Roman"/>
          <w:sz w:val="19"/>
          <w:szCs w:val="19"/>
          <w:u w:val="single" w:color="auto"/>
          <w:color w:val="auto"/>
        </w:rPr>
        <w:t>plus</w:t>
      </w:r>
    </w:p>
    <w:p>
      <w:pPr>
        <w:spacing w:after="0" w:line="145" w:lineRule="exact"/>
        <w:rPr>
          <w:rFonts w:ascii="Times New Roman" w:cs="Times New Roman" w:eastAsia="Times New Roman" w:hAnsi="Times New Roman"/>
          <w:sz w:val="19"/>
          <w:szCs w:val="19"/>
          <w:color w:val="auto"/>
        </w:rPr>
      </w:pPr>
    </w:p>
    <w:p>
      <w:pPr>
        <w:ind w:left="1100" w:hanging="280"/>
        <w:spacing w:after="0"/>
        <w:tabs>
          <w:tab w:leader="none" w:pos="110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income;</w:t>
      </w:r>
    </w:p>
    <w:p>
      <w:pPr>
        <w:spacing w:after="0" w:line="172" w:lineRule="exact"/>
        <w:rPr>
          <w:sz w:val="20"/>
          <w:szCs w:val="20"/>
          <w:color w:val="auto"/>
        </w:rPr>
      </w:pPr>
    </w:p>
    <w:p>
      <w:pPr>
        <w:jc w:val="both"/>
        <w:ind w:firstLine="625"/>
        <w:spacing w:after="0" w:line="234"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Consolidated EBITDA for any Test Period shall be determined on a Pro Forma Basis to give effect to any Permitted Acquisitions or any disposition of any business or assets consummated during such period, in each case as if such transaction occurred on the first day of such period and in accordance with Regulation S-X promulgated by the SEC.</w:t>
      </w:r>
    </w:p>
    <w:p>
      <w:pPr>
        <w:spacing w:after="0" w:line="142" w:lineRule="exact"/>
        <w:rPr>
          <w:sz w:val="20"/>
          <w:szCs w:val="20"/>
          <w:color w:val="auto"/>
        </w:rPr>
      </w:pPr>
    </w:p>
    <w:p>
      <w:pPr>
        <w:jc w:val="both"/>
        <w:ind w:firstLine="625"/>
        <w:spacing w:after="0" w:line="234" w:lineRule="auto"/>
        <w:rPr>
          <w:sz w:val="20"/>
          <w:szCs w:val="20"/>
          <w:color w:val="auto"/>
        </w:rPr>
      </w:pPr>
      <w:r>
        <w:rPr>
          <w:rFonts w:ascii="Times New Roman" w:cs="Times New Roman" w:eastAsia="Times New Roman" w:hAnsi="Times New Roman"/>
          <w:sz w:val="19"/>
          <w:szCs w:val="19"/>
          <w:color w:val="auto"/>
        </w:rPr>
        <w:t>Notwithstanding anything to the contrary, Consolidated EBITDA of Holdings and its Subsidiaries on a consolidated basis shall be deemed to be $15,226,000 for the Fiscal Quarter ended on June 30, 2022, $9,788,000 for the Fiscal Quarter ended on March 31, 2022, $10,211,000 for the Fiscal Quarter ended on December 31, 2021 and $12,116,000 for the Fiscal Quarter ended on September 30, 2021.</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Fixed Charge Coverage Ratio</w:t>
      </w:r>
      <w:r>
        <w:rPr>
          <w:rFonts w:ascii="Times New Roman" w:cs="Times New Roman" w:eastAsia="Times New Roman" w:hAnsi="Times New Roman"/>
          <w:sz w:val="19"/>
          <w:szCs w:val="19"/>
          <w:color w:val="auto"/>
        </w:rPr>
        <w:t xml:space="preserve">” means, with respect to Holdings and its Subsidiaries for any period, the </w:t>
      </w:r>
      <w:r>
        <w:rPr>
          <w:rFonts w:ascii="Times New Roman" w:cs="Times New Roman" w:eastAsia="Times New Roman" w:hAnsi="Times New Roman"/>
          <w:sz w:val="19"/>
          <w:szCs w:val="19"/>
          <w:u w:val="single" w:color="auto"/>
          <w:color w:val="auto"/>
        </w:rPr>
        <w:t>ratio</w:t>
      </w:r>
      <w:r>
        <w:rPr>
          <w:rFonts w:ascii="Times New Roman" w:cs="Times New Roman" w:eastAsia="Times New Roman" w:hAnsi="Times New Roman"/>
          <w:sz w:val="19"/>
          <w:szCs w:val="19"/>
          <w:color w:val="auto"/>
        </w:rPr>
        <w:t xml:space="preserve"> of</w:t>
      </w:r>
    </w:p>
    <w:p>
      <w:pPr>
        <w:spacing w:after="0" w:line="3" w:lineRule="exact"/>
        <w:rPr>
          <w:sz w:val="20"/>
          <w:szCs w:val="20"/>
          <w:color w:val="auto"/>
        </w:rPr>
      </w:pPr>
    </w:p>
    <w:p>
      <w:pPr>
        <w:jc w:val="both"/>
        <w:ind w:firstLine="4"/>
        <w:spacing w:after="0" w:line="215" w:lineRule="auto"/>
        <w:tabs>
          <w:tab w:leader="none" w:pos="282"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Consolidated EBITDA for such Test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 the portion of taxes based on income actually paid in cash (net of any cash refunds received) during those Fiscal Quarters in which the determination date occurs,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Consolidated Capital Expenditures and other capitalized items paid in cash and, in each case, not financed during such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(iii) investments or loans to shareholders or affiliates, cash dividends, management fees, distributions, stock repurchases and other restricted payments for such period </w:t>
      </w:r>
      <w:r>
        <w:rPr>
          <w:rFonts w:ascii="Times New Roman" w:cs="Times New Roman" w:eastAsia="Times New Roman" w:hAnsi="Times New Roman"/>
          <w:sz w:val="19"/>
          <w:szCs w:val="19"/>
          <w:u w:val="single" w:color="auto"/>
          <w:color w:val="auto"/>
        </w:rPr>
        <w:t>to</w:t>
      </w:r>
      <w:r>
        <w:rPr>
          <w:rFonts w:ascii="Times New Roman" w:cs="Times New Roman" w:eastAsia="Times New Roman" w:hAnsi="Times New Roman"/>
          <w:sz w:val="19"/>
          <w:szCs w:val="19"/>
          <w:color w:val="auto"/>
        </w:rPr>
        <w:t xml:space="preserve"> (b) Consolidated Fixed Charges for such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calculation shall exclude $1,400,000 attributable to tax payments paid in connection with dividend payments that were made prior to the Closing Date.</w:t>
      </w:r>
    </w:p>
    <w:p>
      <w:pPr>
        <w:spacing w:after="0" w:line="154"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Fixed Charges</w:t>
      </w:r>
      <w:r>
        <w:rPr>
          <w:rFonts w:ascii="Times New Roman" w:cs="Times New Roman" w:eastAsia="Times New Roman" w:hAnsi="Times New Roman"/>
          <w:sz w:val="19"/>
          <w:szCs w:val="19"/>
          <w:color w:val="auto"/>
        </w:rPr>
        <w:t xml:space="preserve">” means, with respect to Holdings and its Subsidiaries for any period ending on any determination date, the </w:t>
      </w:r>
      <w:r>
        <w:rPr>
          <w:rFonts w:ascii="Times New Roman" w:cs="Times New Roman" w:eastAsia="Times New Roman" w:hAnsi="Times New Roman"/>
          <w:sz w:val="19"/>
          <w:szCs w:val="19"/>
          <w:u w:val="single" w:color="auto"/>
          <w:color w:val="auto"/>
        </w:rPr>
        <w:t>sum</w:t>
      </w:r>
      <w:r>
        <w:rPr>
          <w:rFonts w:ascii="Times New Roman" w:cs="Times New Roman" w:eastAsia="Times New Roman" w:hAnsi="Times New Roman"/>
          <w:sz w:val="19"/>
          <w:szCs w:val="19"/>
          <w:color w:val="auto"/>
        </w:rPr>
        <w:t xml:space="preserve"> (without duplication) of (a) Consolidated Interest Expense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scheduled principal payments made during those Fiscal</w:t>
      </w:r>
    </w:p>
    <w:p>
      <w:pPr>
        <w:spacing w:after="0" w:line="216" w:lineRule="auto"/>
        <w:rPr>
          <w:sz w:val="20"/>
          <w:szCs w:val="20"/>
          <w:color w:val="auto"/>
        </w:rPr>
      </w:pPr>
      <w:r>
        <w:rPr>
          <w:rFonts w:ascii="Times New Roman" w:cs="Times New Roman" w:eastAsia="Times New Roman" w:hAnsi="Times New Roman"/>
          <w:sz w:val="19"/>
          <w:szCs w:val="19"/>
          <w:color w:val="auto"/>
        </w:rPr>
        <w:t>Quarters of the Borrower ending during the Fiscal Year in which the determination date occurs on account of principal of Indebtedness of</w:t>
      </w:r>
    </w:p>
    <w:p>
      <w:pPr>
        <w:spacing w:after="0" w:line="207" w:lineRule="auto"/>
        <w:rPr>
          <w:sz w:val="20"/>
          <w:szCs w:val="20"/>
          <w:color w:val="auto"/>
        </w:rPr>
      </w:pPr>
      <w:r>
        <w:rPr>
          <w:rFonts w:ascii="Times New Roman" w:cs="Times New Roman" w:eastAsia="Times New Roman" w:hAnsi="Times New Roman"/>
          <w:sz w:val="19"/>
          <w:szCs w:val="19"/>
          <w:color w:val="auto"/>
        </w:rPr>
        <w:t>Holdings and its Subsidiaries (including scheduled principal payments in respect of the Term Loans), provided that scheduled principal payments for the first four fiscal quarters ending after the Closing Date shall be annualized and calculated as follows: for the (A) first Fiscal Quarter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following the Closing Date, the actual amount for such quarter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four, (B) second Fiscal Quarter following the Closing Date, the actual amount</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for such Fiscal Quarter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actual amount for the first Fiscal Quarter following the Closing Date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two, and (C) for the third Fiscal Quarter following the Closing Date, the actual amount for such Fiscal Quarter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actual amount for the first Fiscal Quarter following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Closing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actual amount for the second Fiscal Quarter following the Closing Date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four-thirds (4/3). For purposes of calculating</w:t>
      </w:r>
    </w:p>
    <w:p>
      <w:pPr>
        <w:spacing w:after="0" w:line="225" w:lineRule="auto"/>
        <w:rPr>
          <w:sz w:val="20"/>
          <w:szCs w:val="20"/>
          <w:color w:val="auto"/>
        </w:rPr>
      </w:pPr>
      <w:r>
        <w:rPr>
          <w:rFonts w:ascii="Times New Roman" w:cs="Times New Roman" w:eastAsia="Times New Roman" w:hAnsi="Times New Roman"/>
          <w:sz w:val="19"/>
          <w:szCs w:val="19"/>
          <w:color w:val="auto"/>
        </w:rPr>
        <w:t>Consolidated Fixed Charges for each Test Period that includes December 31, 2022, the Borrower shall be deemed to have made an amortization payment on December 31, 2022 in the amount of $531,250.</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Interest Expense</w:t>
      </w:r>
      <w:r>
        <w:rPr>
          <w:rFonts w:ascii="Times New Roman" w:cs="Times New Roman" w:eastAsia="Times New Roman" w:hAnsi="Times New Roman"/>
          <w:sz w:val="19"/>
          <w:szCs w:val="19"/>
          <w:color w:val="auto"/>
        </w:rPr>
        <w:t>” means, for any period, total cash interest expense (including that attributable to Capital Lease</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Obligations) of Holdings and its Subsidiaries for such period with respect to all outstanding Indebtedness of such Persons (including all commissions, discounts and other fees and charges owed with respect to letters of credit and bankers’ acceptance financing and net costs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Swap Agreements in respect of interest rates to the extent such net costs are allocable to such period in accordance with GAAP).</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354" w:right="339" w:bottom="1440" w:gutter="0" w:footer="0" w:header="0"/>
        </w:sectPr>
      </w:pPr>
    </w:p>
    <w:bookmarkStart w:id="144" w:name="page145"/>
    <w:bookmarkEnd w:id="144"/>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Leverage Ratio</w:t>
      </w:r>
      <w:r>
        <w:rPr>
          <w:rFonts w:ascii="Times New Roman" w:cs="Times New Roman" w:eastAsia="Times New Roman" w:hAnsi="Times New Roman"/>
          <w:sz w:val="19"/>
          <w:szCs w:val="19"/>
          <w:color w:val="auto"/>
        </w:rPr>
        <w:t xml:space="preserve">” means, as at the last day of any period, the </w:t>
      </w:r>
      <w:r>
        <w:rPr>
          <w:rFonts w:ascii="Times New Roman" w:cs="Times New Roman" w:eastAsia="Times New Roman" w:hAnsi="Times New Roman"/>
          <w:sz w:val="19"/>
          <w:szCs w:val="19"/>
          <w:u w:val="single" w:color="auto"/>
          <w:color w:val="auto"/>
        </w:rPr>
        <w:t>ratio</w:t>
      </w:r>
      <w:r>
        <w:rPr>
          <w:rFonts w:ascii="Times New Roman" w:cs="Times New Roman" w:eastAsia="Times New Roman" w:hAnsi="Times New Roman"/>
          <w:sz w:val="19"/>
          <w:szCs w:val="19"/>
          <w:color w:val="auto"/>
        </w:rPr>
        <w:t xml:space="preserve"> of (a) (i) Consolidated Total Indebtedness on such day</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Unrestricted Cash in an amount not to exceed $20,000,000, </w:t>
      </w:r>
      <w:r>
        <w:rPr>
          <w:rFonts w:ascii="Times New Roman" w:cs="Times New Roman" w:eastAsia="Times New Roman" w:hAnsi="Times New Roman"/>
          <w:sz w:val="19"/>
          <w:szCs w:val="19"/>
          <w:u w:val="single" w:color="auto"/>
          <w:color w:val="auto"/>
        </w:rPr>
        <w:t>to</w:t>
      </w:r>
      <w:r>
        <w:rPr>
          <w:rFonts w:ascii="Times New Roman" w:cs="Times New Roman" w:eastAsia="Times New Roman" w:hAnsi="Times New Roman"/>
          <w:sz w:val="19"/>
          <w:szCs w:val="19"/>
          <w:color w:val="auto"/>
        </w:rPr>
        <w:t xml:space="preserve"> (b) Consolidated EBITDA for such Test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purposes of this definition, Consolidated EBITDA for any Test Period shall be determined on a Pro Forma Basis to give effect to any Permitted</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Acquisitions or any disposition of any business or assets consummated during such period, in each case as if such transaction occurred on the first day of such period and in accordance with Regulation S-X promulgated by the SEC.</w:t>
      </w:r>
    </w:p>
    <w:p>
      <w:pPr>
        <w:spacing w:after="0" w:line="138" w:lineRule="exact"/>
        <w:rPr>
          <w:sz w:val="20"/>
          <w:szCs w:val="20"/>
          <w:color w:val="auto"/>
        </w:rPr>
      </w:pPr>
    </w:p>
    <w:p>
      <w:pPr>
        <w:jc w:val="both"/>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Net Income</w:t>
      </w:r>
      <w:r>
        <w:rPr>
          <w:rFonts w:ascii="Times New Roman" w:cs="Times New Roman" w:eastAsia="Times New Roman" w:hAnsi="Times New Roman"/>
          <w:sz w:val="19"/>
          <w:szCs w:val="19"/>
          <w:color w:val="auto"/>
        </w:rPr>
        <w:t xml:space="preserve">” means, for any period, the consolidated net income (or loss) Holdings and its Subsidiaries, determined on a consolidated basis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be excluded from the calculation of “Consolidated Net Income” (a) the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income (or deficit) of any such Person accrued prior to the date it becomes a Subsidiary of Holdings or is merged into or consolidated with Holdings or one of its Subsidiaries, (b) the income (or deficit) of any such Person (other than a Subsidiary of Holdings) in which Holdings or one</w:t>
      </w:r>
    </w:p>
    <w:p>
      <w:pPr>
        <w:spacing w:after="0" w:line="215" w:lineRule="auto"/>
        <w:rPr>
          <w:sz w:val="20"/>
          <w:szCs w:val="20"/>
          <w:color w:val="auto"/>
        </w:rPr>
      </w:pPr>
      <w:r>
        <w:rPr>
          <w:rFonts w:ascii="Times New Roman" w:cs="Times New Roman" w:eastAsia="Times New Roman" w:hAnsi="Times New Roman"/>
          <w:sz w:val="19"/>
          <w:szCs w:val="19"/>
          <w:color w:val="auto"/>
        </w:rPr>
        <w:t>of its Subsidiaries has an ownership interest, except to the extent that any such income is actually received by Holdings or such Subsidiary in the</w:t>
      </w:r>
    </w:p>
    <w:p>
      <w:pPr>
        <w:jc w:val="both"/>
        <w:spacing w:after="0" w:line="207" w:lineRule="auto"/>
        <w:rPr>
          <w:sz w:val="20"/>
          <w:szCs w:val="20"/>
          <w:color w:val="auto"/>
        </w:rPr>
      </w:pPr>
      <w:r>
        <w:rPr>
          <w:rFonts w:ascii="Times New Roman" w:cs="Times New Roman" w:eastAsia="Times New Roman" w:hAnsi="Times New Roman"/>
          <w:sz w:val="19"/>
          <w:szCs w:val="19"/>
          <w:color w:val="auto"/>
        </w:rPr>
        <w:t>form of dividends or similar distributions, (c) the undistributed earnings of any Subsidiary of Holdings to the extent that the declaration or payment of dividends or similar distributions by such Subsidiary is not at the time permitted by the terms of any Contractual Obligation (other</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than under any Loan Document) or Requirement of Law applicable to such Subsidiary and (d) the revenue of any PC Entity that is not a Qualified PC Entity.</w:t>
      </w:r>
    </w:p>
    <w:p>
      <w:pPr>
        <w:spacing w:after="0" w:line="138" w:lineRule="exact"/>
        <w:rPr>
          <w:sz w:val="20"/>
          <w:szCs w:val="20"/>
          <w:color w:val="auto"/>
        </w:rPr>
      </w:pPr>
    </w:p>
    <w:p>
      <w:pPr>
        <w:jc w:val="both"/>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Net Leverage Ratio</w:t>
      </w:r>
      <w:r>
        <w:rPr>
          <w:rFonts w:ascii="Times New Roman" w:cs="Times New Roman" w:eastAsia="Times New Roman" w:hAnsi="Times New Roman"/>
          <w:sz w:val="19"/>
          <w:szCs w:val="19"/>
          <w:color w:val="auto"/>
        </w:rPr>
        <w:t xml:space="preserve">” means, as at the last day of any period, the </w:t>
      </w:r>
      <w:r>
        <w:rPr>
          <w:rFonts w:ascii="Times New Roman" w:cs="Times New Roman" w:eastAsia="Times New Roman" w:hAnsi="Times New Roman"/>
          <w:sz w:val="19"/>
          <w:szCs w:val="19"/>
          <w:u w:val="single" w:color="auto"/>
          <w:color w:val="auto"/>
        </w:rPr>
        <w:t>ratio</w:t>
      </w:r>
      <w:r>
        <w:rPr>
          <w:rFonts w:ascii="Times New Roman" w:cs="Times New Roman" w:eastAsia="Times New Roman" w:hAnsi="Times New Roman"/>
          <w:sz w:val="19"/>
          <w:szCs w:val="19"/>
          <w:color w:val="auto"/>
        </w:rPr>
        <w:t xml:space="preserve"> of (a) (i) Consolidated Outstanding Indebtedness on such day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Unrestricted Cash in an amount not to exceed $20,000,000, </w:t>
      </w:r>
      <w:r>
        <w:rPr>
          <w:rFonts w:ascii="Times New Roman" w:cs="Times New Roman" w:eastAsia="Times New Roman" w:hAnsi="Times New Roman"/>
          <w:sz w:val="19"/>
          <w:szCs w:val="19"/>
          <w:u w:val="single" w:color="auto"/>
          <w:color w:val="auto"/>
        </w:rPr>
        <w:t>to</w:t>
      </w:r>
      <w:r>
        <w:rPr>
          <w:rFonts w:ascii="Times New Roman" w:cs="Times New Roman" w:eastAsia="Times New Roman" w:hAnsi="Times New Roman"/>
          <w:sz w:val="19"/>
          <w:szCs w:val="19"/>
          <w:color w:val="auto"/>
        </w:rPr>
        <w:t xml:space="preserve"> (b) Consolidated EBITDA for such Test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for purposes of this definition, (x) Consolidated EBITDA for any Test Period shall be determined on a Pro Forma Basis to give effect to any Permitted Acquisitions or any disposition of any business or assets consummated during such period, in each case as if such transaction occurred</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on the first day of such period and in accordance with Regulation S-X promulgated by the SEC and (y) Consolidated Outstanding Indebtedness for any Test Period shall be determined on a Pro Forma Basis to give effect to any mandatory prepayment required under this Agreement during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period.</w:t>
      </w:r>
    </w:p>
    <w:p>
      <w:pPr>
        <w:spacing w:after="0" w:line="172"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Outstanding Indebtedness</w:t>
      </w:r>
      <w:r>
        <w:rPr>
          <w:rFonts w:ascii="Times New Roman" w:cs="Times New Roman" w:eastAsia="Times New Roman" w:hAnsi="Times New Roman"/>
          <w:sz w:val="19"/>
          <w:szCs w:val="19"/>
          <w:color w:val="auto"/>
        </w:rPr>
        <w:t xml:space="preserve">” means, at any date, the aggregate principal amount of all Indebtedness for borrowed money of Holdings and its Subsidiaries outstanding at such date, determined on a consolidated basis in accordance with GAAP, including drawn Letters of Credit for which the drawing thereunder has not been reimbursed, and all purchase money Liens and Capital Lease Obligations, but excluding any contingent liabilities or liabilities referred to in </w:t>
      </w:r>
      <w:r>
        <w:rPr>
          <w:rFonts w:ascii="Times New Roman" w:cs="Times New Roman" w:eastAsia="Times New Roman" w:hAnsi="Times New Roman"/>
          <w:sz w:val="19"/>
          <w:szCs w:val="19"/>
          <w:u w:val="single" w:color="auto"/>
          <w:color w:val="auto"/>
        </w:rPr>
        <w:t>clause (g)</w:t>
      </w:r>
      <w:r>
        <w:rPr>
          <w:rFonts w:ascii="Times New Roman" w:cs="Times New Roman" w:eastAsia="Times New Roman" w:hAnsi="Times New Roman"/>
          <w:sz w:val="19"/>
          <w:szCs w:val="19"/>
          <w:color w:val="auto"/>
        </w:rPr>
        <w:t xml:space="preserve"> of the definition of “Indebtedness”.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Total Indebtedness</w:t>
      </w:r>
      <w:r>
        <w:rPr>
          <w:rFonts w:ascii="Times New Roman" w:cs="Times New Roman" w:eastAsia="Times New Roman" w:hAnsi="Times New Roman"/>
          <w:sz w:val="19"/>
          <w:szCs w:val="19"/>
          <w:color w:val="auto"/>
        </w:rPr>
        <w:t>” means, at any date, the aggregate principal amount of all Indebtedness for borrowed money of</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Holdings and its Subsidiaries at such date, determined on a consolidated basis in accordance with GAAP, including drawn Letters of Credit for which the drawing thereunder has not been reimbursed, and all purchase money Liens and Capital Lease Obligations, but excluding any contingent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liabilities or liabilities referred to in </w:t>
      </w:r>
      <w:r>
        <w:rPr>
          <w:rFonts w:ascii="Times New Roman" w:cs="Times New Roman" w:eastAsia="Times New Roman" w:hAnsi="Times New Roman"/>
          <w:sz w:val="19"/>
          <w:szCs w:val="19"/>
          <w:u w:val="single" w:color="auto"/>
          <w:color w:val="auto"/>
        </w:rPr>
        <w:t>clause (g)</w:t>
      </w:r>
      <w:r>
        <w:rPr>
          <w:rFonts w:ascii="Times New Roman" w:cs="Times New Roman" w:eastAsia="Times New Roman" w:hAnsi="Times New Roman"/>
          <w:sz w:val="19"/>
          <w:szCs w:val="19"/>
          <w:color w:val="auto"/>
        </w:rPr>
        <w:t xml:space="preserve"> of the definition of “Indebtedness”.</w:t>
      </w:r>
    </w:p>
    <w:p>
      <w:pPr>
        <w:spacing w:after="0" w:line="159"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Consulting Agreements</w:t>
      </w:r>
      <w:r>
        <w:rPr>
          <w:rFonts w:ascii="Times New Roman" w:cs="Times New Roman" w:eastAsia="Times New Roman" w:hAnsi="Times New Roman"/>
          <w:sz w:val="19"/>
          <w:szCs w:val="19"/>
          <w:color w:val="auto"/>
        </w:rPr>
        <w:t>” shall mean each consulting agreement (or similar agreement) between a Loan Party and the consultant party thereto, in form and substance reasonably acceptable to Administrative Agent, as the same may be amended, restated, supplemented or otherwise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modified from time to time to the extent not prohibited by this Agreement.</w:t>
      </w:r>
    </w:p>
    <w:p>
      <w:pPr>
        <w:spacing w:after="0" w:line="159"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Continuity Agreements</w:t>
      </w:r>
      <w:r>
        <w:rPr>
          <w:rFonts w:ascii="Times New Roman" w:cs="Times New Roman" w:eastAsia="Times New Roman" w:hAnsi="Times New Roman"/>
          <w:sz w:val="19"/>
          <w:szCs w:val="19"/>
          <w:color w:val="auto"/>
        </w:rPr>
        <w:t>” means each continuity agreement, membership interest transfer restriction agreement, stock transfer restriction agreement or other similar agreement between the applicable Loan Party, the applicable PC Entity and the applicable equity holder(s) of such PC</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Entity, in form and substance reasonably satisfactory to Administrative Agent, as the same may be amended, restated, supplemented or otherwise modified from time to time to the extent not prohibited by this Agreement.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350" w:right="339" w:bottom="1440" w:gutter="0" w:footer="0" w:header="0"/>
        </w:sectPr>
      </w:pPr>
    </w:p>
    <w:bookmarkStart w:id="145" w:name="page146"/>
    <w:bookmarkEnd w:id="145"/>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Contractual Obligation</w:t>
      </w:r>
      <w:r>
        <w:rPr>
          <w:rFonts w:ascii="Times New Roman" w:cs="Times New Roman" w:eastAsia="Times New Roman" w:hAnsi="Times New Roman"/>
          <w:sz w:val="19"/>
          <w:szCs w:val="19"/>
          <w:color w:val="auto"/>
        </w:rPr>
        <w:t>” means, as to any Person, any provision of any security issued by such Person or of any agreement, instrument or other undertaking to which such Person is a party or by which it or any of its property is bound.</w:t>
      </w:r>
    </w:p>
    <w:p>
      <w:pPr>
        <w:spacing w:after="0" w:line="125"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Control</w:t>
      </w:r>
      <w:r>
        <w:rPr>
          <w:rFonts w:ascii="Times New Roman" w:cs="Times New Roman" w:eastAsia="Times New Roman" w:hAnsi="Times New Roman"/>
          <w:sz w:val="19"/>
          <w:szCs w:val="19"/>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9"/>
          <w:szCs w:val="19"/>
          <w:b w:val="1"/>
          <w:bCs w:val="1"/>
          <w:i w:val="1"/>
          <w:iCs w:val="1"/>
          <w:color w:val="auto"/>
        </w:rPr>
        <w:t>Controlled</w:t>
      </w:r>
      <w:r>
        <w:rPr>
          <w:rFonts w:ascii="Times New Roman" w:cs="Times New Roman" w:eastAsia="Times New Roman" w:hAnsi="Times New Roman"/>
          <w:sz w:val="19"/>
          <w:szCs w:val="19"/>
          <w:color w:val="auto"/>
        </w:rPr>
        <w:t>” has a meaning correlative thereto.</w:t>
      </w:r>
    </w:p>
    <w:p>
      <w:pPr>
        <w:spacing w:after="0" w:line="138"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Control Agreement</w:t>
      </w:r>
      <w:r>
        <w:rPr>
          <w:rFonts w:ascii="Times New Roman" w:cs="Times New Roman" w:eastAsia="Times New Roman" w:hAnsi="Times New Roman"/>
          <w:sz w:val="19"/>
          <w:szCs w:val="19"/>
          <w:color w:val="auto"/>
        </w:rPr>
        <w:t>” means any account control agreement entered into among the depository institution at which a Loan Party maintains a Deposit Account or the securities intermediary at which a Loan Party maintains a Securities Account, such Loan Party, and the Administrative</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Agent pursuant to which the Administrative Agent obtains control (within the meaning of the UCC or any other applicable law) over such Deposit Account or Securities Account.</w:t>
      </w:r>
    </w:p>
    <w:p>
      <w:pPr>
        <w:spacing w:after="0" w:line="138"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Controlled Account</w:t>
      </w:r>
      <w:r>
        <w:rPr>
          <w:rFonts w:ascii="Times New Roman" w:cs="Times New Roman" w:eastAsia="Times New Roman" w:hAnsi="Times New Roman"/>
          <w:sz w:val="19"/>
          <w:szCs w:val="19"/>
          <w:color w:val="auto"/>
        </w:rPr>
        <w:t>” means each Deposit Account and Securities Account that is subject to a Control Agreement in form and substance satisfactory to the Administrative Agent and the Issuing Lender.</w:t>
      </w:r>
    </w:p>
    <w:p>
      <w:pPr>
        <w:spacing w:after="0" w:line="138"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Covenant Relief Period</w:t>
      </w:r>
      <w:r>
        <w:rPr>
          <w:rFonts w:ascii="Times New Roman" w:cs="Times New Roman" w:eastAsia="Times New Roman" w:hAnsi="Times New Roman"/>
          <w:sz w:val="19"/>
          <w:szCs w:val="19"/>
          <w:color w:val="auto"/>
        </w:rPr>
        <w:t>” means the period beginning on the first Business Day after the Test Period ending on or about June 30, 2025 (such date, the “</w:t>
      </w:r>
      <w:r>
        <w:rPr>
          <w:rFonts w:ascii="Times New Roman" w:cs="Times New Roman" w:eastAsia="Times New Roman" w:hAnsi="Times New Roman"/>
          <w:sz w:val="19"/>
          <w:szCs w:val="19"/>
          <w:b w:val="1"/>
          <w:bCs w:val="1"/>
          <w:i w:val="1"/>
          <w:iCs w:val="1"/>
          <w:color w:val="auto"/>
        </w:rPr>
        <w:t>Covenant Relief Period Beginning Date</w:t>
      </w:r>
      <w:r>
        <w:rPr>
          <w:rFonts w:ascii="Times New Roman" w:cs="Times New Roman" w:eastAsia="Times New Roman" w:hAnsi="Times New Roman"/>
          <w:sz w:val="19"/>
          <w:szCs w:val="19"/>
          <w:color w:val="auto"/>
        </w:rPr>
        <w:t>”) and ending on the Maturity Date.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Covenant Relief Period Beginning Date</w:t>
      </w:r>
      <w:r>
        <w:rPr>
          <w:rFonts w:ascii="Times New Roman" w:cs="Times New Roman" w:eastAsia="Times New Roman" w:hAnsi="Times New Roman"/>
          <w:sz w:val="19"/>
          <w:szCs w:val="19"/>
          <w:color w:val="auto"/>
        </w:rPr>
        <w:t>” has the meaning set forth in the definition of “Covenant Relief Period”.</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Credit Extension</w:t>
      </w:r>
      <w:r>
        <w:rPr>
          <w:rFonts w:ascii="Times New Roman" w:cs="Times New Roman" w:eastAsia="Times New Roman" w:hAnsi="Times New Roman"/>
          <w:sz w:val="19"/>
          <w:szCs w:val="19"/>
          <w:color w:val="auto"/>
        </w:rPr>
        <w:t>” means (i) the making of a Term Loan, Revolving Loan or Swingline Loan or (ii) any L/C Advance.</w:t>
      </w:r>
    </w:p>
    <w:p>
      <w:pPr>
        <w:spacing w:after="0" w:line="172"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Daily Simple SOFR</w:t>
      </w:r>
      <w:r>
        <w:rPr>
          <w:rFonts w:ascii="Times New Roman" w:cs="Times New Roman" w:eastAsia="Times New Roman" w:hAnsi="Times New Roman"/>
          <w:sz w:val="19"/>
          <w:szCs w:val="19"/>
          <w:color w:val="auto"/>
        </w:rPr>
        <w:t>” means, for any day (a “</w:t>
      </w:r>
      <w:r>
        <w:rPr>
          <w:rFonts w:ascii="Times New Roman" w:cs="Times New Roman" w:eastAsia="Times New Roman" w:hAnsi="Times New Roman"/>
          <w:sz w:val="19"/>
          <w:szCs w:val="19"/>
          <w:b w:val="1"/>
          <w:bCs w:val="1"/>
          <w:i w:val="1"/>
          <w:iCs w:val="1"/>
          <w:color w:val="auto"/>
        </w:rPr>
        <w:t>SOFR Rate Day</w:t>
      </w:r>
      <w:r>
        <w:rPr>
          <w:rFonts w:ascii="Times New Roman" w:cs="Times New Roman" w:eastAsia="Times New Roman" w:hAnsi="Times New Roman"/>
          <w:sz w:val="19"/>
          <w:szCs w:val="19"/>
          <w:color w:val="auto"/>
        </w:rPr>
        <w:t>”), a rate per annum equal to the greater of (a) SOFR for the day (such day a “</w:t>
      </w:r>
      <w:r>
        <w:rPr>
          <w:rFonts w:ascii="Times New Roman" w:cs="Times New Roman" w:eastAsia="Times New Roman" w:hAnsi="Times New Roman"/>
          <w:sz w:val="19"/>
          <w:szCs w:val="19"/>
          <w:b w:val="1"/>
          <w:bCs w:val="1"/>
          <w:i w:val="1"/>
          <w:iCs w:val="1"/>
          <w:color w:val="auto"/>
        </w:rPr>
        <w:t>SOFR Determination Day</w:t>
      </w:r>
      <w:r>
        <w:rPr>
          <w:rFonts w:ascii="Times New Roman" w:cs="Times New Roman" w:eastAsia="Times New Roman" w:hAnsi="Times New Roman"/>
          <w:sz w:val="19"/>
          <w:szCs w:val="19"/>
          <w:color w:val="auto"/>
        </w:rPr>
        <w:t>”) that is five U.S. Government Securities Business Days prior to (i) if such SOFR Rate Day is a U.S. Government</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19"/>
          <w:szCs w:val="19"/>
          <w:color w:val="auto"/>
        </w:rPr>
        <w:t>Securities Business Day, such SOFR Rate Day or (ii) if such SOFR Rate Day is not a U.S. Government Securities Business Day, the U.S. Government Securities Business Day immediately preceding such SOFR Rate Day, in each case, as such SOFR is published by the SOFR</w:t>
      </w:r>
    </w:p>
    <w:p>
      <w:pPr>
        <w:spacing w:after="0" w:line="1" w:lineRule="exact"/>
        <w:rPr>
          <w:sz w:val="20"/>
          <w:szCs w:val="20"/>
          <w:color w:val="auto"/>
        </w:rPr>
      </w:pPr>
    </w:p>
    <w:p>
      <w:pPr>
        <w:spacing w:after="0" w:line="195" w:lineRule="auto"/>
        <w:rPr>
          <w:sz w:val="20"/>
          <w:szCs w:val="20"/>
          <w:color w:val="auto"/>
        </w:rPr>
      </w:pPr>
      <w:r>
        <w:rPr>
          <w:rFonts w:ascii="Times New Roman" w:cs="Times New Roman" w:eastAsia="Times New Roman" w:hAnsi="Times New Roman"/>
          <w:sz w:val="18"/>
          <w:szCs w:val="18"/>
          <w:color w:val="auto"/>
        </w:rPr>
        <w:t>Administrator on the SOFR Administrator’s Website, and (b) the Floor. If by 5:00 p.m. (New York City time) on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U.S. Government Securities Business Day immediately following any SOFR Determination Day, SOFR in respect of such SOFR Determination Day has not been</w:t>
      </w:r>
    </w:p>
    <w:p>
      <w:pPr>
        <w:spacing w:after="0" w:line="214" w:lineRule="auto"/>
        <w:rPr>
          <w:sz w:val="20"/>
          <w:szCs w:val="20"/>
          <w:color w:val="auto"/>
        </w:rPr>
      </w:pPr>
      <w:r>
        <w:rPr>
          <w:rFonts w:ascii="Times New Roman" w:cs="Times New Roman" w:eastAsia="Times New Roman" w:hAnsi="Times New Roman"/>
          <w:sz w:val="19"/>
          <w:szCs w:val="19"/>
          <w:color w:val="auto"/>
        </w:rPr>
        <w:t>published on the SOFR Administrator’s Website and a Benchmark Replacement Date with respect to the Daily Simple SOFR has not occurred,</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SOFR determined pursuant to this sentence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shall be utilized for purposes of calculation of Daily Simple SOFR for no more than three consecutive SOFR Rate Days;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if</w:t>
      </w:r>
    </w:p>
    <w:p>
      <w:pPr>
        <w:spacing w:after="0" w:line="207" w:lineRule="auto"/>
        <w:rPr>
          <w:sz w:val="20"/>
          <w:szCs w:val="20"/>
          <w:color w:val="auto"/>
        </w:rPr>
      </w:pPr>
      <w:r>
        <w:rPr>
          <w:rFonts w:ascii="Times New Roman" w:cs="Times New Roman" w:eastAsia="Times New Roman" w:hAnsi="Times New Roman"/>
          <w:sz w:val="19"/>
          <w:szCs w:val="19"/>
          <w:color w:val="auto"/>
        </w:rPr>
        <w:t>the Daily Simple SOFR as so determined shall ever be less than the Floor, then Daily Simple SOFR shall be deemed to be the Floor. Any change in Daily Simple SOFR due to a change in SOFR shall be effective from and including the effective date of such change in SOFR without notice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Borrower.</w:t>
      </w:r>
    </w:p>
    <w:p>
      <w:pPr>
        <w:spacing w:after="0" w:line="159"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Debtor Relief Laws</w:t>
      </w:r>
      <w:r>
        <w:rPr>
          <w:rFonts w:ascii="Times New Roman" w:cs="Times New Roman" w:eastAsia="Times New Roman" w:hAnsi="Times New Roman"/>
          <w:sz w:val="19"/>
          <w:szCs w:val="19"/>
          <w:color w:val="auto"/>
        </w:rPr>
        <w:t>” means the Bankruptcy Code, and all other liquidation, conservatorship, bankruptcy, assignment for the benefit of creditors, moratorium, rearrangement, receivership, insolvency, reorganization, or similar debtor relief laws of the United States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applicable jurisdictions from time to time in effect.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Declined Amount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2.12(c)</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w:t>
      </w:r>
      <w:r>
        <w:rPr>
          <w:rFonts w:ascii="Times New Roman" w:cs="Times New Roman" w:eastAsia="Times New Roman" w:hAnsi="Times New Roman"/>
          <w:sz w:val="19"/>
          <w:szCs w:val="19"/>
          <w:color w:val="auto"/>
        </w:rPr>
        <w:t xml:space="preserve">” means any of the events specified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whether or not any requirement for the giving of notice, the lapse of time, or both, has been satisfied.</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 Rate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2.15(c)</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350" w:right="339" w:bottom="1440" w:gutter="0" w:footer="0" w:header="0"/>
        </w:sectPr>
      </w:pPr>
    </w:p>
    <w:bookmarkStart w:id="146" w:name="page147"/>
    <w:bookmarkEnd w:id="146"/>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2.24(b)</w:t>
      </w:r>
      <w:r>
        <w:rPr>
          <w:rFonts w:ascii="Times New Roman" w:cs="Times New Roman" w:eastAsia="Times New Roman" w:hAnsi="Times New Roman"/>
          <w:sz w:val="19"/>
          <w:szCs w:val="19"/>
          <w:color w:val="auto"/>
        </w:rPr>
        <w:t>, any Lender that (a) has failed to (i) fund all or any portion of its Loans within two</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Business Days of the date such Loans were required to be funded hereunder unless such Lender notifies the Administrative Agent and the Borrower in writing that such failure is the result of such Lender’s reasonable determination that one or more conditions precedent to funding</w:t>
      </w:r>
    </w:p>
    <w:p>
      <w:pPr>
        <w:spacing w:after="0" w:line="215" w:lineRule="auto"/>
        <w:rPr>
          <w:sz w:val="20"/>
          <w:szCs w:val="20"/>
          <w:color w:val="auto"/>
        </w:rPr>
      </w:pPr>
      <w:r>
        <w:rPr>
          <w:rFonts w:ascii="Times New Roman" w:cs="Times New Roman" w:eastAsia="Times New Roman" w:hAnsi="Times New Roman"/>
          <w:sz w:val="19"/>
          <w:szCs w:val="19"/>
          <w:color w:val="auto"/>
        </w:rPr>
        <w:t>(each of which conditions precedent, together with any applicable default, shall be specifically identified in such writing) has not been satisfied, or</w:t>
      </w:r>
    </w:p>
    <w:p>
      <w:pPr>
        <w:jc w:val="both"/>
        <w:ind w:firstLine="4"/>
        <w:spacing w:after="0" w:line="211" w:lineRule="auto"/>
        <w:tabs>
          <w:tab w:leader="none" w:pos="299"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 to the Administrative Agent, the Issuing Lender, the Swingline Lender or any other Lender any other amount required to be paid by it hereunder (including in respect of its participation in Letters of Credit or Swingline Loans) within two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9"/>
          <w:szCs w:val="19"/>
          <w:u w:val="single" w:color="auto"/>
          <w:color w:val="auto"/>
        </w:rPr>
        <w:t>Section 2.24(b)</w:t>
      </w:r>
      <w:r>
        <w:rPr>
          <w:rFonts w:ascii="Times New Roman" w:cs="Times New Roman" w:eastAsia="Times New Roman" w:hAnsi="Times New Roman"/>
          <w:sz w:val="19"/>
          <w:szCs w:val="19"/>
          <w:color w:val="auto"/>
        </w:rPr>
        <w:t>) upon delivery of written notice of such determination to the Borrower, the Issuing Lender, the Swingline Lender and each Lender.</w:t>
      </w:r>
    </w:p>
    <w:p>
      <w:pPr>
        <w:spacing w:after="0" w:line="157"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Deficit Funding Agreement</w:t>
      </w:r>
      <w:r>
        <w:rPr>
          <w:rFonts w:ascii="Times New Roman" w:cs="Times New Roman" w:eastAsia="Times New Roman" w:hAnsi="Times New Roman"/>
          <w:sz w:val="19"/>
          <w:szCs w:val="19"/>
          <w:color w:val="auto"/>
        </w:rPr>
        <w:t>” means each deficit funding loan agreement (or similar agreement) between a Loan Party and a PC Entity, in form and substance reasonably acceptable to the Administrative Agent, as the same may be amended, restated, supplemented or otherwise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modified from time to time to the extent not prohibited by this Agreement, pursuant to which security agreement such PC Entity shall grant a security interest in favor of such Loan Party to secure the payment and performance of such PC Entity’s obligations to such Loan Party.</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Deposit Account</w:t>
      </w:r>
      <w:r>
        <w:rPr>
          <w:rFonts w:ascii="Times New Roman" w:cs="Times New Roman" w:eastAsia="Times New Roman" w:hAnsi="Times New Roman"/>
          <w:sz w:val="19"/>
          <w:szCs w:val="19"/>
          <w:color w:val="auto"/>
        </w:rPr>
        <w:t>” means any “deposit account” as defined in the UCC with such additions to such term as may hereafter be made.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Deposit Account Control Agreement</w:t>
      </w:r>
      <w:r>
        <w:rPr>
          <w:rFonts w:ascii="Times New Roman" w:cs="Times New Roman" w:eastAsia="Times New Roman" w:hAnsi="Times New Roman"/>
          <w:sz w:val="19"/>
          <w:szCs w:val="19"/>
          <w:color w:val="auto"/>
        </w:rPr>
        <w:t>” means any Control Agreement entered into by the Administrative Agent, a Loan Party and a</w:t>
      </w:r>
    </w:p>
    <w:p>
      <w:pPr>
        <w:spacing w:after="0" w:line="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financial institution holding a Deposit Account of such Loan Party pursuant to which the Administrative Agent is granted “control” (for purposes of the UCC) over such Deposit Account.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Designated Jurisdiction</w:t>
      </w:r>
      <w:r>
        <w:rPr>
          <w:rFonts w:ascii="Times New Roman" w:cs="Times New Roman" w:eastAsia="Times New Roman" w:hAnsi="Times New Roman"/>
          <w:sz w:val="19"/>
          <w:szCs w:val="19"/>
          <w:color w:val="auto"/>
        </w:rPr>
        <w:t>” means any country or territory to the extent that such country or territory itself is the subject of any Sanction.</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Determination Date</w:t>
      </w:r>
      <w:r>
        <w:rPr>
          <w:rFonts w:ascii="Times New Roman" w:cs="Times New Roman" w:eastAsia="Times New Roman" w:hAnsi="Times New Roman"/>
          <w:sz w:val="19"/>
          <w:szCs w:val="19"/>
          <w:color w:val="auto"/>
        </w:rPr>
        <w:t>” has the meaning set forth in the definition of “Pro Forma Basis”.</w:t>
      </w:r>
    </w:p>
    <w:p>
      <w:pPr>
        <w:spacing w:after="0" w:line="172" w:lineRule="exact"/>
        <w:rPr>
          <w:sz w:val="20"/>
          <w:szCs w:val="20"/>
          <w:color w:val="auto"/>
        </w:rPr>
      </w:pPr>
    </w:p>
    <w:p>
      <w:pPr>
        <w:jc w:val="both"/>
        <w:ind w:firstLine="625"/>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Discharge of Obligations</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the satisfaction of the Obligations (including all such Obligations relating to Cash Management Services) by the payment in full, in cash (or, as applicable, cash collateralization in accordance with the terms hereof) of the principal of and interest on or other liabilities relating to each Loan and any previously provided Cash Management Services, all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40"/>
          </w:cols>
          <w:pgMar w:left="320" w:top="135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9"/>
          <w:szCs w:val="19"/>
          <w:color w:val="auto"/>
        </w:rPr>
        <w:t>fees and all other expenses or amounts payable under any Loan Document (other than inchoate indemnification obligations and any other</w:t>
      </w:r>
    </w:p>
    <w:p>
      <w:pPr>
        <w:spacing w:after="0" w:line="207" w:lineRule="auto"/>
        <w:rPr>
          <w:sz w:val="20"/>
          <w:szCs w:val="20"/>
          <w:color w:val="auto"/>
        </w:rPr>
      </w:pPr>
      <w:r>
        <w:rPr>
          <w:rFonts w:ascii="Times New Roman" w:cs="Times New Roman" w:eastAsia="Times New Roman" w:hAnsi="Times New Roman"/>
          <w:sz w:val="19"/>
          <w:szCs w:val="19"/>
          <w:color w:val="auto"/>
        </w:rPr>
        <w:t>obligations which pursuant to the terms of any Loan Document specifically survive repayment of the Loans for which no claim has been made), and other Obligations under or in respect of Specified Swap Agreements and Cash Management Services, to the extent (a) no default or</w:t>
      </w:r>
    </w:p>
    <w:p>
      <w:pPr>
        <w:spacing w:after="0" w:line="215" w:lineRule="auto"/>
        <w:rPr>
          <w:sz w:val="20"/>
          <w:szCs w:val="20"/>
          <w:color w:val="auto"/>
        </w:rPr>
      </w:pPr>
      <w:r>
        <w:rPr>
          <w:rFonts w:ascii="Times New Roman" w:cs="Times New Roman" w:eastAsia="Times New Roman" w:hAnsi="Times New Roman"/>
          <w:sz w:val="19"/>
          <w:szCs w:val="19"/>
          <w:color w:val="auto"/>
        </w:rPr>
        <w:t>termination event shall have occurred and be continuing thereunder, (b) any such Obligations in respect of Specified Swap Agreements have, if</w:t>
      </w:r>
    </w:p>
    <w:p>
      <w:pPr>
        <w:jc w:val="both"/>
        <w:spacing w:after="0" w:line="207" w:lineRule="auto"/>
        <w:rPr>
          <w:sz w:val="20"/>
          <w:szCs w:val="20"/>
          <w:color w:val="auto"/>
        </w:rPr>
      </w:pPr>
      <w:r>
        <w:rPr>
          <w:rFonts w:ascii="Times New Roman" w:cs="Times New Roman" w:eastAsia="Times New Roman" w:hAnsi="Times New Roman"/>
          <w:sz w:val="19"/>
          <w:szCs w:val="19"/>
          <w:color w:val="auto"/>
        </w:rPr>
        <w:t>required by any applicable Qualified Counterparties, been cash collateralized in accordance with the terms hereof, (c) no Letter of Credit shall be outstanding (or, as applicable, each outstanding and undrawn Letter of Credit has been Cash Collateralized in accordance with the terms hereof),</w:t>
      </w:r>
    </w:p>
    <w:p>
      <w:pPr>
        <w:spacing w:after="0" w:line="1" w:lineRule="exact"/>
        <w:rPr>
          <w:sz w:val="20"/>
          <w:szCs w:val="20"/>
          <w:color w:val="auto"/>
        </w:rPr>
      </w:pPr>
    </w:p>
    <w:p>
      <w:pPr>
        <w:jc w:val="both"/>
        <w:ind w:firstLine="4"/>
        <w:spacing w:after="0" w:line="221" w:lineRule="auto"/>
        <w:tabs>
          <w:tab w:leader="none" w:pos="281"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Obligations in respect of any Cash Management Services are outstanding (or, as applicable, all such outstanding Obligations in respect of Cash Management Services have been cash collateralized in accordance with the terms hereof), and (e) the aggregate Commitments of the Lenders are terminated.</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Disposition</w:t>
      </w:r>
      <w:r>
        <w:rPr>
          <w:rFonts w:ascii="Times New Roman" w:cs="Times New Roman" w:eastAsia="Times New Roman" w:hAnsi="Times New Roman"/>
          <w:sz w:val="19"/>
          <w:szCs w:val="19"/>
          <w:color w:val="auto"/>
        </w:rPr>
        <w:t>” means, with respect to any property (including, without limitation, Capital Stock of Holdings or any of its Subsidiaries), any</w:t>
      </w:r>
    </w:p>
    <w:p>
      <w:pPr>
        <w:spacing w:after="0" w:line="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sale, lease, Sale Leaseback Transaction, assignment, conveyance, transfer, encumbrance or other disposition thereof and any issuance of Capital Stock of Holdings or any of its Subsidiaries. The term “</w:t>
      </w:r>
      <w:r>
        <w:rPr>
          <w:rFonts w:ascii="Times New Roman" w:cs="Times New Roman" w:eastAsia="Times New Roman" w:hAnsi="Times New Roman"/>
          <w:sz w:val="19"/>
          <w:szCs w:val="19"/>
          <w:b w:val="1"/>
          <w:bCs w:val="1"/>
          <w:i w:val="1"/>
          <w:iCs w:val="1"/>
          <w:color w:val="auto"/>
        </w:rPr>
        <w:t>Dispose</w:t>
      </w:r>
      <w:r>
        <w:rPr>
          <w:rFonts w:ascii="Times New Roman" w:cs="Times New Roman" w:eastAsia="Times New Roman" w:hAnsi="Times New Roman"/>
          <w:sz w:val="19"/>
          <w:szCs w:val="19"/>
          <w:color w:val="auto"/>
        </w:rPr>
        <w:t>” shall have a correlative meaning.</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Disqualified Institution</w:t>
      </w:r>
      <w:r>
        <w:rPr>
          <w:rFonts w:ascii="Times New Roman" w:cs="Times New Roman" w:eastAsia="Times New Roman" w:hAnsi="Times New Roman"/>
          <w:sz w:val="19"/>
          <w:szCs w:val="19"/>
          <w:color w:val="auto"/>
        </w:rPr>
        <w:t>” means (a) any person specifically identified by name in writing to the Administrative Agent by the Borrower on</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or prior to the Closing Date, (b) any person that is periodically designated in writing to the Administrative Agent by the Borrower after the Closing Date, subject to the Administrative Agent’s consent (not to be unreasonably withheld, delayed or conditioned) and (c) any Competitor of the Loan</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 xml:space="preserve">Parties or Affiliate of such Competitor;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any designation permitted by the foregoing shall not apply retroactively to any prior assignment to any Lender.</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Division</w:t>
      </w:r>
      <w:r>
        <w:rPr>
          <w:rFonts w:ascii="Times New Roman" w:cs="Times New Roman" w:eastAsia="Times New Roman" w:hAnsi="Times New Roman"/>
          <w:sz w:val="19"/>
          <w:szCs w:val="19"/>
          <w:color w:val="auto"/>
        </w:rPr>
        <w:t>” means, in reference to any Person which is an entity, the division of such Person into two or more separate Persons, with the</w:t>
      </w:r>
    </w:p>
    <w:p>
      <w:pPr>
        <w:spacing w:after="0" w:line="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dividing Person either continuing or terminating its existence as part of such division, including as contemplated under Section 18-217 of the Delaware Limited Liability Company Act, or any analogous action taken pursuant to any other applicable Requirements of Law.</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Dollars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 means dollars in lawful currency of the United States.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Domestic Subsidiary</w:t>
      </w:r>
      <w:r>
        <w:rPr>
          <w:rFonts w:ascii="Times New Roman" w:cs="Times New Roman" w:eastAsia="Times New Roman" w:hAnsi="Times New Roman"/>
          <w:sz w:val="19"/>
          <w:szCs w:val="19"/>
          <w:color w:val="auto"/>
        </w:rPr>
        <w:t>” means any Subsidiary of Holdings organized under the laws of any jurisdiction within the United States.</w:t>
      </w:r>
    </w:p>
    <w:p>
      <w:pPr>
        <w:spacing w:after="0" w:line="172"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Effective Yield</w:t>
      </w:r>
      <w:r>
        <w:rPr>
          <w:rFonts w:ascii="Times New Roman" w:cs="Times New Roman" w:eastAsia="Times New Roman" w:hAnsi="Times New Roman"/>
          <w:sz w:val="19"/>
          <w:szCs w:val="19"/>
          <w:color w:val="auto"/>
        </w:rPr>
        <w:t>” means, as to any Indebtedness, the effective yield applicable thereto calculated by the Administrative Agent in consultation with the Borrower in a manner consistent with generally accepted financial practices, taking into account (a) the applicable interest</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rate margins (which interest rate margins, if subject to a pricing grid, shall be determined based on the applicable pricing level in effect on such date of determination), (b) the applicable benchmark rate (disregarding the ABR or any rate based on a central bank rate to the extent any other</w:t>
      </w:r>
    </w:p>
    <w:p>
      <w:pPr>
        <w:spacing w:after="0" w:line="215" w:lineRule="auto"/>
        <w:rPr>
          <w:sz w:val="20"/>
          <w:szCs w:val="20"/>
          <w:color w:val="auto"/>
        </w:rPr>
      </w:pPr>
      <w:r>
        <w:rPr>
          <w:rFonts w:ascii="Times New Roman" w:cs="Times New Roman" w:eastAsia="Times New Roman" w:hAnsi="Times New Roman"/>
          <w:sz w:val="19"/>
          <w:szCs w:val="19"/>
          <w:color w:val="auto"/>
        </w:rPr>
        <w:t>benchmark rate is available for Indebtedness denominated in such currency) giving effect to any credit spread adjustments to benchmark rates and</w:t>
      </w:r>
    </w:p>
    <w:p>
      <w:pPr>
        <w:spacing w:after="0" w:line="207" w:lineRule="auto"/>
        <w:rPr>
          <w:sz w:val="20"/>
          <w:szCs w:val="20"/>
          <w:color w:val="auto"/>
        </w:rPr>
      </w:pPr>
      <w:r>
        <w:rPr>
          <w:rFonts w:ascii="Times New Roman" w:cs="Times New Roman" w:eastAsia="Times New Roman" w:hAnsi="Times New Roman"/>
          <w:sz w:val="19"/>
          <w:szCs w:val="19"/>
          <w:color w:val="auto"/>
        </w:rPr>
        <w:t>interest rate floors (subject to the proviso set forth below), (c) any amendment to the relevant interest rate margins, credit spread adjustments to benchmark rates and interest rate floors prior to the applicable date of determination and (d) original issue discount and upfront or similar fees</w:t>
      </w:r>
    </w:p>
    <w:p>
      <w:pPr>
        <w:spacing w:after="0" w:line="215" w:lineRule="auto"/>
        <w:rPr>
          <w:sz w:val="20"/>
          <w:szCs w:val="20"/>
          <w:color w:val="auto"/>
        </w:rPr>
      </w:pPr>
      <w:r>
        <w:rPr>
          <w:rFonts w:ascii="Times New Roman" w:cs="Times New Roman" w:eastAsia="Times New Roman" w:hAnsi="Times New Roman"/>
          <w:sz w:val="19"/>
          <w:szCs w:val="19"/>
          <w:color w:val="auto"/>
        </w:rPr>
        <w:t>(based on an assumed four-year average life to maturity or lesser remaining average life to maturity), but excluding (i) any prepayment premium,</w:t>
      </w:r>
    </w:p>
    <w:p>
      <w:pPr>
        <w:spacing w:after="0" w:line="207" w:lineRule="auto"/>
        <w:rPr>
          <w:sz w:val="20"/>
          <w:szCs w:val="20"/>
          <w:color w:val="auto"/>
        </w:rPr>
      </w:pPr>
      <w:r>
        <w:rPr>
          <w:rFonts w:ascii="Times New Roman" w:cs="Times New Roman" w:eastAsia="Times New Roman" w:hAnsi="Times New Roman"/>
          <w:sz w:val="19"/>
          <w:szCs w:val="19"/>
          <w:color w:val="auto"/>
        </w:rPr>
        <w:t>arrangement, commitment, structuring, underwriting, ticking, unused line fees and/or amendment fees (regardless of whether any such fees are paid to or shared in whole or in part with any lender) and (ii) any other fee that is not paid directly by the Borrower generally to all relevant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lenders ratably;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to the extent that the Term SOFR (with an Interest Period of three months) or the ABR (in each case,</w:t>
      </w:r>
    </w:p>
    <w:p>
      <w:pPr>
        <w:spacing w:after="0" w:line="207" w:lineRule="auto"/>
        <w:rPr>
          <w:sz w:val="20"/>
          <w:szCs w:val="20"/>
          <w:color w:val="auto"/>
        </w:rPr>
      </w:pPr>
      <w:r>
        <w:rPr>
          <w:rFonts w:ascii="Times New Roman" w:cs="Times New Roman" w:eastAsia="Times New Roman" w:hAnsi="Times New Roman"/>
          <w:sz w:val="19"/>
          <w:szCs w:val="19"/>
          <w:color w:val="auto"/>
        </w:rPr>
        <w:t>without giving effect to any floor specified in the definition thereof) is less than any floor applicable to the Indebtedness in respect of which the Effective Yield is being calculated on the date on which the Effective Yield is determined, the amount of the resulting difference will be deemed</w:t>
      </w:r>
    </w:p>
    <w:p>
      <w:pPr>
        <w:spacing w:after="0" w:line="215" w:lineRule="auto"/>
        <w:rPr>
          <w:sz w:val="20"/>
          <w:szCs w:val="20"/>
          <w:color w:val="auto"/>
        </w:rPr>
      </w:pPr>
      <w:r>
        <w:rPr>
          <w:rFonts w:ascii="Times New Roman" w:cs="Times New Roman" w:eastAsia="Times New Roman" w:hAnsi="Times New Roman"/>
          <w:sz w:val="19"/>
          <w:szCs w:val="19"/>
          <w:color w:val="auto"/>
        </w:rPr>
        <w:t>added to the interest rate margin applicable to the relevant Indebtedness for purposes of calculating the Effective Yield and (B) to the extent that</w:t>
      </w:r>
    </w:p>
    <w:p>
      <w:pPr>
        <w:spacing w:after="0" w:line="207" w:lineRule="auto"/>
        <w:rPr>
          <w:sz w:val="20"/>
          <w:szCs w:val="20"/>
          <w:color w:val="auto"/>
        </w:rPr>
      </w:pPr>
      <w:r>
        <w:rPr>
          <w:rFonts w:ascii="Times New Roman" w:cs="Times New Roman" w:eastAsia="Times New Roman" w:hAnsi="Times New Roman"/>
          <w:sz w:val="19"/>
          <w:szCs w:val="19"/>
          <w:color w:val="auto"/>
        </w:rPr>
        <w:t>the Term SOFR (for a period of three months) or the ABR (in each case, without giving effect to any floor specified in the definition thereof) is greater than any applicable floor on the date on which the Effective Yield is determined, the floor will be disregarded in calculating the Effective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Yield.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353" w:right="339" w:bottom="1440" w:gutter="0" w:footer="0" w:header="0"/>
        </w:sectPr>
      </w:pPr>
    </w:p>
    <w:bookmarkStart w:id="148" w:name="page149"/>
    <w:bookmarkEnd w:id="148"/>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Eligible Assignee</w:t>
      </w:r>
      <w:r>
        <w:rPr>
          <w:rFonts w:ascii="Times New Roman" w:cs="Times New Roman" w:eastAsia="Times New Roman" w:hAnsi="Times New Roman"/>
          <w:sz w:val="19"/>
          <w:szCs w:val="19"/>
          <w:color w:val="auto"/>
        </w:rPr>
        <w:t xml:space="preserve">” means any Person that meets the requirements to be an assignee under </w:t>
      </w:r>
      <w:r>
        <w:rPr>
          <w:rFonts w:ascii="Times New Roman" w:cs="Times New Roman" w:eastAsia="Times New Roman" w:hAnsi="Times New Roman"/>
          <w:sz w:val="19"/>
          <w:szCs w:val="19"/>
          <w:u w:val="single" w:color="auto"/>
          <w:color w:val="auto"/>
        </w:rPr>
        <w:t>Section 10.6(b)(iii)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(vi)</w:t>
      </w:r>
      <w:r>
        <w:rPr>
          <w:rFonts w:ascii="Times New Roman" w:cs="Times New Roman" w:eastAsia="Times New Roman" w:hAnsi="Times New Roman"/>
          <w:sz w:val="19"/>
          <w:szCs w:val="19"/>
          <w:color w:val="auto"/>
        </w:rPr>
        <w:t xml:space="preserve"> (subject to such consents, if any, as may be required under </w:t>
      </w:r>
      <w:r>
        <w:rPr>
          <w:rFonts w:ascii="Times New Roman" w:cs="Times New Roman" w:eastAsia="Times New Roman" w:hAnsi="Times New Roman"/>
          <w:sz w:val="19"/>
          <w:szCs w:val="19"/>
          <w:u w:val="single" w:color="auto"/>
          <w:color w:val="auto"/>
        </w:rPr>
        <w:t>Section 10.6(b)(iii)</w:t>
      </w:r>
      <w:r>
        <w:rPr>
          <w:rFonts w:ascii="Times New Roman" w:cs="Times New Roman" w:eastAsia="Times New Roman" w:hAnsi="Times New Roman"/>
          <w:sz w:val="19"/>
          <w:szCs w:val="19"/>
          <w:color w:val="auto"/>
        </w:rPr>
        <w:t>).</w:t>
      </w:r>
    </w:p>
    <w:p>
      <w:pPr>
        <w:spacing w:after="0" w:line="125"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Environmental Laws</w:t>
      </w:r>
      <w:r>
        <w:rPr>
          <w:rFonts w:ascii="Times New Roman" w:cs="Times New Roman" w:eastAsia="Times New Roman" w:hAnsi="Times New Roman"/>
          <w:sz w:val="19"/>
          <w:szCs w:val="19"/>
          <w:color w:val="auto"/>
        </w:rPr>
        <w:t>” means any and all foreign, Federal, state, local or municipal laws, rules, orders, regulations, statutes, ordinances, codes, decrees, requirements of any Governmental Authority or other Requirements of Law (including common law) regulating, relating to or</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imposing liability or standards of conduct concerning protection of human health (as it relates to exposure to Materials of Environmental Concern) or the environment, as now or may at any time hereafter be in effect.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Environmental Liability</w:t>
      </w:r>
      <w:r>
        <w:rPr>
          <w:rFonts w:ascii="Times New Roman" w:cs="Times New Roman" w:eastAsia="Times New Roman" w:hAnsi="Times New Roman"/>
          <w:sz w:val="19"/>
          <w:szCs w:val="19"/>
          <w:color w:val="auto"/>
        </w:rPr>
        <w:t>” means any liability, contingent or otherwise (including any liability for damages, costs of environmental</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remediation, fines, penalties or indemnities), of the Borrower, any other Loan Party or any of their respective Subsidiaries directly or indirectly resulting from or based upon (a) a violation of an Environmental Law, (b) the generation, use, handling, transportation, storage, treatment or</w:t>
      </w:r>
    </w:p>
    <w:p>
      <w:pPr>
        <w:spacing w:after="0" w:line="215" w:lineRule="auto"/>
        <w:rPr>
          <w:sz w:val="20"/>
          <w:szCs w:val="20"/>
          <w:color w:val="auto"/>
        </w:rPr>
      </w:pPr>
      <w:r>
        <w:rPr>
          <w:rFonts w:ascii="Times New Roman" w:cs="Times New Roman" w:eastAsia="Times New Roman" w:hAnsi="Times New Roman"/>
          <w:sz w:val="19"/>
          <w:szCs w:val="19"/>
          <w:color w:val="auto"/>
        </w:rPr>
        <w:t>disposal of any Materials of Environmental Concern, (c) exposure to any Materials of Environmental Concern, (d) the release or threatened release</w:t>
      </w:r>
    </w:p>
    <w:p>
      <w:pPr>
        <w:spacing w:after="0" w:line="225" w:lineRule="auto"/>
        <w:rPr>
          <w:sz w:val="20"/>
          <w:szCs w:val="20"/>
          <w:color w:val="auto"/>
        </w:rPr>
      </w:pPr>
      <w:r>
        <w:rPr>
          <w:rFonts w:ascii="Times New Roman" w:cs="Times New Roman" w:eastAsia="Times New Roman" w:hAnsi="Times New Roman"/>
          <w:sz w:val="19"/>
          <w:szCs w:val="19"/>
          <w:color w:val="auto"/>
        </w:rPr>
        <w:t>of any Materials of Environmental Concern into the environment, or (e) any contract, agreement or other consensual arrangement pursuant to which liability is assumed or imposed with respect to any of the foregoing.</w:t>
      </w:r>
    </w:p>
    <w:p>
      <w:pPr>
        <w:spacing w:after="0" w:line="150"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w:t>
      </w:r>
      <w:r>
        <w:rPr>
          <w:rFonts w:ascii="Times New Roman" w:cs="Times New Roman" w:eastAsia="Times New Roman" w:hAnsi="Times New Roman"/>
          <w:sz w:val="19"/>
          <w:szCs w:val="19"/>
          <w:color w:val="auto"/>
        </w:rPr>
        <w:t>” means the Employee Retirement Income Security Act of 1974, as amended, including (unless the context otherwise requires) any rules or regulations promulgated thereunder.</w:t>
      </w:r>
    </w:p>
    <w:p>
      <w:pPr>
        <w:spacing w:after="0" w:line="125"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 Affiliate</w:t>
      </w:r>
      <w:r>
        <w:rPr>
          <w:rFonts w:ascii="Times New Roman" w:cs="Times New Roman" w:eastAsia="Times New Roman" w:hAnsi="Times New Roman"/>
          <w:sz w:val="19"/>
          <w:szCs w:val="19"/>
          <w:color w:val="auto"/>
        </w:rPr>
        <w:t>” means each business or entity which is, or within the last six years was, a member of a “controlled group of corporations,” under “common control” or an “affiliated service group” with any Loan Party within the meaning of Section 414(b), (c) or (m) of</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the Code, required to be aggregated with any Loan Party under Section 414(o) of the Code, or is, or within the last six years was, under “common control” with any Loan Party, within the meaning of Section 4001(a)(14) of ERISA.</w:t>
      </w:r>
    </w:p>
    <w:p>
      <w:pPr>
        <w:spacing w:after="0" w:line="150"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 Event</w:t>
      </w:r>
      <w:r>
        <w:rPr>
          <w:rFonts w:ascii="Times New Roman" w:cs="Times New Roman" w:eastAsia="Times New Roman" w:hAnsi="Times New Roman"/>
          <w:sz w:val="19"/>
          <w:szCs w:val="19"/>
          <w:color w:val="auto"/>
        </w:rPr>
        <w:t>” means any of (a) a reportable event as defined in Section 4043 of ERISA with respect to a Pension Plan, excluding, however, such events as to which the PBGC by regulation has waived the requirement of Section 4043(a) of ERISA that it be notified within 30</w:t>
      </w:r>
    </w:p>
    <w:p>
      <w:pPr>
        <w:spacing w:after="0" w:line="216" w:lineRule="auto"/>
        <w:rPr>
          <w:sz w:val="20"/>
          <w:szCs w:val="20"/>
          <w:color w:val="auto"/>
        </w:rPr>
      </w:pPr>
      <w:r>
        <w:rPr>
          <w:rFonts w:ascii="Times New Roman" w:cs="Times New Roman" w:eastAsia="Times New Roman" w:hAnsi="Times New Roman"/>
          <w:sz w:val="19"/>
          <w:szCs w:val="19"/>
          <w:color w:val="auto"/>
        </w:rPr>
        <w:t>days of the occurrence of such event; (b) the applicability of the requirements of Section 4043(b) of ERISA with respect to a contributing sponsor,</w:t>
      </w:r>
    </w:p>
    <w:p>
      <w:pPr>
        <w:spacing w:after="0" w:line="207" w:lineRule="auto"/>
        <w:rPr>
          <w:sz w:val="20"/>
          <w:szCs w:val="20"/>
          <w:color w:val="auto"/>
        </w:rPr>
      </w:pPr>
      <w:r>
        <w:rPr>
          <w:rFonts w:ascii="Times New Roman" w:cs="Times New Roman" w:eastAsia="Times New Roman" w:hAnsi="Times New Roman"/>
          <w:sz w:val="19"/>
          <w:szCs w:val="19"/>
          <w:color w:val="auto"/>
        </w:rPr>
        <w:t>as defined in Section 4001(a)(13) of ERISA, to any Pension Plan where an event described in paragraph (9), (10), (11), (12) or (13) of Section 4043(c) of ERISA is reasonably expected to occur with respect to such plan within the following 30 days; (c) a withdrawal by any Loan</w:t>
      </w:r>
    </w:p>
    <w:p>
      <w:pPr>
        <w:spacing w:after="0" w:line="215" w:lineRule="auto"/>
        <w:rPr>
          <w:sz w:val="20"/>
          <w:szCs w:val="20"/>
          <w:color w:val="auto"/>
        </w:rPr>
      </w:pPr>
      <w:r>
        <w:rPr>
          <w:rFonts w:ascii="Times New Roman" w:cs="Times New Roman" w:eastAsia="Times New Roman" w:hAnsi="Times New Roman"/>
          <w:sz w:val="19"/>
          <w:szCs w:val="19"/>
          <w:color w:val="auto"/>
        </w:rPr>
        <w:t>Party or any ERISA Affiliate thereof from a Pension Plan or the termination of any Pension Plan resulting in liability under Sections 4063 or 4064</w:t>
      </w:r>
    </w:p>
    <w:p>
      <w:pPr>
        <w:spacing w:after="0" w:line="207" w:lineRule="auto"/>
        <w:rPr>
          <w:sz w:val="20"/>
          <w:szCs w:val="20"/>
          <w:color w:val="auto"/>
        </w:rPr>
      </w:pPr>
      <w:r>
        <w:rPr>
          <w:rFonts w:ascii="Times New Roman" w:cs="Times New Roman" w:eastAsia="Times New Roman" w:hAnsi="Times New Roman"/>
          <w:sz w:val="19"/>
          <w:szCs w:val="19"/>
          <w:color w:val="auto"/>
        </w:rPr>
        <w:t>of ERISA; (d) the withdrawal of any Loan Party or any ERISA Affiliate thereof in a complete or partial withdrawal (within the meaning of Section 4203 and 4205 of ERISA) from any Multiemployer Plan if there is any potential liability therefore, or the receipt by any Loan Party or any</w:t>
      </w:r>
    </w:p>
    <w:p>
      <w:pPr>
        <w:spacing w:after="0" w:line="215" w:lineRule="auto"/>
        <w:rPr>
          <w:sz w:val="20"/>
          <w:szCs w:val="20"/>
          <w:color w:val="auto"/>
        </w:rPr>
      </w:pPr>
      <w:r>
        <w:rPr>
          <w:rFonts w:ascii="Times New Roman" w:cs="Times New Roman" w:eastAsia="Times New Roman" w:hAnsi="Times New Roman"/>
          <w:sz w:val="19"/>
          <w:szCs w:val="19"/>
          <w:color w:val="auto"/>
        </w:rPr>
        <w:t>ERISA Affiliate thereof of notice from any Multiemployer Plan that it is in reorganization or insolvency pursuant to Section 4241 or 4245 of</w:t>
      </w:r>
    </w:p>
    <w:p>
      <w:pPr>
        <w:spacing w:after="0" w:line="207" w:lineRule="auto"/>
        <w:rPr>
          <w:sz w:val="20"/>
          <w:szCs w:val="20"/>
          <w:color w:val="auto"/>
        </w:rPr>
      </w:pPr>
      <w:r>
        <w:rPr>
          <w:rFonts w:ascii="Times New Roman" w:cs="Times New Roman" w:eastAsia="Times New Roman" w:hAnsi="Times New Roman"/>
          <w:sz w:val="19"/>
          <w:szCs w:val="19"/>
          <w:color w:val="auto"/>
        </w:rPr>
        <w:t>ERISA; (e) the filing of a notice of intent to terminate, the treatment of a plan amendment as a termination under Section 4041 or 4041A of ERISA, or the commencement of proceedings by the PBGC to terminate a Pension Plan or Multiemployer Plan; (f) the imposition of liability on</w:t>
      </w:r>
    </w:p>
    <w:p>
      <w:pPr>
        <w:spacing w:after="0" w:line="215" w:lineRule="auto"/>
        <w:rPr>
          <w:sz w:val="20"/>
          <w:szCs w:val="20"/>
          <w:color w:val="auto"/>
        </w:rPr>
      </w:pPr>
      <w:r>
        <w:rPr>
          <w:rFonts w:ascii="Times New Roman" w:cs="Times New Roman" w:eastAsia="Times New Roman" w:hAnsi="Times New Roman"/>
          <w:sz w:val="19"/>
          <w:szCs w:val="19"/>
          <w:color w:val="auto"/>
        </w:rPr>
        <w:t>any Loan Party or any ERISA Affiliate thereof pursuant to Sections 4062(e) or 4069 of ERISA or by reason of the application of Section 4212(c)</w:t>
      </w:r>
    </w:p>
    <w:p>
      <w:pPr>
        <w:spacing w:after="0" w:line="207" w:lineRule="auto"/>
        <w:rPr>
          <w:sz w:val="20"/>
          <w:szCs w:val="20"/>
          <w:color w:val="auto"/>
        </w:rPr>
      </w:pPr>
      <w:r>
        <w:rPr>
          <w:rFonts w:ascii="Times New Roman" w:cs="Times New Roman" w:eastAsia="Times New Roman" w:hAnsi="Times New Roman"/>
          <w:sz w:val="19"/>
          <w:szCs w:val="19"/>
          <w:color w:val="auto"/>
        </w:rPr>
        <w:t>of ERISA; (g) the failure by any Loan Party or any ERISA Affiliate thereof to make any required contribution to a Pension Plan, or the failure to meet the minimum funding standard of Section 412 of the Code with respect to any Pension Plan (whether or not waived in accordance with</w:t>
      </w:r>
    </w:p>
    <w:p>
      <w:pPr>
        <w:spacing w:after="0" w:line="215" w:lineRule="auto"/>
        <w:rPr>
          <w:sz w:val="20"/>
          <w:szCs w:val="20"/>
          <w:color w:val="auto"/>
        </w:rPr>
      </w:pPr>
      <w:r>
        <w:rPr>
          <w:rFonts w:ascii="Times New Roman" w:cs="Times New Roman" w:eastAsia="Times New Roman" w:hAnsi="Times New Roman"/>
          <w:sz w:val="19"/>
          <w:szCs w:val="19"/>
          <w:color w:val="auto"/>
        </w:rPr>
        <w:t>Section 412(c) of the Code) or the failure to make by its due date a required installment under Section 430 of the Code with respect to any Pension</w:t>
      </w:r>
    </w:p>
    <w:p>
      <w:pPr>
        <w:spacing w:after="0" w:line="207" w:lineRule="auto"/>
        <w:rPr>
          <w:sz w:val="20"/>
          <w:szCs w:val="20"/>
          <w:color w:val="auto"/>
        </w:rPr>
      </w:pPr>
      <w:r>
        <w:rPr>
          <w:rFonts w:ascii="Times New Roman" w:cs="Times New Roman" w:eastAsia="Times New Roman" w:hAnsi="Times New Roman"/>
          <w:sz w:val="19"/>
          <w:szCs w:val="19"/>
          <w:color w:val="auto"/>
        </w:rPr>
        <w:t>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w:t>
      </w:r>
    </w:p>
    <w:p>
      <w:pPr>
        <w:spacing w:after="0" w:line="215" w:lineRule="auto"/>
        <w:rPr>
          <w:sz w:val="20"/>
          <w:szCs w:val="20"/>
          <w:color w:val="auto"/>
        </w:rPr>
      </w:pPr>
      <w:r>
        <w:rPr>
          <w:rFonts w:ascii="Times New Roman" w:cs="Times New Roman" w:eastAsia="Times New Roman" w:hAnsi="Times New Roman"/>
          <w:sz w:val="19"/>
          <w:szCs w:val="19"/>
          <w:color w:val="auto"/>
        </w:rPr>
        <w:t>ERISA; (i) an event or condition which might reasonably be expected to constitute grounds under Section 4042 of ERISA for the termination of,</w:t>
      </w:r>
    </w:p>
    <w:p>
      <w:pPr>
        <w:jc w:val="both"/>
        <w:spacing w:after="0" w:line="207" w:lineRule="auto"/>
        <w:rPr>
          <w:sz w:val="20"/>
          <w:szCs w:val="20"/>
          <w:color w:val="auto"/>
        </w:rPr>
      </w:pPr>
      <w:r>
        <w:rPr>
          <w:rFonts w:ascii="Times New Roman" w:cs="Times New Roman" w:eastAsia="Times New Roman" w:hAnsi="Times New Roman"/>
          <w:sz w:val="19"/>
          <w:szCs w:val="19"/>
          <w:color w:val="auto"/>
        </w:rPr>
        <w:t>or the appointment of a trustee to administer, any Pension Plan or Multiemployer Plan; (j) the imposition of any liability under Title I or Title IV of ERISA, other than PBGC premiums due but not delinquent under Section 4007 of ERISA, upon any Loan Party or any ERISA Affiliate thereof;</w:t>
      </w:r>
    </w:p>
    <w:p>
      <w:pPr>
        <w:spacing w:after="0" w:line="1" w:lineRule="exact"/>
        <w:rPr>
          <w:sz w:val="20"/>
          <w:szCs w:val="20"/>
          <w:color w:val="auto"/>
        </w:rPr>
      </w:pPr>
    </w:p>
    <w:p>
      <w:pPr>
        <w:ind w:firstLine="4"/>
        <w:spacing w:after="0" w:line="232" w:lineRule="auto"/>
        <w:tabs>
          <w:tab w:leader="none" w:pos="287"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application for a funding waiver under Section 303 of ERISA or an extension of any amortization period pursuant to Section 412 of the Code with respect to any Pension Plan; (l) the occurrence of a non-exempt prohibited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240"/>
          </w:cols>
          <w:pgMar w:left="320" w:top="1350"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9"/>
          <w:szCs w:val="19"/>
          <w:color w:val="auto"/>
        </w:rPr>
        <w:t>transaction under Sections 406 or 407 of ERISA for which any Loan Party or any Subsidiary thereof may be directly or indirectly liable;</w:t>
      </w:r>
    </w:p>
    <w:p>
      <w:pPr>
        <w:jc w:val="both"/>
        <w:ind w:firstLine="4"/>
        <w:spacing w:after="0" w:line="213" w:lineRule="auto"/>
        <w:tabs>
          <w:tab w:leader="none" w:pos="325"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(n) [reserved]; (o) the assertion of a material claim (other than routine claims for benefits) against any Plan or the assets thereof, or against any Loan Party or any Subsidiary thereof in connection with any such Plan; (p) receipt from the IRS of notice of the failure of any Qualified Plan to qualify under Section 401(a) of the Code, or the failure of any trust forming part of any Qualified Plan to fail to qualify for exemption from taxation under Section 501(a) of the Code; (q) the imposition of any lien (or the fulfillment of the conditions for the imposition of any lien) on any of the rights, properties or assets of any Loan Party or any ERISA Affiliate thereof, in either case pursuant to Title I or IV, including Section 302(f) or 303(k) of ERISA or to Section 401(a)(29) or 430(k) of the Code; or (r) the establishment or amendment by any Loan Party or any Subsidiary thereof of any “welfare plan,” as such term is defined in Section 3(1) of ERISA, that provides post-employment welfare benefits in a manner that would increase the liability of any Loan Party.</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 Funding Rules</w:t>
      </w:r>
      <w:r>
        <w:rPr>
          <w:rFonts w:ascii="Times New Roman" w:cs="Times New Roman" w:eastAsia="Times New Roman" w:hAnsi="Times New Roman"/>
          <w:sz w:val="19"/>
          <w:szCs w:val="19"/>
          <w:color w:val="auto"/>
        </w:rPr>
        <w:t>” means the rules regarding minimum required contributions (including any installment payment thereof) to</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Pension Plans, as set forth in Section 412 of the Code and Section 302 of ERISA, with respect to Plan years ending prior to the effective date of the Pension Protection Act of 2006, and thereafter, as set forth in Sections 412, 430, 431, 432 and 436 of the Code and Sections 302, 303, 304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305 of ERISA.</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9.15(a)</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 Deficiency Assignment</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9.15(d)</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 Impacted Class</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9.15(d)</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 Return Deficiency</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9.15(d)</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 Payment Subrogation Rights</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9.15(d)</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Event of Default</w:t>
      </w:r>
      <w:r>
        <w:rPr>
          <w:rFonts w:ascii="Times New Roman" w:cs="Times New Roman" w:eastAsia="Times New Roman" w:hAnsi="Times New Roman"/>
          <w:sz w:val="19"/>
          <w:szCs w:val="19"/>
          <w:color w:val="auto"/>
        </w:rPr>
        <w:t xml:space="preserve">” means any of the events specified in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requirement for the giving of notice, the lapse of time, or both, has been satisfied.</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Securities Exchange Act of 1934, as amended from time to time and any successor statute.</w:t>
      </w:r>
    </w:p>
    <w:p>
      <w:pPr>
        <w:spacing w:after="0" w:line="185"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Account</w:t>
      </w:r>
      <w:r>
        <w:rPr>
          <w:rFonts w:ascii="Times New Roman" w:cs="Times New Roman" w:eastAsia="Times New Roman" w:hAnsi="Times New Roman"/>
          <w:sz w:val="19"/>
          <w:szCs w:val="19"/>
          <w:color w:val="auto"/>
        </w:rPr>
        <w:t>” means any Deposit Account or Securities Account (a) the sole purpose of which is for funding payroll, workers’ compensation claims, 401(k) benefits, healthcare benefits, retirement benefits or other employee benefits, or which is a withholding Tax or</w:t>
      </w:r>
    </w:p>
    <w:p>
      <w:pPr>
        <w:spacing w:after="0" w:line="216" w:lineRule="auto"/>
        <w:rPr>
          <w:sz w:val="20"/>
          <w:szCs w:val="20"/>
          <w:color w:val="auto"/>
        </w:rPr>
      </w:pPr>
      <w:r>
        <w:rPr>
          <w:rFonts w:ascii="Times New Roman" w:cs="Times New Roman" w:eastAsia="Times New Roman" w:hAnsi="Times New Roman"/>
          <w:sz w:val="19"/>
          <w:szCs w:val="19"/>
          <w:color w:val="auto"/>
        </w:rPr>
        <w:t>fiduciary account or similar account, (b) the sole purpose of which is for funding escrow arrangements or holding funds owned by persons other</w:t>
      </w:r>
    </w:p>
    <w:p>
      <w:pPr>
        <w:spacing w:after="0" w:line="207" w:lineRule="auto"/>
        <w:rPr>
          <w:sz w:val="20"/>
          <w:szCs w:val="20"/>
          <w:color w:val="auto"/>
        </w:rPr>
      </w:pPr>
      <w:r>
        <w:rPr>
          <w:rFonts w:ascii="Times New Roman" w:cs="Times New Roman" w:eastAsia="Times New Roman" w:hAnsi="Times New Roman"/>
          <w:sz w:val="19"/>
          <w:szCs w:val="19"/>
          <w:color w:val="auto"/>
        </w:rPr>
        <w:t>than a Group Member in connection with a transaction permitted hereunder, (c) that constitute third party administration accounts, solely to the extent such accounts contain amounts related to the administration of payment and collections for physicians (other than management fees related</w:t>
      </w:r>
    </w:p>
    <w:p>
      <w:pPr>
        <w:spacing w:after="0" w:line="215" w:lineRule="auto"/>
        <w:rPr>
          <w:sz w:val="20"/>
          <w:szCs w:val="20"/>
          <w:color w:val="auto"/>
        </w:rPr>
      </w:pPr>
      <w:r>
        <w:rPr>
          <w:rFonts w:ascii="Times New Roman" w:cs="Times New Roman" w:eastAsia="Times New Roman" w:hAnsi="Times New Roman"/>
          <w:sz w:val="19"/>
          <w:szCs w:val="19"/>
          <w:color w:val="auto"/>
        </w:rPr>
        <w:t>to such administration), (d) the sole purpose of which is to receive Medicare funds from medical services payors for the benefit of PC Entities, (e)</w:t>
      </w:r>
    </w:p>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the sole purpose of which is to hold cash pledged as collateral to secure obligations in respect of letters of credit permitted under this Agreement and (f) that, when combined with all other accounts (other than Deposit Accounts and Securities Accounts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(e)</w:t>
      </w:r>
    </w:p>
    <w:p>
      <w:pPr>
        <w:spacing w:after="0" w:line="215" w:lineRule="auto"/>
        <w:rPr>
          <w:sz w:val="20"/>
          <w:szCs w:val="20"/>
          <w:color w:val="auto"/>
        </w:rPr>
      </w:pPr>
      <w:r>
        <w:rPr>
          <w:rFonts w:ascii="Times New Roman" w:cs="Times New Roman" w:eastAsia="Times New Roman" w:hAnsi="Times New Roman"/>
          <w:sz w:val="19"/>
          <w:szCs w:val="19"/>
          <w:color w:val="auto"/>
        </w:rPr>
        <w:t>above) over which the Administrative Agent does not have “control” (within the meanings of Section 8-106 and 9-106 of the UCC), contains less</w:t>
      </w:r>
    </w:p>
    <w:p>
      <w:pPr>
        <w:spacing w:after="0" w:line="225" w:lineRule="auto"/>
        <w:rPr>
          <w:sz w:val="20"/>
          <w:szCs w:val="20"/>
          <w:color w:val="auto"/>
        </w:rPr>
      </w:pPr>
      <w:r>
        <w:rPr>
          <w:rFonts w:ascii="Times New Roman" w:cs="Times New Roman" w:eastAsia="Times New Roman" w:hAnsi="Times New Roman"/>
          <w:sz w:val="19"/>
          <w:szCs w:val="19"/>
          <w:color w:val="auto"/>
        </w:rPr>
        <w:t xml:space="preserve">than $400,000 in aggregate at all times. For the avoidance of doubt, other than Deposit Accounts and Securities Accounts described in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above, the Excluded Accounts shall not constitute Collateral.</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Assets</w:t>
      </w:r>
      <w:r>
        <w:rPr>
          <w:rFonts w:ascii="Times New Roman" w:cs="Times New Roman" w:eastAsia="Times New Roman" w:hAnsi="Times New Roman"/>
          <w:sz w:val="19"/>
          <w:szCs w:val="19"/>
          <w:color w:val="auto"/>
        </w:rPr>
        <w:t>” has the meaning set forth in the Guarantee and Collateral Agreement.</w:t>
      </w:r>
    </w:p>
    <w:p>
      <w:pPr>
        <w:spacing w:after="0" w:line="185"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Swap Obligations</w:t>
      </w:r>
      <w:r>
        <w:rPr>
          <w:rFonts w:ascii="Times New Roman" w:cs="Times New Roman" w:eastAsia="Times New Roman" w:hAnsi="Times New Roman"/>
          <w:sz w:val="19"/>
          <w:szCs w:val="19"/>
          <w:color w:val="auto"/>
        </w:rPr>
        <w:t>” means, with respect to any Guarantor, any Swap Obligation if, and to the extent that, all or a portion of the Guarantee Obligation of such Guarantor with respect to, or the grant by such Guarantor of a Lien to secure, such Swap Obligation (or any</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guarantee thereof) is or becomes illegal under the Commodity Exchange Act or any rule, regulation or order of the Commodity Futures Trading Commission (or the application or official interpretation of any thereof) by virtue of such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240"/>
          </w:cols>
          <w:pgMar w:left="320" w:top="1353"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9"/>
          <w:szCs w:val="19"/>
          <w:color w:val="auto"/>
        </w:rPr>
        <w:t>Guarantor’s failure for any reason to constitute an “eligible contract participant” as defined in the Commodity Exchange Act at the time such</w:t>
      </w:r>
    </w:p>
    <w:p>
      <w:pPr>
        <w:spacing w:after="0" w:line="207" w:lineRule="auto"/>
        <w:rPr>
          <w:sz w:val="20"/>
          <w:szCs w:val="20"/>
          <w:color w:val="auto"/>
        </w:rPr>
      </w:pPr>
      <w:r>
        <w:rPr>
          <w:rFonts w:ascii="Times New Roman" w:cs="Times New Roman" w:eastAsia="Times New Roman" w:hAnsi="Times New Roman"/>
          <w:sz w:val="19"/>
          <w:szCs w:val="19"/>
          <w:color w:val="auto"/>
        </w:rPr>
        <w:t>Guarantee Obligation of such Guarantor, or the grant by such Guarantor of such Lien, becomes effective with respect to such Swap Obligation. If such a Swap Obligation arises under a master agreement governing more than one swap, such exclusion shall apply only to the portion of such</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Swap Obligation that is attributable to swaps for which such Guarantee Obligation or Lien is or becomes excluded in accordance with the first sentence of this definition.</w:t>
      </w:r>
    </w:p>
    <w:p>
      <w:pPr>
        <w:spacing w:after="0" w:line="138"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Taxes</w:t>
      </w:r>
      <w:r>
        <w:rPr>
          <w:rFonts w:ascii="Times New Roman" w:cs="Times New Roman" w:eastAsia="Times New Roman" w:hAnsi="Times New Roman"/>
          <w:sz w:val="19"/>
          <w:szCs w:val="19"/>
          <w:color w:val="auto"/>
        </w:rPr>
        <w:t>” means any of the following Taxes imposed on or with respect to a Recipient or required to be withheld or deducted from a payment to a Recipient, (a) Taxes imposed on or measured by net income (however denominated), franchise Taxes, and branch profits</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w:t>
      </w:r>
    </w:p>
    <w:p>
      <w:pPr>
        <w:spacing w:after="0" w:line="215" w:lineRule="auto"/>
        <w:rPr>
          <w:sz w:val="20"/>
          <w:szCs w:val="20"/>
          <w:color w:val="auto"/>
        </w:rPr>
      </w:pPr>
      <w:r>
        <w:rPr>
          <w:rFonts w:ascii="Times New Roman" w:cs="Times New Roman" w:eastAsia="Times New Roman" w:hAnsi="Times New Roman"/>
          <w:sz w:val="19"/>
          <w:szCs w:val="19"/>
          <w:color w:val="auto"/>
        </w:rPr>
        <w:t>Connection Taxes, (b) in the case of a Lender, U.S. federal withholding Taxes imposed on amounts payable to or for the account of such Lender</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or (ii) such Lender changes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its lending office, except in each case to the extent that,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amounts with respect to such Taxes were payable either to such Lender's assignor immediately before such Lender became a party hereto or to such Lender immediately before it changed its lending office,</w:t>
      </w:r>
    </w:p>
    <w:p>
      <w:pPr>
        <w:ind w:left="300" w:hanging="296"/>
        <w:spacing w:after="0" w:line="215" w:lineRule="auto"/>
        <w:tabs>
          <w:tab w:leader="none" w:pos="30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Taxes attributable to such Recipient’s failure to comply with </w:t>
      </w:r>
      <w:r>
        <w:rPr>
          <w:rFonts w:ascii="Times New Roman" w:cs="Times New Roman" w:eastAsia="Times New Roman" w:hAnsi="Times New Roman"/>
          <w:sz w:val="19"/>
          <w:szCs w:val="19"/>
          <w:u w:val="single" w:color="auto"/>
          <w:color w:val="auto"/>
        </w:rPr>
        <w:t>Section 2.20(f)</w:t>
      </w:r>
      <w:r>
        <w:rPr>
          <w:rFonts w:ascii="Times New Roman" w:cs="Times New Roman" w:eastAsia="Times New Roman" w:hAnsi="Times New Roman"/>
          <w:sz w:val="19"/>
          <w:szCs w:val="19"/>
          <w:color w:val="auto"/>
        </w:rPr>
        <w:t xml:space="preserve"> and (d) any U.S. federal withholding Taxes imposed under</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FATCA.</w:t>
      </w:r>
    </w:p>
    <w:p>
      <w:pPr>
        <w:spacing w:after="0" w:line="159"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Agent</w:t>
      </w:r>
      <w:r>
        <w:rPr>
          <w:rFonts w:ascii="Times New Roman" w:cs="Times New Roman" w:eastAsia="Times New Roman" w:hAnsi="Times New Roman"/>
          <w:sz w:val="19"/>
          <w:szCs w:val="19"/>
          <w:color w:val="auto"/>
        </w:rPr>
        <w:t>” means First Eagle Alternative Capital Agent, Inc., in its capacity as administrative agent and collateral agent for the lenders party to the Existing Credit Facility.</w:t>
      </w:r>
    </w:p>
    <w:p>
      <w:pPr>
        <w:spacing w:after="0" w:line="151"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Existing Credit Facility</w:t>
      </w:r>
      <w:r>
        <w:rPr>
          <w:rFonts w:ascii="Times New Roman" w:cs="Times New Roman" w:eastAsia="Times New Roman" w:hAnsi="Times New Roman"/>
          <w:sz w:val="19"/>
          <w:szCs w:val="19"/>
          <w:color w:val="auto"/>
        </w:rPr>
        <w:t>” means that certain credit agreement dated as of October 2, 2018 (as amended by that certain First Amendment to Credit Agreement, dated as of February 10, 2020, as further amended by that certain Second Amendment and Limited Waiver to Credit</w:t>
      </w:r>
    </w:p>
    <w:p>
      <w:pPr>
        <w:spacing w:after="0" w:line="216" w:lineRule="auto"/>
        <w:rPr>
          <w:sz w:val="20"/>
          <w:szCs w:val="20"/>
          <w:color w:val="auto"/>
        </w:rPr>
      </w:pPr>
      <w:r>
        <w:rPr>
          <w:rFonts w:ascii="Times New Roman" w:cs="Times New Roman" w:eastAsia="Times New Roman" w:hAnsi="Times New Roman"/>
          <w:sz w:val="19"/>
          <w:szCs w:val="19"/>
          <w:color w:val="auto"/>
        </w:rPr>
        <w:t>Agreement, dated as of April 3, 2020, as further amended by that certain Third Amendment to Credit Agreement, dated as of February 19, 2021,</w:t>
      </w:r>
    </w:p>
    <w:p>
      <w:pPr>
        <w:spacing w:after="0" w:line="207" w:lineRule="auto"/>
        <w:rPr>
          <w:sz w:val="20"/>
          <w:szCs w:val="20"/>
          <w:color w:val="auto"/>
        </w:rPr>
      </w:pPr>
      <w:r>
        <w:rPr>
          <w:rFonts w:ascii="Times New Roman" w:cs="Times New Roman" w:eastAsia="Times New Roman" w:hAnsi="Times New Roman"/>
          <w:sz w:val="19"/>
          <w:szCs w:val="19"/>
          <w:color w:val="auto"/>
        </w:rPr>
        <w:t>as further amended by that certain Fourth Amendment and Limited Waiver to Credit Agreement, dated as of the May 5, 2021, as further amended by that certain Fifth Amendment to Credit Agreement, dated as of October 25, 2021, as further amended by that certain Sixth Amendment to</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Credit Agreement, dated as of August 10, 2022, and as further amended, restated, supplemented or otherwise modified from time to time), by and among Intermediate Holdings, the Borrower, the guarantors party thereto, the lenders party thereto and the Existing Agent.</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Facility</w:t>
      </w:r>
      <w:r>
        <w:rPr>
          <w:rFonts w:ascii="Times New Roman" w:cs="Times New Roman" w:eastAsia="Times New Roman" w:hAnsi="Times New Roman"/>
          <w:sz w:val="19"/>
          <w:szCs w:val="19"/>
          <w:color w:val="auto"/>
        </w:rPr>
        <w:t>” means each of (a) the Term Facility and (b) the Revolving Facility.</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FASB</w:t>
      </w:r>
      <w:r>
        <w:rPr>
          <w:rFonts w:ascii="Times New Roman" w:cs="Times New Roman" w:eastAsia="Times New Roman" w:hAnsi="Times New Roman"/>
          <w:sz w:val="19"/>
          <w:szCs w:val="19"/>
          <w:color w:val="auto"/>
        </w:rPr>
        <w:t>” means the Financial Accounting Standards Board.</w:t>
      </w:r>
    </w:p>
    <w:p>
      <w:pPr>
        <w:spacing w:after="0" w:line="185"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FATCA</w:t>
      </w:r>
      <w:r>
        <w:rPr>
          <w:rFonts w:ascii="Times New Roman" w:cs="Times New Roman" w:eastAsia="Times New Roman" w:hAnsi="Times New Roman"/>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38"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Federal Funds Effective Rate</w:t>
      </w:r>
      <w:r>
        <w:rPr>
          <w:rFonts w:ascii="Times New Roman" w:cs="Times New Roman" w:eastAsia="Times New Roman" w:hAnsi="Times New Roman"/>
          <w:sz w:val="19"/>
          <w:szCs w:val="19"/>
          <w:color w:val="auto"/>
        </w:rPr>
        <w:t>” means, for any day, the weighted average of the rates on overnight federal funds transactions with members of the Federal Reserve System arranged by federal funds brokers, as published on the next succeeding Business Day by the Federal</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Federal Reserve Board</w:t>
      </w:r>
      <w:r>
        <w:rPr>
          <w:rFonts w:ascii="Times New Roman" w:cs="Times New Roman" w:eastAsia="Times New Roman" w:hAnsi="Times New Roman"/>
          <w:sz w:val="19"/>
          <w:szCs w:val="19"/>
          <w:color w:val="auto"/>
        </w:rPr>
        <w:t>” means the Board of Governors of the Federal Reserve System of the United States (or any successor).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40"/>
          </w:cols>
          <w:pgMar w:left="320" w:top="1353" w:right="339" w:bottom="1440" w:gutter="0" w:footer="0" w:header="0"/>
        </w:sectPr>
      </w:pPr>
    </w:p>
    <w:bookmarkStart w:id="151" w:name="page152"/>
    <w:bookmarkEnd w:id="151"/>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Fee Letter</w:t>
      </w:r>
      <w:r>
        <w:rPr>
          <w:rFonts w:ascii="Times New Roman" w:cs="Times New Roman" w:eastAsia="Times New Roman" w:hAnsi="Times New Roman"/>
          <w:sz w:val="19"/>
          <w:szCs w:val="19"/>
          <w:color w:val="auto"/>
        </w:rPr>
        <w:t>” means the amended and restated fee letter agreement dated November 7, 2022, between Holdings and the Administrative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Agent.</w:t>
      </w:r>
    </w:p>
    <w:p>
      <w:pPr>
        <w:spacing w:after="0" w:line="146"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Financial Advisor</w:t>
      </w:r>
      <w:r>
        <w:rPr>
          <w:rFonts w:ascii="Times New Roman" w:cs="Times New Roman" w:eastAsia="Times New Roman" w:hAnsi="Times New Roman"/>
          <w:sz w:val="19"/>
          <w:szCs w:val="19"/>
          <w:color w:val="auto"/>
        </w:rPr>
        <w:t>” means any of M-III Partners LP, Berkeley Research Group, LLC or Ankura Consulting Group, LLC or any other financial advisor acceptable to the Administrative Agent and the Required Lenders.</w:t>
      </w:r>
    </w:p>
    <w:p>
      <w:pPr>
        <w:spacing w:after="0" w:line="138"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First Amendment</w:t>
      </w:r>
      <w:r>
        <w:rPr>
          <w:rFonts w:ascii="Times New Roman" w:cs="Times New Roman" w:eastAsia="Times New Roman" w:hAnsi="Times New Roman"/>
          <w:sz w:val="19"/>
          <w:szCs w:val="19"/>
          <w:color w:val="auto"/>
        </w:rPr>
        <w:t>” means that certain First Amendment and Limited Waiver to Credit Agreement, dated as of March 9, 2023, by and among Holdings, Intermediate Holdings, the Borrower, Lenders party thereto and the Administrative Agent.</w:t>
      </w:r>
    </w:p>
    <w:p>
      <w:pPr>
        <w:spacing w:after="0" w:line="151"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First Tier Foreign Subsidiary</w:t>
      </w:r>
      <w:r>
        <w:rPr>
          <w:rFonts w:ascii="Times New Roman" w:cs="Times New Roman" w:eastAsia="Times New Roman" w:hAnsi="Times New Roman"/>
          <w:sz w:val="19"/>
          <w:szCs w:val="19"/>
          <w:color w:val="auto"/>
        </w:rPr>
        <w:t>” means, at any date of determination with respect to a Loan Party, each Foreign Subsidiary in which such Loan Party owns directly more than 50.0%, in the aggregate, of the Voting Stock of such Foreign Subsidiary.</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Fiscal Quarter</w:t>
      </w:r>
      <w:r>
        <w:rPr>
          <w:rFonts w:ascii="Times New Roman" w:cs="Times New Roman" w:eastAsia="Times New Roman" w:hAnsi="Times New Roman"/>
          <w:sz w:val="19"/>
          <w:szCs w:val="19"/>
          <w:color w:val="auto"/>
        </w:rPr>
        <w:t>” means a fiscal quarter of any Fiscal Year.</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Fiscal Year</w:t>
      </w:r>
      <w:r>
        <w:rPr>
          <w:rFonts w:ascii="Times New Roman" w:cs="Times New Roman" w:eastAsia="Times New Roman" w:hAnsi="Times New Roman"/>
          <w:sz w:val="19"/>
          <w:szCs w:val="19"/>
          <w:color w:val="auto"/>
        </w:rPr>
        <w:t>” means the fiscal year of the Borrower ending December 31 of each calendar year.</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Floor</w:t>
      </w:r>
      <w:r>
        <w:rPr>
          <w:rFonts w:ascii="Times New Roman" w:cs="Times New Roman" w:eastAsia="Times New Roman" w:hAnsi="Times New Roman"/>
          <w:sz w:val="19"/>
          <w:szCs w:val="19"/>
          <w:color w:val="auto"/>
        </w:rPr>
        <w:t>” means a rate of interest equal to 0.00% per annum.</w:t>
      </w:r>
    </w:p>
    <w:p>
      <w:pPr>
        <w:spacing w:after="0" w:line="172"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Flow of Funds Agreement</w:t>
      </w:r>
      <w:r>
        <w:rPr>
          <w:rFonts w:ascii="Times New Roman" w:cs="Times New Roman" w:eastAsia="Times New Roman" w:hAnsi="Times New Roman"/>
          <w:sz w:val="19"/>
          <w:szCs w:val="19"/>
          <w:color w:val="auto"/>
        </w:rPr>
        <w:t>” means the letter agreement between the Borrower and the Administrative Agent regarding the disbursement of Loan proceeds on the Closing Date, the funding and the payment of the Administrative Agent’s reasonable and documented expenses and the</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 xml:space="preserve">reasonable and documented expenses of the Administrative Agent’s counsel, and such other matters as may be agreed to by the Borrower and the Administrative Agent, in substantially the form of </w:t>
      </w:r>
      <w:r>
        <w:rPr>
          <w:rFonts w:ascii="Times New Roman" w:cs="Times New Roman" w:eastAsia="Times New Roman" w:hAnsi="Times New Roman"/>
          <w:sz w:val="19"/>
          <w:szCs w:val="19"/>
          <w:u w:val="single" w:color="auto"/>
          <w:color w:val="auto"/>
        </w:rPr>
        <w:t>Exhibit M</w:t>
      </w:r>
      <w:r>
        <w:rPr>
          <w:rFonts w:ascii="Times New Roman" w:cs="Times New Roman" w:eastAsia="Times New Roman" w:hAnsi="Times New Roman"/>
          <w:sz w:val="19"/>
          <w:szCs w:val="19"/>
          <w:color w:val="auto"/>
        </w:rPr>
        <w: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Foreign Lender</w:t>
      </w:r>
      <w:r>
        <w:rPr>
          <w:rFonts w:ascii="Times New Roman" w:cs="Times New Roman" w:eastAsia="Times New Roman" w:hAnsi="Times New Roman"/>
          <w:sz w:val="19"/>
          <w:szCs w:val="19"/>
          <w:color w:val="auto"/>
        </w:rPr>
        <w:t>” means (a) if the Borrower is a U.S. Person, a Lender that is not a U.S. Person, and (b) if the Borrower is not a 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Person, a Lender that is resident or organized under the laws of a jurisdiction other than that in which the Borrower is resident for tax purposes.</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Foreign Subsidiary</w:t>
      </w:r>
      <w:r>
        <w:rPr>
          <w:rFonts w:ascii="Times New Roman" w:cs="Times New Roman" w:eastAsia="Times New Roman" w:hAnsi="Times New Roman"/>
          <w:sz w:val="19"/>
          <w:szCs w:val="19"/>
          <w:color w:val="auto"/>
        </w:rPr>
        <w:t>” means any Subsidiary of Holdings that is not a Domestic Subsidiary.</w:t>
      </w:r>
    </w:p>
    <w:p>
      <w:pPr>
        <w:spacing w:after="0" w:line="185"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Freely Assignable</w:t>
      </w:r>
      <w:r>
        <w:rPr>
          <w:rFonts w:ascii="Times New Roman" w:cs="Times New Roman" w:eastAsia="Times New Roman" w:hAnsi="Times New Roman"/>
          <w:sz w:val="19"/>
          <w:szCs w:val="19"/>
          <w:color w:val="auto"/>
        </w:rPr>
        <w:t>” means, with respect to any PC Document, such contract or agreement if (i) it does not contain express restrictions or conditions (including, without limitation, the payment of any fee) on the assignment, sale, disposition or other transfer by the applicable Loan</w:t>
      </w:r>
    </w:p>
    <w:p>
      <w:pPr>
        <w:spacing w:after="0" w:line="216" w:lineRule="auto"/>
        <w:rPr>
          <w:sz w:val="20"/>
          <w:szCs w:val="20"/>
          <w:color w:val="auto"/>
        </w:rPr>
      </w:pPr>
      <w:r>
        <w:rPr>
          <w:rFonts w:ascii="Times New Roman" w:cs="Times New Roman" w:eastAsia="Times New Roman" w:hAnsi="Times New Roman"/>
          <w:sz w:val="19"/>
          <w:szCs w:val="19"/>
          <w:color w:val="auto"/>
        </w:rPr>
        <w:t>Party thereto (and any of its successors and assigns) of, or the granting of any Lien by the applicable Loan Party (and its successors and assigns)</w:t>
      </w:r>
    </w:p>
    <w:p>
      <w:pPr>
        <w:spacing w:after="0" w:line="207" w:lineRule="auto"/>
        <w:rPr>
          <w:sz w:val="20"/>
          <w:szCs w:val="20"/>
          <w:color w:val="auto"/>
        </w:rPr>
      </w:pPr>
      <w:r>
        <w:rPr>
          <w:rFonts w:ascii="Times New Roman" w:cs="Times New Roman" w:eastAsia="Times New Roman" w:hAnsi="Times New Roman"/>
          <w:sz w:val="19"/>
          <w:szCs w:val="19"/>
          <w:color w:val="auto"/>
        </w:rPr>
        <w:t>in, its rights, title and interest thereunder, to any other Person (including any such transfer as a result of the exercise of any such Lien therein, whether by foreclosure or otherwise), (ii) under which, without obtaining the consent of any Person, no default will occur, no penalty will accrue</w:t>
      </w:r>
    </w:p>
    <w:p>
      <w:pPr>
        <w:spacing w:after="0" w:line="215" w:lineRule="auto"/>
        <w:rPr>
          <w:sz w:val="20"/>
          <w:szCs w:val="20"/>
          <w:color w:val="auto"/>
        </w:rPr>
      </w:pPr>
      <w:r>
        <w:rPr>
          <w:rFonts w:ascii="Times New Roman" w:cs="Times New Roman" w:eastAsia="Times New Roman" w:hAnsi="Times New Roman"/>
          <w:sz w:val="19"/>
          <w:szCs w:val="19"/>
          <w:color w:val="auto"/>
        </w:rPr>
        <w:t>and no violation of breach of any terms thereof will result or arise due to (x) any such granting of a Lien in such rights, title and interest of the</w:t>
      </w:r>
    </w:p>
    <w:p>
      <w:pPr>
        <w:spacing w:after="0" w:line="207" w:lineRule="auto"/>
        <w:rPr>
          <w:sz w:val="20"/>
          <w:szCs w:val="20"/>
          <w:color w:val="auto"/>
        </w:rPr>
      </w:pPr>
      <w:r>
        <w:rPr>
          <w:rFonts w:ascii="Times New Roman" w:cs="Times New Roman" w:eastAsia="Times New Roman" w:hAnsi="Times New Roman"/>
          <w:sz w:val="19"/>
          <w:szCs w:val="19"/>
          <w:color w:val="auto"/>
        </w:rPr>
        <w:t>applicable Loan Party (or any of its successors or assigns) or upon any such assignment, sale, disposition or other transfer, or (y) any Change of Control or change in ownership of the applicable Loan Party, and (iii) otherwise, under applicable law, it is freely assignable to third parties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Affiliates) by the applicable Loan Party (and its successors or assigns).</w:t>
      </w:r>
    </w:p>
    <w:p>
      <w:pPr>
        <w:spacing w:after="0" w:line="159"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Fronting Exposure</w:t>
      </w:r>
      <w:r>
        <w:rPr>
          <w:rFonts w:ascii="Times New Roman" w:cs="Times New Roman" w:eastAsia="Times New Roman" w:hAnsi="Times New Roman"/>
          <w:sz w:val="19"/>
          <w:szCs w:val="19"/>
          <w:color w:val="auto"/>
        </w:rPr>
        <w:t>” means, at any time there is a Defaulting Lender, as applicable, (a) with respect to the Issuing Lender, such Defaulting Lender’s L/C Percentage of the outstanding L/C Exposure other than L/C Exposure as to which such Defaulting Lender’s participation</w:t>
      </w:r>
    </w:p>
    <w:p>
      <w:pPr>
        <w:spacing w:after="0" w:line="216" w:lineRule="auto"/>
        <w:rPr>
          <w:sz w:val="20"/>
          <w:szCs w:val="20"/>
          <w:color w:val="auto"/>
        </w:rPr>
      </w:pPr>
      <w:r>
        <w:rPr>
          <w:rFonts w:ascii="Times New Roman" w:cs="Times New Roman" w:eastAsia="Times New Roman" w:hAnsi="Times New Roman"/>
          <w:sz w:val="19"/>
          <w:szCs w:val="19"/>
          <w:color w:val="auto"/>
        </w:rPr>
        <w:t>obligation has been reallocated to other Lenders or Cash Collateralized in accordance with the terms hereof, and (b) with respect to the Swingline</w:t>
      </w:r>
    </w:p>
    <w:p>
      <w:pPr>
        <w:spacing w:after="0" w:line="225" w:lineRule="auto"/>
        <w:rPr>
          <w:sz w:val="20"/>
          <w:szCs w:val="20"/>
          <w:color w:val="auto"/>
        </w:rPr>
      </w:pPr>
      <w:r>
        <w:rPr>
          <w:rFonts w:ascii="Times New Roman" w:cs="Times New Roman" w:eastAsia="Times New Roman" w:hAnsi="Times New Roman"/>
          <w:sz w:val="19"/>
          <w:szCs w:val="19"/>
          <w:color w:val="auto"/>
        </w:rPr>
        <w:t>Lender, such Defaulting Lender’s Revolving Percentage of outstanding Swingline Loans made by the Swingline Lender other than Swingline Loans as to which such Defaulting Lender’s participation obligation has been reallocated to other Lenders.</w:t>
      </w:r>
    </w:p>
    <w:p>
      <w:pPr>
        <w:spacing w:after="0" w:line="150"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Fund</w:t>
      </w:r>
      <w:r>
        <w:rPr>
          <w:rFonts w:ascii="Times New Roman" w:cs="Times New Roman" w:eastAsia="Times New Roman" w:hAnsi="Times New Roman"/>
          <w:sz w:val="19"/>
          <w:szCs w:val="19"/>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1240"/>
          </w:cols>
          <w:pgMar w:left="320" w:top="1350" w:right="339" w:bottom="1440" w:gutter="0" w:footer="0" w:header="0"/>
        </w:sectPr>
      </w:pPr>
    </w:p>
    <w:bookmarkStart w:id="152" w:name="page153"/>
    <w:bookmarkEnd w:id="152"/>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Fund Guarantee</w:t>
      </w:r>
      <w:r>
        <w:rPr>
          <w:rFonts w:ascii="Times New Roman" w:cs="Times New Roman" w:eastAsia="Times New Roman" w:hAnsi="Times New Roman"/>
          <w:sz w:val="19"/>
          <w:szCs w:val="19"/>
          <w:color w:val="auto"/>
        </w:rPr>
        <w:t>” means that certain Limited Guarantee, dated as of the Third Amendment Effective Date, among the Fund Guarantors, as guarantors thereunder and the Administrative Agent.</w:t>
      </w:r>
    </w:p>
    <w:p>
      <w:pPr>
        <w:spacing w:after="0" w:line="138" w:lineRule="exact"/>
        <w:rPr>
          <w:sz w:val="20"/>
          <w:szCs w:val="20"/>
          <w:color w:val="auto"/>
        </w:rPr>
      </w:pPr>
    </w:p>
    <w:p>
      <w:pPr>
        <w:jc w:val="both"/>
        <w:ind w:firstLine="625"/>
        <w:spacing w:after="0" w:line="27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Fund Guarantor</w:t>
      </w:r>
      <w:r>
        <w:rPr>
          <w:rFonts w:ascii="Times New Roman" w:cs="Times New Roman" w:eastAsia="Times New Roman" w:hAnsi="Times New Roman"/>
          <w:sz w:val="19"/>
          <w:szCs w:val="19"/>
          <w:color w:val="auto"/>
        </w:rPr>
        <w:t>” means each of Vesey Street Capital Partners HealthCare Fund, L.P. and Vesey Street Capital Partners HealthCare Fund-A, L.P., and “</w:t>
      </w:r>
      <w:r>
        <w:rPr>
          <w:rFonts w:ascii="Times New Roman" w:cs="Times New Roman" w:eastAsia="Times New Roman" w:hAnsi="Times New Roman"/>
          <w:sz w:val="19"/>
          <w:szCs w:val="19"/>
          <w:b w:val="1"/>
          <w:bCs w:val="1"/>
          <w:i w:val="1"/>
          <w:iCs w:val="1"/>
          <w:color w:val="auto"/>
        </w:rPr>
        <w:t>Fund Guarantors</w:t>
      </w:r>
      <w:r>
        <w:rPr>
          <w:rFonts w:ascii="Times New Roman" w:cs="Times New Roman" w:eastAsia="Times New Roman" w:hAnsi="Times New Roman"/>
          <w:sz w:val="19"/>
          <w:szCs w:val="19"/>
          <w:color w:val="auto"/>
        </w:rPr>
        <w:t>” means both Vesey Street Capital Partners HealthCare Fund, L.P. and Vesey Street Capital Partners HealthCare Fund-A, L.P.</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Funding Office</w:t>
      </w:r>
      <w:r>
        <w:rPr>
          <w:rFonts w:ascii="Times New Roman" w:cs="Times New Roman" w:eastAsia="Times New Roman" w:hAnsi="Times New Roman"/>
          <w:sz w:val="19"/>
          <w:szCs w:val="19"/>
          <w:color w:val="auto"/>
        </w:rPr>
        <w:t>” means the Revolving Loan Funding Office or the Term Loan Funding Office, as the context requires.</w:t>
      </w:r>
    </w:p>
    <w:p>
      <w:pPr>
        <w:spacing w:after="0" w:line="185"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GAAP</w:t>
      </w:r>
      <w:r>
        <w:rPr>
          <w:rFonts w:ascii="Times New Roman" w:cs="Times New Roman" w:eastAsia="Times New Roman" w:hAnsi="Times New Roman"/>
          <w:sz w:val="19"/>
          <w:szCs w:val="19"/>
          <w:color w:val="auto"/>
        </w:rPr>
        <w:t xml:space="preserve">” means generally accepted accounting principles in the United States as in effect from time to time, except that for purposes of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GAAP shall be determined on the basis of such principles in effect on the date hereof and consistent with those used in the preparation</w:t>
      </w:r>
    </w:p>
    <w:p>
      <w:pPr>
        <w:spacing w:after="0" w:line="216" w:lineRule="auto"/>
        <w:rPr>
          <w:sz w:val="20"/>
          <w:szCs w:val="20"/>
          <w:color w:val="auto"/>
        </w:rPr>
      </w:pPr>
      <w:r>
        <w:rPr>
          <w:rFonts w:ascii="Times New Roman" w:cs="Times New Roman" w:eastAsia="Times New Roman" w:hAnsi="Times New Roman"/>
          <w:sz w:val="19"/>
          <w:szCs w:val="19"/>
          <w:color w:val="auto"/>
        </w:rPr>
        <w:t xml:space="preserve">of the most recent audited financial statements referred to in </w:t>
      </w:r>
      <w:r>
        <w:rPr>
          <w:rFonts w:ascii="Times New Roman" w:cs="Times New Roman" w:eastAsia="Times New Roman" w:hAnsi="Times New Roman"/>
          <w:sz w:val="19"/>
          <w:szCs w:val="19"/>
          <w:u w:val="single" w:color="auto"/>
          <w:color w:val="auto"/>
        </w:rPr>
        <w:t>Section 4.1(b)</w:t>
      </w:r>
      <w:r>
        <w:rPr>
          <w:rFonts w:ascii="Times New Roman" w:cs="Times New Roman" w:eastAsia="Times New Roman" w:hAnsi="Times New Roman"/>
          <w:sz w:val="19"/>
          <w:szCs w:val="19"/>
          <w:color w:val="auto"/>
        </w:rPr>
        <w:t>. In the event that any “</w:t>
      </w:r>
      <w:r>
        <w:rPr>
          <w:rFonts w:ascii="Times New Roman" w:cs="Times New Roman" w:eastAsia="Times New Roman" w:hAnsi="Times New Roman"/>
          <w:sz w:val="19"/>
          <w:szCs w:val="19"/>
          <w:b w:val="1"/>
          <w:bCs w:val="1"/>
          <w:i w:val="1"/>
          <w:iCs w:val="1"/>
          <w:color w:val="auto"/>
        </w:rPr>
        <w:t>Accounting Change</w:t>
      </w:r>
      <w:r>
        <w:rPr>
          <w:rFonts w:ascii="Times New Roman" w:cs="Times New Roman" w:eastAsia="Times New Roman" w:hAnsi="Times New Roman"/>
          <w:sz w:val="19"/>
          <w:szCs w:val="19"/>
          <w:color w:val="auto"/>
        </w:rPr>
        <w:t>” (as defined below) shall</w:t>
      </w:r>
    </w:p>
    <w:p>
      <w:pPr>
        <w:jc w:val="both"/>
        <w:spacing w:after="0" w:line="207" w:lineRule="auto"/>
        <w:rPr>
          <w:sz w:val="20"/>
          <w:szCs w:val="20"/>
          <w:color w:val="auto"/>
        </w:rPr>
      </w:pPr>
      <w:r>
        <w:rPr>
          <w:rFonts w:ascii="Times New Roman" w:cs="Times New Roman" w:eastAsia="Times New Roman" w:hAnsi="Times New Roman"/>
          <w:sz w:val="19"/>
          <w:szCs w:val="19"/>
          <w:color w:val="auto"/>
        </w:rPr>
        <w:t>occur and such change results in a change in the method of calculation of financial covenants, standards or terms in this Agreement, then the Borrower and the Administrative Agent agree to enter into negotiations to amend such provisions of this Agreement so as to reflect equitably such</w:t>
      </w:r>
    </w:p>
    <w:p>
      <w:pPr>
        <w:spacing w:after="0" w:line="215" w:lineRule="auto"/>
        <w:rPr>
          <w:sz w:val="20"/>
          <w:szCs w:val="20"/>
          <w:color w:val="auto"/>
        </w:rPr>
      </w:pPr>
      <w:r>
        <w:rPr>
          <w:rFonts w:ascii="Times New Roman" w:cs="Times New Roman" w:eastAsia="Times New Roman" w:hAnsi="Times New Roman"/>
          <w:sz w:val="19"/>
          <w:szCs w:val="19"/>
          <w:color w:val="auto"/>
        </w:rPr>
        <w:t>Accounting Changes with the desired result that the criteria for evaluating the Borrower’s financial condition shall be the same after such</w:t>
      </w:r>
    </w:p>
    <w:p>
      <w:pPr>
        <w:jc w:val="both"/>
        <w:spacing w:after="0" w:line="207" w:lineRule="auto"/>
        <w:rPr>
          <w:sz w:val="20"/>
          <w:szCs w:val="20"/>
          <w:color w:val="auto"/>
        </w:rPr>
      </w:pPr>
      <w:r>
        <w:rPr>
          <w:rFonts w:ascii="Times New Roman" w:cs="Times New Roman" w:eastAsia="Times New Roman" w:hAnsi="Times New Roman"/>
          <w:sz w:val="19"/>
          <w:szCs w:val="19"/>
          <w:color w:val="auto"/>
        </w:rPr>
        <w:t>Accounting Changes as if such Accounting Changes had not been made. Until such time as such an amendment shall have been executed and delivered by the Borrower, the Administrative Agent and the Required Lenders, all financial covenants, standards and terms in this Agreement</w:t>
      </w:r>
    </w:p>
    <w:p>
      <w:pPr>
        <w:spacing w:after="0" w:line="215" w:lineRule="auto"/>
        <w:rPr>
          <w:sz w:val="20"/>
          <w:szCs w:val="20"/>
          <w:color w:val="auto"/>
        </w:rPr>
      </w:pPr>
      <w:r>
        <w:rPr>
          <w:rFonts w:ascii="Times New Roman" w:cs="Times New Roman" w:eastAsia="Times New Roman" w:hAnsi="Times New Roman"/>
          <w:sz w:val="19"/>
          <w:szCs w:val="19"/>
          <w:color w:val="auto"/>
        </w:rPr>
        <w:t>shall continue to be calculated or construed as if such Accounting Changes had not occurred. “</w:t>
      </w:r>
      <w:r>
        <w:rPr>
          <w:rFonts w:ascii="Times New Roman" w:cs="Times New Roman" w:eastAsia="Times New Roman" w:hAnsi="Times New Roman"/>
          <w:sz w:val="19"/>
          <w:szCs w:val="19"/>
          <w:b w:val="1"/>
          <w:bCs w:val="1"/>
          <w:i w:val="1"/>
          <w:iCs w:val="1"/>
          <w:color w:val="auto"/>
        </w:rPr>
        <w:t>Accounting Changes</w:t>
      </w:r>
      <w:r>
        <w:rPr>
          <w:rFonts w:ascii="Times New Roman" w:cs="Times New Roman" w:eastAsia="Times New Roman" w:hAnsi="Times New Roman"/>
          <w:sz w:val="19"/>
          <w:szCs w:val="19"/>
          <w:color w:val="auto"/>
        </w:rPr>
        <w:t>” refers to changes in</w:t>
      </w:r>
    </w:p>
    <w:p>
      <w:pPr>
        <w:jc w:val="both"/>
        <w:spacing w:after="0" w:line="225" w:lineRule="auto"/>
        <w:rPr>
          <w:sz w:val="20"/>
          <w:szCs w:val="20"/>
          <w:color w:val="auto"/>
        </w:rPr>
      </w:pPr>
      <w:r>
        <w:rPr>
          <w:rFonts w:ascii="Times New Roman" w:cs="Times New Roman" w:eastAsia="Times New Roman" w:hAnsi="Times New Roman"/>
          <w:sz w:val="19"/>
          <w:szCs w:val="19"/>
          <w:color w:val="auto"/>
        </w:rPr>
        <w:t>accounting principles required by the promulgation of any rule, regulation, pronouncement or opinion by the FASB or, if applicable, the SEC, or the adoption of IFRS.</w:t>
      </w:r>
    </w:p>
    <w:p>
      <w:pPr>
        <w:spacing w:after="0" w:line="150"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Governmental Approval</w:t>
      </w:r>
      <w:r>
        <w:rPr>
          <w:rFonts w:ascii="Times New Roman" w:cs="Times New Roman" w:eastAsia="Times New Roman" w:hAnsi="Times New Roman"/>
          <w:sz w:val="19"/>
          <w:szCs w:val="19"/>
          <w:color w:val="auto"/>
        </w:rPr>
        <w:t>” means any consent, authorization, approval, order, license, franchise, permit, certificate, accreditation, registration, filing or notice, of, issued by, from or to, or other act by or in respect of, any Governmental Authority.</w:t>
      </w:r>
    </w:p>
    <w:p>
      <w:pPr>
        <w:spacing w:after="0" w:line="125" w:lineRule="exact"/>
        <w:rPr>
          <w:sz w:val="20"/>
          <w:szCs w:val="20"/>
          <w:color w:val="auto"/>
        </w:rPr>
      </w:pPr>
    </w:p>
    <w:p>
      <w:pPr>
        <w:jc w:val="both"/>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Governmental Authority</w:t>
      </w:r>
      <w:r>
        <w:rPr>
          <w:rFonts w:ascii="Times New Roman" w:cs="Times New Roman" w:eastAsia="Times New Roman" w:hAnsi="Times New Roman"/>
          <w:sz w:val="19"/>
          <w:szCs w:val="19"/>
          <w:color w:val="auto"/>
        </w:rPr>
        <w:t>” means the government of the United States of America or any other nation, or of any political subdivision thereof, whether state or local, and any agency, authority, instrumentality, regulatory body, court, central bank or other entity exercising executive,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legislative, judicial, taxing, regulatory or administrative powers or functions of or pertaining to government (including any supra-national bodies such as the European Union or the European Central Bank), and any group or body charged with setting accounting or regulatory capital rules or</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standards (including the FASB, the Bank for International Settlements, the Basel Committee on Banking Supervision and any successor or similar authority to any of the foregoing.</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Group Members</w:t>
      </w:r>
      <w:r>
        <w:rPr>
          <w:rFonts w:ascii="Times New Roman" w:cs="Times New Roman" w:eastAsia="Times New Roman" w:hAnsi="Times New Roman"/>
          <w:sz w:val="19"/>
          <w:szCs w:val="19"/>
          <w:color w:val="auto"/>
        </w:rPr>
        <w:t>” means the collective reference to Holdings and its Subsidiaries, excluding any Immaterial Subsidiary.</w:t>
      </w:r>
    </w:p>
    <w:p>
      <w:pPr>
        <w:spacing w:after="0" w:line="185"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Guarantee and Collateral Agreement</w:t>
      </w:r>
      <w:r>
        <w:rPr>
          <w:rFonts w:ascii="Times New Roman" w:cs="Times New Roman" w:eastAsia="Times New Roman" w:hAnsi="Times New Roman"/>
          <w:sz w:val="19"/>
          <w:szCs w:val="19"/>
          <w:color w:val="auto"/>
        </w:rPr>
        <w:t xml:space="preserve">” means the Guarantee and Collateral Agreement to be executed and delivered by the Borrower and each Guarantor, substantially in the form of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125" w:lineRule="exact"/>
        <w:rPr>
          <w:sz w:val="20"/>
          <w:szCs w:val="20"/>
          <w:color w:val="auto"/>
        </w:rPr>
      </w:pPr>
    </w:p>
    <w:p>
      <w:pPr>
        <w:jc w:val="both"/>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Guarantee Obligation</w:t>
      </w:r>
      <w:r>
        <w:rPr>
          <w:rFonts w:ascii="Times New Roman" w:cs="Times New Roman" w:eastAsia="Times New Roman" w:hAnsi="Times New Roman"/>
          <w:sz w:val="19"/>
          <w:szCs w:val="19"/>
          <w:color w:val="auto"/>
        </w:rPr>
        <w:t>” means, as to any Person (the “</w:t>
      </w:r>
      <w:r>
        <w:rPr>
          <w:rFonts w:ascii="Times New Roman" w:cs="Times New Roman" w:eastAsia="Times New Roman" w:hAnsi="Times New Roman"/>
          <w:sz w:val="19"/>
          <w:szCs w:val="19"/>
          <w:b w:val="1"/>
          <w:bCs w:val="1"/>
          <w:i w:val="1"/>
          <w:iCs w:val="1"/>
          <w:color w:val="auto"/>
        </w:rPr>
        <w:t>guaranteeing person</w:t>
      </w:r>
      <w:r>
        <w:rPr>
          <w:rFonts w:ascii="Times New Roman" w:cs="Times New Roman" w:eastAsia="Times New Roman" w:hAnsi="Times New Roman"/>
          <w:sz w:val="19"/>
          <w:szCs w:val="19"/>
          <w:color w:val="auto"/>
        </w:rPr>
        <w:t>”), any obligation, including a reimbursement, counterindemnity or similar obligation, of the guaranteeing person that guarantees or in effect guarantees, or which is given to induce the creation</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of a separate obligation by another Person (including any bank under any letter of credit) that guarantees or in effect guarantees, any Indebtedness, leases, dividends or other obligations (the “</w:t>
      </w:r>
      <w:r>
        <w:rPr>
          <w:rFonts w:ascii="Times New Roman" w:cs="Times New Roman" w:eastAsia="Times New Roman" w:hAnsi="Times New Roman"/>
          <w:sz w:val="19"/>
          <w:szCs w:val="19"/>
          <w:b w:val="1"/>
          <w:bCs w:val="1"/>
          <w:i w:val="1"/>
          <w:iCs w:val="1"/>
          <w:color w:val="auto"/>
        </w:rPr>
        <w:t>primary obligations</w:t>
      </w:r>
      <w:r>
        <w:rPr>
          <w:rFonts w:ascii="Times New Roman" w:cs="Times New Roman" w:eastAsia="Times New Roman" w:hAnsi="Times New Roman"/>
          <w:sz w:val="19"/>
          <w:szCs w:val="19"/>
          <w:color w:val="auto"/>
        </w:rPr>
        <w:t>”) of any other third Person (the “</w:t>
      </w:r>
      <w:r>
        <w:rPr>
          <w:rFonts w:ascii="Times New Roman" w:cs="Times New Roman" w:eastAsia="Times New Roman" w:hAnsi="Times New Roman"/>
          <w:sz w:val="19"/>
          <w:szCs w:val="19"/>
          <w:b w:val="1"/>
          <w:bCs w:val="1"/>
          <w:i w:val="1"/>
          <w:iCs w:val="1"/>
          <w:color w:val="auto"/>
        </w:rPr>
        <w:t>primary obligor</w:t>
      </w:r>
      <w:r>
        <w:rPr>
          <w:rFonts w:ascii="Times New Roman" w:cs="Times New Roman" w:eastAsia="Times New Roman" w:hAnsi="Times New Roman"/>
          <w:sz w:val="19"/>
          <w:szCs w:val="19"/>
          <w:color w:val="auto"/>
        </w:rPr>
        <w:t>”) in any manner, whether</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w:t>
      </w:r>
    </w:p>
    <w:p>
      <w:pPr>
        <w:spacing w:after="0" w:line="215" w:lineRule="auto"/>
        <w:rPr>
          <w:sz w:val="20"/>
          <w:szCs w:val="20"/>
          <w:color w:val="auto"/>
        </w:rPr>
      </w:pPr>
      <w:r>
        <w:rPr>
          <w:rFonts w:ascii="Times New Roman" w:cs="Times New Roman" w:eastAsia="Times New Roman" w:hAnsi="Times New Roman"/>
          <w:sz w:val="19"/>
          <w:szCs w:val="19"/>
          <w:color w:val="auto"/>
        </w:rPr>
        <w:t>obligation or (2) to maintain working capital or equity capital of the primary obligor or otherwise to maintain the net worth or solvency of the</w:t>
      </w:r>
    </w:p>
    <w:p>
      <w:pPr>
        <w:jc w:val="both"/>
        <w:spacing w:after="0" w:line="225" w:lineRule="auto"/>
        <w:rPr>
          <w:sz w:val="20"/>
          <w:szCs w:val="20"/>
          <w:color w:val="auto"/>
        </w:rPr>
      </w:pPr>
      <w:r>
        <w:rPr>
          <w:rFonts w:ascii="Times New Roman" w:cs="Times New Roman" w:eastAsia="Times New Roman" w:hAnsi="Times New Roman"/>
          <w:sz w:val="19"/>
          <w:szCs w:val="19"/>
          <w:color w:val="auto"/>
        </w:rPr>
        <w:t>primary obligor, (iii) to purchase property, securities or services primarily for the purpose of assuring the owner of any such primary obligation of the ability of the primary obligor to make payment of such primary obligation 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1240"/>
          </w:cols>
          <w:pgMar w:left="320" w:top="1350" w:right="339" w:bottom="1440" w:gutter="0" w:footer="0" w:header="0"/>
        </w:sectPr>
      </w:pPr>
    </w:p>
    <w:bookmarkStart w:id="153" w:name="page154"/>
    <w:bookmarkEnd w:id="153"/>
    <w:p>
      <w:pPr>
        <w:jc w:val="both"/>
        <w:ind w:firstLine="4"/>
        <w:spacing w:after="0" w:line="219" w:lineRule="auto"/>
        <w:tabs>
          <w:tab w:leader="none" w:pos="36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otherwise to assure or hold harmless the owner of any such primary obligation against loss in respect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Guarantors</w:t>
      </w:r>
      <w:r>
        <w:rPr>
          <w:rFonts w:ascii="Times New Roman" w:cs="Times New Roman" w:eastAsia="Times New Roman" w:hAnsi="Times New Roman"/>
          <w:sz w:val="19"/>
          <w:szCs w:val="19"/>
          <w:color w:val="auto"/>
        </w:rPr>
        <w:t>” means a collective reference to Holdings, Intermediate Holdings and each Subsidiary Guarantor.</w:t>
      </w:r>
    </w:p>
    <w:p>
      <w:pPr>
        <w:spacing w:after="0" w:line="172"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Health Care Laws</w:t>
      </w:r>
      <w:r>
        <w:rPr>
          <w:rFonts w:ascii="Times New Roman" w:cs="Times New Roman" w:eastAsia="Times New Roman" w:hAnsi="Times New Roman"/>
          <w:sz w:val="19"/>
          <w:szCs w:val="19"/>
          <w:color w:val="auto"/>
        </w:rPr>
        <w:t>” means, to the extent applicable, (i) all federal and state fraud and abuse laws, including but not limited to the federal Anti-Kickback Statute (42 U.S.C. §1320a-7b(b) and any similar state laws), any state physician self-referral and anti-kickback prohibitions, and</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the regulations promulgated pursuant to such statues; (ii) the Health Insurance Portability and Accountability Act of 1996 (Pub. L. No. 104-191) and the regulations promulgated under such acts; (iii) the Federal Food, Drug, and Cosmetic Act, 21 U.S.C. §§ 301 et seq., as amended, and the</w:t>
      </w:r>
    </w:p>
    <w:p>
      <w:pPr>
        <w:spacing w:after="0" w:line="215" w:lineRule="auto"/>
        <w:rPr>
          <w:sz w:val="20"/>
          <w:szCs w:val="20"/>
          <w:color w:val="auto"/>
        </w:rPr>
      </w:pPr>
      <w:r>
        <w:rPr>
          <w:rFonts w:ascii="Times New Roman" w:cs="Times New Roman" w:eastAsia="Times New Roman" w:hAnsi="Times New Roman"/>
          <w:sz w:val="19"/>
          <w:szCs w:val="19"/>
          <w:color w:val="auto"/>
        </w:rPr>
        <w:t>rules and regulations issued by the Federal Food and Drug Administration; (iv) the Controlled Substances Act, as amended, and the rules and</w:t>
      </w:r>
    </w:p>
    <w:p>
      <w:pPr>
        <w:spacing w:after="0" w:line="207" w:lineRule="auto"/>
        <w:rPr>
          <w:sz w:val="20"/>
          <w:szCs w:val="20"/>
          <w:color w:val="auto"/>
        </w:rPr>
      </w:pPr>
      <w:r>
        <w:rPr>
          <w:rFonts w:ascii="Times New Roman" w:cs="Times New Roman" w:eastAsia="Times New Roman" w:hAnsi="Times New Roman"/>
          <w:sz w:val="19"/>
          <w:szCs w:val="19"/>
          <w:color w:val="auto"/>
        </w:rPr>
        <w:t>regulations issued thereunder by the U.S. Drug Enforcement Administration; (v) all state health care laws or regulations, including those related to the corporate practice of medicine and fee-splitting; (vi) all health care licensure, permitting or certification laws and regulations; (vii) all health</w:t>
      </w:r>
    </w:p>
    <w:p>
      <w:pPr>
        <w:spacing w:after="0" w:line="215" w:lineRule="auto"/>
        <w:rPr>
          <w:sz w:val="20"/>
          <w:szCs w:val="20"/>
          <w:color w:val="auto"/>
        </w:rPr>
      </w:pPr>
      <w:r>
        <w:rPr>
          <w:rFonts w:ascii="Times New Roman" w:cs="Times New Roman" w:eastAsia="Times New Roman" w:hAnsi="Times New Roman"/>
          <w:sz w:val="19"/>
          <w:szCs w:val="19"/>
          <w:color w:val="auto"/>
        </w:rPr>
        <w:t>care laws or regulations regulating billing for physician services and (viii) all health care licensure, permitting or certification laws, including those</w:t>
      </w:r>
    </w:p>
    <w:p>
      <w:pPr>
        <w:spacing w:after="0" w:line="225" w:lineRule="auto"/>
        <w:rPr>
          <w:sz w:val="20"/>
          <w:szCs w:val="20"/>
          <w:color w:val="auto"/>
        </w:rPr>
      </w:pPr>
      <w:r>
        <w:rPr>
          <w:rFonts w:ascii="Times New Roman" w:cs="Times New Roman" w:eastAsia="Times New Roman" w:hAnsi="Times New Roman"/>
          <w:sz w:val="19"/>
          <w:szCs w:val="19"/>
          <w:color w:val="auto"/>
        </w:rPr>
        <w:t xml:space="preserve">related to medical professional licensing, state supervision requirements and scope of practice laws; each of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(viii)</w:t>
      </w:r>
      <w:r>
        <w:rPr>
          <w:rFonts w:ascii="Times New Roman" w:cs="Times New Roman" w:eastAsia="Times New Roman" w:hAnsi="Times New Roman"/>
          <w:sz w:val="19"/>
          <w:szCs w:val="19"/>
          <w:color w:val="auto"/>
        </w:rPr>
        <w:t xml:space="preserve"> as may be amended from time to time.</w:t>
      </w:r>
    </w:p>
    <w:p>
      <w:pPr>
        <w:spacing w:after="0" w:line="150"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HIPAA</w:t>
      </w:r>
      <w:r>
        <w:rPr>
          <w:rFonts w:ascii="Times New Roman" w:cs="Times New Roman" w:eastAsia="Times New Roman" w:hAnsi="Times New Roman"/>
          <w:sz w:val="19"/>
          <w:szCs w:val="19"/>
          <w:color w:val="auto"/>
        </w:rPr>
        <w:t>” means all laws governing or regulating the privacy or security of patient, medical or individual healthcare information, including the Administrative Simplification provisions of the Health Insurance Portability and Accountability Act of 1996 and the regulations</w:t>
      </w:r>
    </w:p>
    <w:p>
      <w:pPr>
        <w:spacing w:after="0" w:line="216" w:lineRule="auto"/>
        <w:rPr>
          <w:sz w:val="20"/>
          <w:szCs w:val="20"/>
          <w:color w:val="auto"/>
        </w:rPr>
      </w:pPr>
      <w:r>
        <w:rPr>
          <w:rFonts w:ascii="Times New Roman" w:cs="Times New Roman" w:eastAsia="Times New Roman" w:hAnsi="Times New Roman"/>
          <w:sz w:val="19"/>
          <w:szCs w:val="19"/>
          <w:color w:val="auto"/>
        </w:rPr>
        <w:t>promulgated thereunder, all as amended from time to time, including the standards for the privacy of Individually Identifiable Health Information</w:t>
      </w:r>
    </w:p>
    <w:p>
      <w:pPr>
        <w:spacing w:after="0" w:line="200" w:lineRule="auto"/>
        <w:rPr>
          <w:sz w:val="20"/>
          <w:szCs w:val="20"/>
          <w:color w:val="auto"/>
        </w:rPr>
      </w:pPr>
      <w:r>
        <w:rPr>
          <w:rFonts w:ascii="Times New Roman" w:cs="Times New Roman" w:eastAsia="Times New Roman" w:hAnsi="Times New Roman"/>
          <w:sz w:val="19"/>
          <w:szCs w:val="19"/>
          <w:color w:val="auto"/>
        </w:rPr>
        <w:t>at 45 C.F.R. Parts 160 and 164, Subparts A and E, the standards for the protection of Electronic Protected Health Information set forth at 45 C.F.R.</w:t>
      </w:r>
    </w:p>
    <w:p>
      <w:pPr>
        <w:jc w:val="both"/>
        <w:spacing w:after="0" w:line="226" w:lineRule="auto"/>
        <w:rPr>
          <w:sz w:val="20"/>
          <w:szCs w:val="20"/>
          <w:color w:val="auto"/>
        </w:rPr>
      </w:pPr>
      <w:r>
        <w:rPr>
          <w:rFonts w:ascii="Times New Roman" w:cs="Times New Roman" w:eastAsia="Times New Roman" w:hAnsi="Times New Roman"/>
          <w:sz w:val="19"/>
          <w:szCs w:val="19"/>
          <w:color w:val="auto"/>
        </w:rPr>
        <w:t>Part 160 and 45 C.F.R. Part 164, Subpart A and Subpart C, the standards for transactions and code sets used in electronic transactions at 45 C.F.R. Part 160, Subpart A and Part 162, and the standards for Breach Notification for Unsecured Protected Health Information at 45 C.F.R. Part 164, Subpart D, all as amended from time to time.</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Holdings</w:t>
      </w:r>
      <w:r>
        <w:rPr>
          <w:rFonts w:ascii="Times New Roman" w:cs="Times New Roman" w:eastAsia="Times New Roman" w:hAnsi="Times New Roman"/>
          <w:sz w:val="19"/>
          <w:szCs w:val="19"/>
          <w:color w:val="auto"/>
        </w:rPr>
        <w:t>” has the meaning set forth in the preamble hereto.</w:t>
      </w:r>
    </w:p>
    <w:p>
      <w:pPr>
        <w:spacing w:after="0" w:line="185"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IFRS</w:t>
      </w:r>
      <w:r>
        <w:rPr>
          <w:rFonts w:ascii="Times New Roman" w:cs="Times New Roman" w:eastAsia="Times New Roman" w:hAnsi="Times New Roman"/>
          <w:sz w:val="19"/>
          <w:szCs w:val="19"/>
          <w:color w:val="auto"/>
        </w:rPr>
        <w:t>” means international accounting standards within the meaning of IAS Regulation 1606/2002 to the extent applicable to the relevant financial statements delivered under or referred to herein.</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Illegality Notice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Immaterial Subsidiary</w:t>
      </w:r>
      <w:r>
        <w:rPr>
          <w:rFonts w:ascii="Times New Roman" w:cs="Times New Roman" w:eastAsia="Times New Roman" w:hAnsi="Times New Roman"/>
          <w:sz w:val="19"/>
          <w:szCs w:val="19"/>
          <w:color w:val="auto"/>
        </w:rPr>
        <w:t>” means, at any date of determination, any Subsidiary of any Loan Party designated as such by such Loan Party in</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writing and which as of such date (a) holds assets representing 2.5% or less the consolidated total assets of Holdings and its Subsidiaries as of such date (determined in accordance with GAAP), (b) which has generated less than 2.5% of the consolidated total revenues of Holdings and its</w:t>
      </w:r>
    </w:p>
    <w:p>
      <w:pPr>
        <w:spacing w:after="0" w:line="215" w:lineRule="auto"/>
        <w:rPr>
          <w:sz w:val="20"/>
          <w:szCs w:val="20"/>
          <w:color w:val="auto"/>
        </w:rPr>
      </w:pPr>
      <w:r>
        <w:rPr>
          <w:rFonts w:ascii="Times New Roman" w:cs="Times New Roman" w:eastAsia="Times New Roman" w:hAnsi="Times New Roman"/>
          <w:sz w:val="19"/>
          <w:szCs w:val="19"/>
          <w:color w:val="auto"/>
        </w:rPr>
        <w:t>Subsidiaries determined in accordance with GAAP for the Test Period ending on the last day of the most recent period for which financial</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statements have been delivered after the Closing Date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Subsidiaries that are individually </w:t>
      </w:r>
      <w:r>
        <w:rPr>
          <w:rFonts w:ascii="Times New Roman" w:cs="Times New Roman" w:eastAsia="Times New Roman" w:hAnsi="Times New Roman"/>
          <w:sz w:val="19"/>
          <w:szCs w:val="19"/>
          <w:b w:val="1"/>
          <w:bCs w:val="1"/>
          <w:i w:val="1"/>
          <w:iCs w:val="1"/>
          <w:color w:val="auto"/>
        </w:rPr>
        <w:t>“Immaterial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Subsidiaries” </w:t>
      </w:r>
      <w:r>
        <w:rPr>
          <w:rFonts w:ascii="Times New Roman" w:cs="Times New Roman" w:eastAsia="Times New Roman" w:hAnsi="Times New Roman"/>
          <w:sz w:val="19"/>
          <w:szCs w:val="19"/>
          <w:color w:val="auto"/>
        </w:rPr>
        <w:t>shall not have aggregate consolidated total assets that would represent 5.0% or more of the consolidated total assets of Holdings and</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its Subsidiaries as of such date or have generated 5.0% or more of the consolidated total revenues of Holdings and its Subsidiaries for such Test Period, in each case determined in accordance with GAAP, and (c) which owns no material Intellectual Property.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1240"/>
          </w:cols>
          <w:pgMar w:left="320" w:top="1354" w:right="339" w:bottom="1440" w:gutter="0" w:footer="0" w:header="0"/>
        </w:sectPr>
      </w:pPr>
    </w:p>
    <w:bookmarkStart w:id="154" w:name="page155"/>
    <w:bookmarkEnd w:id="154"/>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Incremental Commitment</w:t>
      </w:r>
      <w:r>
        <w:rPr>
          <w:rFonts w:ascii="Times New Roman" w:cs="Times New Roman" w:eastAsia="Times New Roman" w:hAnsi="Times New Roman"/>
          <w:sz w:val="19"/>
          <w:szCs w:val="19"/>
          <w:color w:val="auto"/>
        </w:rPr>
        <w:t>” means any commitment made by a lender to provide all or any portion of any Incremental Facility or Incremental Loan.</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Incremental Facilities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Incremental Facility Amendment</w:t>
      </w:r>
      <w:r>
        <w:rPr>
          <w:rFonts w:ascii="Times New Roman" w:cs="Times New Roman" w:eastAsia="Times New Roman" w:hAnsi="Times New Roman"/>
          <w:sz w:val="19"/>
          <w:szCs w:val="19"/>
          <w:color w:val="auto"/>
        </w:rPr>
        <w:t>” means an amendment to this Agreement executed by (a) the Borrower and (b) each Lender that</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agrees to provide all or any portion of the Incremental Facility being incurred pursuant thereto and in accordance with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 and acknowledged by the Administrative Agent (it being understood that failure by the Administrative Agent to acknowledge such amendment shall</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not affect the effectiveness thereof, except to the extent adversely affecting the rights and duties of, or any fees or other amounts payable to, such Administrative Agent).</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Incremental Lender</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Incremental Loans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Incremental Revolving Facility</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Incremental Revolving Facility Lender</w:t>
      </w:r>
      <w:r>
        <w:rPr>
          <w:rFonts w:ascii="Times New Roman" w:cs="Times New Roman" w:eastAsia="Times New Roman" w:hAnsi="Times New Roman"/>
          <w:sz w:val="19"/>
          <w:szCs w:val="19"/>
          <w:color w:val="auto"/>
        </w:rPr>
        <w:t>” means, with respect to any Incremental Revolving Facility, each Revolving Lender providing any portion of such Incremental Revolving Facility.</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Incremental Revolving Loans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Incremental Term Facility</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Incremental Term Loans</w:t>
      </w:r>
      <w:r>
        <w:rPr>
          <w:rFonts w:ascii="Times New Roman" w:cs="Times New Roman" w:eastAsia="Times New Roman" w:hAnsi="Times New Roman"/>
          <w:sz w:val="19"/>
          <w:szCs w:val="19"/>
          <w:color w:val="auto"/>
        </w:rPr>
        <w:t xml:space="preserve">” has the meaning assigned to such term in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Incurred</w:t>
      </w:r>
      <w:r>
        <w:rPr>
          <w:rFonts w:ascii="Times New Roman" w:cs="Times New Roman" w:eastAsia="Times New Roman" w:hAnsi="Times New Roman"/>
          <w:sz w:val="19"/>
          <w:szCs w:val="19"/>
          <w:color w:val="auto"/>
        </w:rPr>
        <w:t>” has the meaning set forth in the definition of “Pro Forma Basis”.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Indebtedness</w:t>
      </w:r>
      <w:r>
        <w:rPr>
          <w:rFonts w:ascii="Times New Roman" w:cs="Times New Roman" w:eastAsia="Times New Roman" w:hAnsi="Times New Roman"/>
          <w:sz w:val="19"/>
          <w:szCs w:val="19"/>
          <w:color w:val="auto"/>
        </w:rPr>
        <w:t>” means, of any Person at any date, without duplication, (a) all indebtedness of such Person for borrowed money, (b) all</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obligations of such Person for the deferred purchase price of property or services (other than current trade payables incurred in the ordinary course of such Person’s business and earn-outs not constituting debt in accordance with GAAP), (c) all obligations of such Person evidenced by notes,</w:t>
      </w:r>
    </w:p>
    <w:p>
      <w:pPr>
        <w:spacing w:after="0" w:line="215" w:lineRule="auto"/>
        <w:rPr>
          <w:sz w:val="20"/>
          <w:szCs w:val="20"/>
          <w:color w:val="auto"/>
        </w:rPr>
      </w:pPr>
      <w:r>
        <w:rPr>
          <w:rFonts w:ascii="Times New Roman" w:cs="Times New Roman" w:eastAsia="Times New Roman" w:hAnsi="Times New Roman"/>
          <w:sz w:val="19"/>
          <w:szCs w:val="19"/>
          <w:color w:val="auto"/>
        </w:rPr>
        <w:t>bonds, debentures or other similar instruments, (d) all indebtedness created or arising under any conditional sale or other title retention agreement</w:t>
      </w:r>
    </w:p>
    <w:p>
      <w:pPr>
        <w:jc w:val="both"/>
        <w:spacing w:after="0" w:line="207" w:lineRule="auto"/>
        <w:rPr>
          <w:sz w:val="20"/>
          <w:szCs w:val="20"/>
          <w:color w:val="auto"/>
        </w:rPr>
      </w:pPr>
      <w:r>
        <w:rPr>
          <w:rFonts w:ascii="Times New Roman" w:cs="Times New Roman" w:eastAsia="Times New Roman" w:hAnsi="Times New Roman"/>
          <w:sz w:val="19"/>
          <w:szCs w:val="19"/>
          <w:color w:val="auto"/>
        </w:rPr>
        <w:t>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w:t>
      </w:r>
    </w:p>
    <w:p>
      <w:pPr>
        <w:spacing w:after="0" w:line="1" w:lineRule="exact"/>
        <w:rPr>
          <w:sz w:val="20"/>
          <w:szCs w:val="20"/>
          <w:color w:val="auto"/>
        </w:rPr>
      </w:pPr>
    </w:p>
    <w:p>
      <w:pPr>
        <w:jc w:val="both"/>
        <w:ind w:firstLine="4"/>
        <w:spacing w:after="0" w:line="207" w:lineRule="auto"/>
        <w:tabs>
          <w:tab w:leader="none" w:pos="255"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obligations of such Person, contingent or otherwise, as an account party or applicant under or in respect of acceptances, letters of credit, surety bonds or similar arrangements, (g) all Guarantee Obligations of such Person in respect of obligations of the kind referred to in </w:t>
      </w:r>
      <w:r>
        <w:rPr>
          <w:rFonts w:ascii="Times New Roman" w:cs="Times New Roman" w:eastAsia="Times New Roman" w:hAnsi="Times New Roman"/>
          <w:sz w:val="19"/>
          <w:szCs w:val="19"/>
          <w:u w:val="single" w:color="auto"/>
          <w:color w:val="auto"/>
        </w:rPr>
        <w:t>clauses</w:t>
      </w:r>
    </w:p>
    <w:p>
      <w:pPr>
        <w:jc w:val="both"/>
        <w:ind w:firstLine="4"/>
        <w:spacing w:after="0" w:line="218" w:lineRule="auto"/>
        <w:tabs>
          <w:tab w:leader="none" w:pos="279" w:val="left"/>
        </w:tabs>
        <w:numPr>
          <w:ilvl w:val="0"/>
          <w:numId w:val="9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through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above, (h) all obligations of the kind referred to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38"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Indemnified Taxes</w:t>
      </w:r>
      <w:r>
        <w:rPr>
          <w:rFonts w:ascii="Times New Roman" w:cs="Times New Roman" w:eastAsia="Times New Roman" w:hAnsi="Times New Roman"/>
          <w:sz w:val="19"/>
          <w:szCs w:val="19"/>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Other Taxes.</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Indemnitee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10.5(b)</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Information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10.17</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1240"/>
          </w:cols>
          <w:pgMar w:left="320" w:top="1350" w:right="339" w:bottom="1440" w:gutter="0" w:footer="0" w:header="0"/>
        </w:sectPr>
      </w:pPr>
    </w:p>
    <w:bookmarkStart w:id="155" w:name="page156"/>
    <w:bookmarkEnd w:id="155"/>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Insolvency Proceeding</w:t>
      </w:r>
      <w:r>
        <w:rPr>
          <w:rFonts w:ascii="Times New Roman" w:cs="Times New Roman" w:eastAsia="Times New Roman" w:hAnsi="Times New Roman"/>
          <w:sz w:val="19"/>
          <w:szCs w:val="19"/>
          <w:color w:val="auto"/>
        </w:rPr>
        <w:t>” means (a) any case, action or proceeding before any court or other Governmental Authority relating to</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any substantial portion of such Person’s creditors, in each case undertaken under U.S. Federal, state or foreign law, including any Debtor Relief Law.</w:t>
      </w:r>
    </w:p>
    <w:p>
      <w:pPr>
        <w:spacing w:after="0" w:line="138" w:lineRule="exact"/>
        <w:rPr>
          <w:sz w:val="20"/>
          <w:szCs w:val="20"/>
          <w:color w:val="auto"/>
        </w:rPr>
      </w:pPr>
    </w:p>
    <w:p>
      <w:pPr>
        <w:jc w:val="both"/>
        <w:ind w:firstLine="625"/>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Intangible Assets</w:t>
      </w:r>
      <w:r>
        <w:rPr>
          <w:rFonts w:ascii="Times New Roman" w:cs="Times New Roman" w:eastAsia="Times New Roman" w:hAnsi="Times New Roman"/>
          <w:sz w:val="19"/>
          <w:szCs w:val="19"/>
          <w:color w:val="auto"/>
        </w:rPr>
        <w:t>” 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spacing w:after="0" w:line="137" w:lineRule="exact"/>
        <w:rPr>
          <w:sz w:val="20"/>
          <w:szCs w:val="20"/>
          <w:color w:val="auto"/>
        </w:rPr>
      </w:pPr>
    </w:p>
    <w:p>
      <w:pPr>
        <w:jc w:val="both"/>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Intellectual Property</w:t>
      </w:r>
      <w:r>
        <w:rPr>
          <w:rFonts w:ascii="Times New Roman" w:cs="Times New Roman" w:eastAsia="Times New Roman" w:hAnsi="Times New Roman"/>
          <w:sz w:val="19"/>
          <w:szCs w:val="19"/>
          <w:color w:val="auto"/>
        </w:rPr>
        <w:t>” means the collective reference to all rights, priorities and privileges relating to intellectual property, whether arising under United States, multinational or foreign laws or otherwise, including copyrights, copyright licenses, patents, patent licenses,</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trademarks, trademark licenses, technology, know-how and processes, and all rights to sue at law or in equity for any infringement or other impairment thereof, including the right to receive all proceeds and damages therefrom.</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Intellectual Property Security Agreement</w:t>
      </w:r>
      <w:r>
        <w:rPr>
          <w:rFonts w:ascii="Times New Roman" w:cs="Times New Roman" w:eastAsia="Times New Roman" w:hAnsi="Times New Roman"/>
          <w:sz w:val="19"/>
          <w:szCs w:val="19"/>
          <w:color w:val="auto"/>
        </w:rPr>
        <w:t>” means an intellectual property security agreement entered into between a Loan Party and the</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Administrative Agent pursuant to the terms of the Guarantee and Collateral Agreement, together with each other intellectual property security agreement and supplement thereto delivered pursuant to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in each case as amended, restated, supplemented or otherwise modified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time to time.</w:t>
      </w:r>
    </w:p>
    <w:p>
      <w:pPr>
        <w:spacing w:after="0" w:line="159"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Payment Date</w:t>
      </w:r>
      <w:r>
        <w:rPr>
          <w:rFonts w:ascii="Times New Roman" w:cs="Times New Roman" w:eastAsia="Times New Roman" w:hAnsi="Times New Roman"/>
          <w:sz w:val="19"/>
          <w:szCs w:val="19"/>
          <w:color w:val="auto"/>
        </w:rPr>
        <w:t>” means (a) as to any ABR Loan (including any Swingline Loan), the first Business Day of each calendar month to occur while such Loan is outstanding and the final maturity date of such Loan, (b) as to any SOFR Loan, (i) having an Interest Period of three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months or less, the last Business Day of such Interest Period and the final maturity date of such Loan and (ii) having an Interest Period longer than three months, each Business Day that is three months after the first day of such Interest Period, the last Business Day of such Interest Period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final maturity date of such Loan, and (c) as to any Loan, the date of any repayment or prepayment made in respect thereof.</w:t>
      </w:r>
    </w:p>
    <w:p>
      <w:pPr>
        <w:spacing w:after="0" w:line="159"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Period</w:t>
      </w:r>
      <w:r>
        <w:rPr>
          <w:rFonts w:ascii="Times New Roman" w:cs="Times New Roman" w:eastAsia="Times New Roman" w:hAnsi="Times New Roman"/>
          <w:sz w:val="19"/>
          <w:szCs w:val="19"/>
          <w:color w:val="auto"/>
        </w:rPr>
        <w:t>” means, as to any SOFR Loan, (a) initially, the period commencing on the borrowing or conversion date, as the case may be, with respect to such SOFR Loan and ending on the numerically corresponding day in the month that is one, three or six months thereafter, as</w:t>
      </w:r>
    </w:p>
    <w:p>
      <w:pPr>
        <w:spacing w:after="0" w:line="216" w:lineRule="auto"/>
        <w:rPr>
          <w:sz w:val="20"/>
          <w:szCs w:val="20"/>
          <w:color w:val="auto"/>
        </w:rPr>
      </w:pPr>
      <w:r>
        <w:rPr>
          <w:rFonts w:ascii="Times New Roman" w:cs="Times New Roman" w:eastAsia="Times New Roman" w:hAnsi="Times New Roman"/>
          <w:sz w:val="19"/>
          <w:szCs w:val="19"/>
          <w:color w:val="auto"/>
        </w:rPr>
        <w:t>selected by the Borrower in its Notice of Borrowing or Notice of Conversion/Continuation, as the case may be, given with respect thereto; and</w:t>
      </w:r>
    </w:p>
    <w:p>
      <w:pPr>
        <w:jc w:val="both"/>
        <w:ind w:firstLine="4"/>
        <w:spacing w:after="0" w:line="216" w:lineRule="auto"/>
        <w:tabs>
          <w:tab w:leader="none" w:pos="29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thereafter, each period commencing on the last day of the next preceding Interest Period applicable to such SOFR Loan and ending on the numerically corresponding day in the month that is one, three or six months thereafter, as selected by the Borrower in a Notice of Conversion/Continuation delivered to the Administrative Agent not later than 10:00 A.M. on the date that is three U.S. Government Securities Business Days prior to the last day of the then current Interest Period with respect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of the foregoing provisions relating to Interest Periods are subject to the following:</w:t>
      </w:r>
    </w:p>
    <w:p>
      <w:pPr>
        <w:spacing w:after="0" w:line="153" w:lineRule="exact"/>
        <w:rPr>
          <w:rFonts w:ascii="Times New Roman" w:cs="Times New Roman" w:eastAsia="Times New Roman" w:hAnsi="Times New Roman"/>
          <w:sz w:val="19"/>
          <w:szCs w:val="19"/>
          <w:color w:val="auto"/>
        </w:rPr>
      </w:pPr>
    </w:p>
    <w:p>
      <w:pPr>
        <w:jc w:val="both"/>
        <w:ind w:firstLine="1880"/>
        <w:spacing w:after="0" w:line="229" w:lineRule="auto"/>
        <w:tabs>
          <w:tab w:leader="none" w:pos="2498"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54"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not select an Interest Period under a particular Facility that would extend beyond the Maturity</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Date;</w:t>
      </w:r>
    </w:p>
    <w:p>
      <w:pPr>
        <w:spacing w:after="0" w:line="150" w:lineRule="exact"/>
        <w:rPr>
          <w:rFonts w:ascii="Times New Roman" w:cs="Times New Roman" w:eastAsia="Times New Roman" w:hAnsi="Times New Roman"/>
          <w:sz w:val="19"/>
          <w:szCs w:val="19"/>
          <w:color w:val="auto"/>
        </w:rPr>
      </w:pPr>
    </w:p>
    <w:p>
      <w:pPr>
        <w:jc w:val="both"/>
        <w:ind w:firstLine="1880"/>
        <w:spacing w:after="0" w:line="234" w:lineRule="auto"/>
        <w:tabs>
          <w:tab w:leader="none" w:pos="2500"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Period that begins on the last Business Day of a calendar month (or on a day for which there is no numerically corresponding day in the last calendar month at the end of such Interest Period) shall end on the last Business Day of a calendar month;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11240"/>
          </w:cols>
          <w:pgMar w:left="320" w:top="1350" w:right="339" w:bottom="1440" w:gutter="0" w:footer="0" w:header="0"/>
        </w:sectPr>
      </w:pPr>
    </w:p>
    <w:bookmarkStart w:id="156" w:name="page157"/>
    <w:bookmarkEnd w:id="156"/>
    <w:p>
      <w:pPr>
        <w:ind w:firstLine="1880"/>
        <w:spacing w:after="0" w:line="249" w:lineRule="auto"/>
        <w:tabs>
          <w:tab w:leader="none" w:pos="249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tenor that has been removed from this definition pursuant to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shall be available for specification in any Notice of Borrowing or Notice of Conversion/Continuation.</w:t>
      </w:r>
    </w:p>
    <w:p>
      <w:pPr>
        <w:spacing w:after="0" w:line="129" w:lineRule="exact"/>
        <w:rPr>
          <w:sz w:val="20"/>
          <w:szCs w:val="20"/>
          <w:color w:val="auto"/>
        </w:rPr>
      </w:pPr>
    </w:p>
    <w:p>
      <w:pPr>
        <w:jc w:val="both"/>
        <w:ind w:firstLine="625"/>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Rate Agreement</w:t>
      </w:r>
      <w:r>
        <w:rPr>
          <w:rFonts w:ascii="Times New Roman" w:cs="Times New Roman" w:eastAsia="Times New Roman" w:hAnsi="Times New Roman"/>
          <w:sz w:val="19"/>
          <w:szCs w:val="19"/>
          <w:color w:val="auto"/>
        </w:rPr>
        <w:t>” means any interest rate swap agreement, interest rate cap agreement, interest rate collar agreement, interest rate hedging agreement or other similar agreement or arrangement, each of which is (a) for the purpose of hedging the interest rate exposure associated with Holdings’ and its Subsidiaries’ operations and (b) not for speculative purposes.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Intermediate Holdings</w:t>
      </w:r>
      <w:r>
        <w:rPr>
          <w:rFonts w:ascii="Times New Roman" w:cs="Times New Roman" w:eastAsia="Times New Roman" w:hAnsi="Times New Roman"/>
          <w:sz w:val="19"/>
          <w:szCs w:val="19"/>
          <w:color w:val="auto"/>
        </w:rPr>
        <w:t>” has the meaning set forth in the preamble hereto.</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Inventory</w:t>
      </w:r>
      <w:r>
        <w:rPr>
          <w:rFonts w:ascii="Times New Roman" w:cs="Times New Roman" w:eastAsia="Times New Roman" w:hAnsi="Times New Roman"/>
          <w:sz w:val="19"/>
          <w:szCs w:val="19"/>
          <w:color w:val="auto"/>
        </w:rPr>
        <w:t>” means all “inventory,” as such term is defined in the UCC, now owned or hereafter acquired by any Loan Party, wherever</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located, and in any event including inventory, merchandise, goods and other personal property that are held by or on behalf of any Loan Party for sale or lease or are furnished or are to be furnished under a contract of service, or that constitutes raw materials, work in process, finished goods,</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returned goods, or materials or supplies of any kind used or consumed or to be used or consumed in such Loan Party’s business or in the processing, production, packaging, promotion, delivery or shipping of the same, including all supplies and embedded software.</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Investments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7.8</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IRS</w:t>
      </w:r>
      <w:r>
        <w:rPr>
          <w:rFonts w:ascii="Times New Roman" w:cs="Times New Roman" w:eastAsia="Times New Roman" w:hAnsi="Times New Roman"/>
          <w:sz w:val="19"/>
          <w:szCs w:val="19"/>
          <w:color w:val="auto"/>
        </w:rPr>
        <w:t>” means the Internal Revenue Service, or any successor thereto.</w:t>
      </w:r>
    </w:p>
    <w:p>
      <w:pPr>
        <w:spacing w:after="0" w:line="185" w:lineRule="exact"/>
        <w:rPr>
          <w:sz w:val="20"/>
          <w:szCs w:val="20"/>
          <w:color w:val="auto"/>
        </w:rPr>
      </w:pPr>
    </w:p>
    <w:p>
      <w:pPr>
        <w:jc w:val="both"/>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ISP</w:t>
      </w:r>
      <w:r>
        <w:rPr>
          <w:rFonts w:ascii="Times New Roman" w:cs="Times New Roman" w:eastAsia="Times New Roman" w:hAnsi="Times New Roman"/>
          <w:sz w:val="19"/>
          <w:szCs w:val="19"/>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Issuing Lender</w:t>
      </w:r>
      <w:r>
        <w:rPr>
          <w:rFonts w:ascii="Times New Roman" w:cs="Times New Roman" w:eastAsia="Times New Roman" w:hAnsi="Times New Roman"/>
          <w:sz w:val="19"/>
          <w:szCs w:val="19"/>
          <w:color w:val="auto"/>
        </w:rPr>
        <w:t>” means, as the context may require, (a) SVB or any Affiliate thereof, in its capacity as issuer of any Letter of Credit, and</w:t>
      </w:r>
    </w:p>
    <w:p>
      <w:pPr>
        <w:spacing w:after="0" w:line="3" w:lineRule="exact"/>
        <w:rPr>
          <w:sz w:val="20"/>
          <w:szCs w:val="20"/>
          <w:color w:val="auto"/>
        </w:rPr>
      </w:pPr>
    </w:p>
    <w:p>
      <w:pPr>
        <w:jc w:val="both"/>
        <w:ind w:firstLine="4"/>
        <w:spacing w:after="0" w:line="216" w:lineRule="auto"/>
        <w:tabs>
          <w:tab w:leader="none" w:pos="274"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other Lender that may become an Issuing Lender pursuant to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3.12</w:t>
      </w:r>
      <w:r>
        <w:rPr>
          <w:rFonts w:ascii="Times New Roman" w:cs="Times New Roman" w:eastAsia="Times New Roman" w:hAnsi="Times New Roman"/>
          <w:sz w:val="19"/>
          <w:szCs w:val="19"/>
          <w:color w:val="auto"/>
        </w:rPr>
        <w:t>, with respect to Letters of Credit issued by such Lender. The Issuing Lender may, in its discretion, arrange for one or more Letters of Credit to be issued by Affiliates of the Issuing Lender or other financial institutions, in which case the term “Issuing Lender” shall include any such Affiliate or other financial institution with respect to Letters of Credit issued by such Affiliate or other financial institution.</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Issuing Lender Fees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3.3(a)</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L/C Advance</w:t>
      </w:r>
      <w:r>
        <w:rPr>
          <w:rFonts w:ascii="Times New Roman" w:cs="Times New Roman" w:eastAsia="Times New Roman" w:hAnsi="Times New Roman"/>
          <w:sz w:val="19"/>
          <w:szCs w:val="19"/>
          <w:color w:val="auto"/>
        </w:rPr>
        <w:t>” means each L/C Lender’s funding of its participation in any L/C Disbursement in accordance with its L/C Percentage of the L/C Commitment.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L/C Commitment</w:t>
      </w:r>
      <w:r>
        <w:rPr>
          <w:rFonts w:ascii="Times New Roman" w:cs="Times New Roman" w:eastAsia="Times New Roman" w:hAnsi="Times New Roman"/>
          <w:sz w:val="19"/>
          <w:szCs w:val="19"/>
          <w:color w:val="auto"/>
        </w:rPr>
        <w:t>” means, as to any L/C Lender, the obligation of such L/C Lender, if any, to purchase an undivided interest in the</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Issuing Lenders’ obligations and rights under and in respect of each Letter of Credit (including to make payments with respect to draws made under any Letter of Credit pursuant to </w:t>
      </w:r>
      <w:r>
        <w:rPr>
          <w:rFonts w:ascii="Times New Roman" w:cs="Times New Roman" w:eastAsia="Times New Roman" w:hAnsi="Times New Roman"/>
          <w:sz w:val="19"/>
          <w:szCs w:val="19"/>
          <w:u w:val="single" w:color="auto"/>
          <w:color w:val="auto"/>
        </w:rPr>
        <w:t>Section 3.5(b)</w:t>
      </w:r>
      <w:r>
        <w:rPr>
          <w:rFonts w:ascii="Times New Roman" w:cs="Times New Roman" w:eastAsia="Times New Roman" w:hAnsi="Times New Roman"/>
          <w:sz w:val="19"/>
          <w:szCs w:val="19"/>
          <w:color w:val="auto"/>
        </w:rPr>
        <w:t>) in an aggregate principal amount not to exceed the amount set forth under the heading “L/C</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Commitment” opposite such L/C Lender’s name on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 xml:space="preserve"> or in the Assignment and Assumption pursuant to which such L/C Lender</w:t>
      </w:r>
    </w:p>
    <w:p>
      <w:pPr>
        <w:spacing w:after="0" w:line="207" w:lineRule="auto"/>
        <w:rPr>
          <w:sz w:val="20"/>
          <w:szCs w:val="20"/>
          <w:color w:val="auto"/>
        </w:rPr>
      </w:pPr>
      <w:r>
        <w:rPr>
          <w:rFonts w:ascii="Times New Roman" w:cs="Times New Roman" w:eastAsia="Times New Roman" w:hAnsi="Times New Roman"/>
          <w:sz w:val="19"/>
          <w:szCs w:val="19"/>
          <w:color w:val="auto"/>
        </w:rPr>
        <w:t>becomes a party hereto, as the same may be changed from time to time pursuant to the terms hereof. The L/C Commitment is a sublimit of the Revolving Commitment and the aggregate amount of the L/C Commitments shall not exceed the amount of the Total L/C Commitments at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time.</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L/C Disbursements</w:t>
      </w:r>
      <w:r>
        <w:rPr>
          <w:rFonts w:ascii="Times New Roman" w:cs="Times New Roman" w:eastAsia="Times New Roman" w:hAnsi="Times New Roman"/>
          <w:sz w:val="19"/>
          <w:szCs w:val="19"/>
          <w:color w:val="auto"/>
        </w:rPr>
        <w:t>” means a payment or disbursement made by the Issuing Lender pursuant to a Letter of Credit.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L/C Exposure</w:t>
      </w:r>
      <w:r>
        <w:rPr>
          <w:rFonts w:ascii="Times New Roman" w:cs="Times New Roman" w:eastAsia="Times New Roman" w:hAnsi="Times New Roman"/>
          <w:sz w:val="19"/>
          <w:szCs w:val="19"/>
          <w:color w:val="auto"/>
        </w:rPr>
        <w:t>” means, at any time, the sum of (a) the aggregate undrawn amount of all outstanding Letters of Credit at such time, and</w:t>
      </w:r>
    </w:p>
    <w:p>
      <w:pPr>
        <w:spacing w:after="0" w:line="3" w:lineRule="exact"/>
        <w:rPr>
          <w:sz w:val="20"/>
          <w:szCs w:val="20"/>
          <w:color w:val="auto"/>
        </w:rPr>
      </w:pPr>
    </w:p>
    <w:p>
      <w:pPr>
        <w:ind w:firstLine="4"/>
        <w:spacing w:after="0" w:line="232" w:lineRule="auto"/>
        <w:tabs>
          <w:tab w:leader="none" w:pos="283"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of all L/C Disbursements that have not yet been reimbursed or converted into Revolving Loans at such time. The L/C Exposure of any L/C Lender at any time shall equal its L/C Percentage of the aggregate L/C Exposure at such time.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11240"/>
          </w:cols>
          <w:pgMar w:left="320" w:top="1354" w:right="339" w:bottom="1440" w:gutter="0" w:footer="0" w:header="0"/>
        </w:sectPr>
      </w:pPr>
    </w:p>
    <w:bookmarkStart w:id="157" w:name="page158"/>
    <w:bookmarkEnd w:id="157"/>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L/C Facility</w:t>
      </w:r>
      <w:r>
        <w:rPr>
          <w:rFonts w:ascii="Times New Roman" w:cs="Times New Roman" w:eastAsia="Times New Roman" w:hAnsi="Times New Roman"/>
          <w:sz w:val="19"/>
          <w:szCs w:val="19"/>
          <w:color w:val="auto"/>
        </w:rPr>
        <w:t>” means the L/C Commitments and the Credit Extensions made thereunder.</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L/C Fee Payment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3.3(a)</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L/C Lender</w:t>
      </w:r>
      <w:r>
        <w:rPr>
          <w:rFonts w:ascii="Times New Roman" w:cs="Times New Roman" w:eastAsia="Times New Roman" w:hAnsi="Times New Roman"/>
          <w:sz w:val="19"/>
          <w:szCs w:val="19"/>
          <w:color w:val="auto"/>
        </w:rPr>
        <w:t>” means a Lender with an L/C Commitment.</w:t>
      </w:r>
    </w:p>
    <w:p>
      <w:pPr>
        <w:spacing w:after="0" w:line="185"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L/C Percentage</w:t>
      </w:r>
      <w:r>
        <w:rPr>
          <w:rFonts w:ascii="Times New Roman" w:cs="Times New Roman" w:eastAsia="Times New Roman" w:hAnsi="Times New Roman"/>
          <w:sz w:val="19"/>
          <w:szCs w:val="19"/>
          <w:color w:val="auto"/>
        </w:rPr>
        <w:t xml:space="preserve">” means as to any L/C Lender at any time, the percentage of the Total L/C Commitments represented by such L/C Lender’s L/C Commitment, as such percentage may be adjusted as provided in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w:t>
      </w:r>
    </w:p>
    <w:p>
      <w:pPr>
        <w:spacing w:after="0" w:line="125" w:lineRule="exact"/>
        <w:rPr>
          <w:sz w:val="20"/>
          <w:szCs w:val="20"/>
          <w:color w:val="auto"/>
        </w:rPr>
      </w:pPr>
    </w:p>
    <w:p>
      <w:pPr>
        <w:jc w:val="both"/>
        <w:ind w:firstLine="625"/>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L/C-Related Documents</w:t>
      </w:r>
      <w:r>
        <w:rPr>
          <w:rFonts w:ascii="Times New Roman" w:cs="Times New Roman" w:eastAsia="Times New Roman" w:hAnsi="Times New Roman"/>
          <w:sz w:val="19"/>
          <w:szCs w:val="19"/>
          <w:color w:val="auto"/>
        </w:rPr>
        <w:t>” means, collectively, each Letter of Credit, all applications for any Letter of Credit (and applications for the amendment of any Letter of Credit) submitted by the Borrower to the Issuing Lender and any other document, agreement and instrument relating to any Letter of Credit, including any of the Issuing Lender’s standard form documents for letter of credit issuances.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Lead Arranger</w:t>
      </w:r>
      <w:r>
        <w:rPr>
          <w:rFonts w:ascii="Times New Roman" w:cs="Times New Roman" w:eastAsia="Times New Roman" w:hAnsi="Times New Roman"/>
          <w:sz w:val="19"/>
          <w:szCs w:val="19"/>
          <w:color w:val="auto"/>
        </w:rPr>
        <w:t>” means SVB, in its capacity as sole lead arranger and bookrunner hereunder.</w:t>
      </w:r>
    </w:p>
    <w:p>
      <w:pPr>
        <w:spacing w:after="0" w:line="185"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Lenders</w:t>
      </w:r>
      <w:r>
        <w:rPr>
          <w:rFonts w:ascii="Times New Roman" w:cs="Times New Roman" w:eastAsia="Times New Roman" w:hAnsi="Times New Roman"/>
          <w:sz w:val="19"/>
          <w:szCs w:val="19"/>
          <w:color w:val="auto"/>
        </w:rPr>
        <w:t xml:space="preserve">” has the meaning set forth in the preamble 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the context otherwise requires, each reference herein to the Lenders shall be deemed to include the Issuing Lender and the Swingline Lender.</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Letter of Credit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3.1(a)</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Letter of Credit Availability Period</w:t>
      </w:r>
      <w:r>
        <w:rPr>
          <w:rFonts w:ascii="Times New Roman" w:cs="Times New Roman" w:eastAsia="Times New Roman" w:hAnsi="Times New Roman"/>
          <w:sz w:val="19"/>
          <w:szCs w:val="19"/>
          <w:color w:val="auto"/>
        </w:rPr>
        <w:t>” means the period from and including the Closing Date to but excluding the Letter of Credit Maturity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Letter of Credit Fees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3.3(a)</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Letter of Credit Fronting Fees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3.3(a)</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Letter of Credit Maturity Date</w:t>
      </w:r>
      <w:r>
        <w:rPr>
          <w:rFonts w:ascii="Times New Roman" w:cs="Times New Roman" w:eastAsia="Times New Roman" w:hAnsi="Times New Roman"/>
          <w:sz w:val="19"/>
          <w:szCs w:val="19"/>
          <w:color w:val="auto"/>
        </w:rPr>
        <w:t>” means the date occurring five days prior to the Maturity Date then in effect (or, if such day is not a Business Day, the next preceding Business Day).</w:t>
      </w:r>
    </w:p>
    <w:p>
      <w:pPr>
        <w:spacing w:after="0" w:line="151"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License Agreement</w:t>
      </w:r>
      <w:r>
        <w:rPr>
          <w:rFonts w:ascii="Times New Roman" w:cs="Times New Roman" w:eastAsia="Times New Roman" w:hAnsi="Times New Roman"/>
          <w:sz w:val="19"/>
          <w:szCs w:val="19"/>
          <w:color w:val="auto"/>
        </w:rPr>
        <w:t>” means each license agreement (or similar agreement) between a Loan Party and a PC Entity, in form and substance reasonably acceptable to the Administrative Agent, as the same may be amended, restated, supplemented or otherwise modified from time to time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extent not prohibited by this Agreement.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Licensed Personnel</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4.26(e)</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jc w:val="both"/>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Lien</w:t>
      </w:r>
      <w:r>
        <w:rPr>
          <w:rFonts w:ascii="Times New Roman" w:cs="Times New Roman" w:eastAsia="Times New Roman" w:hAnsi="Times New Roman"/>
          <w:sz w:val="19"/>
          <w:szCs w:val="19"/>
          <w:color w:val="auto"/>
        </w:rPr>
        <w:t>” means any mortgage, deed of trust, pledge, hypothecation, collateral assignment, deposit arrangement, encumbrance, lien (statutory or other), charge or other security interest or any preference, priority or other security agreement or preferential arrangement of any kind</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or nature whatsoever (including any conditional sale or other title retention agreement and any finance lease having substantially the same economic effect as any of the foregoing).</w:t>
      </w:r>
    </w:p>
    <w:p>
      <w:pPr>
        <w:spacing w:after="0" w:line="150"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Liquidity</w:t>
      </w:r>
      <w:r>
        <w:rPr>
          <w:rFonts w:ascii="Times New Roman" w:cs="Times New Roman" w:eastAsia="Times New Roman" w:hAnsi="Times New Roman"/>
          <w:sz w:val="19"/>
          <w:szCs w:val="19"/>
          <w:color w:val="auto"/>
        </w:rPr>
        <w:t>” means, at any time, the sum of (a) the aggregate amount of Unrestricted Cash and (b) the Available Revolving Commitment at such time.</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Loan</w:t>
      </w:r>
      <w:r>
        <w:rPr>
          <w:rFonts w:ascii="Times New Roman" w:cs="Times New Roman" w:eastAsia="Times New Roman" w:hAnsi="Times New Roman"/>
          <w:sz w:val="19"/>
          <w:szCs w:val="19"/>
          <w:color w:val="auto"/>
        </w:rPr>
        <w:t>” means any loan made or maintained by any Lender pursuant to this Agreement.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Loan Documents</w:t>
      </w:r>
      <w:r>
        <w:rPr>
          <w:rFonts w:ascii="Times New Roman" w:cs="Times New Roman" w:eastAsia="Times New Roman" w:hAnsi="Times New Roman"/>
          <w:sz w:val="19"/>
          <w:szCs w:val="19"/>
          <w:color w:val="auto"/>
        </w:rPr>
        <w:t>” means this Agreement, the First Amendment, the Second Amendment, the Third Amendment, the Fund Guarantee,</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each Security Document, each Note, the Fee Letter, the Collateral Assignment of PC Documents, the Flow of Funds Agreement, each Assignment and Assumption, each Compliance Certificate, each Notice of Borrowing, each Notice of Conversion/Continuation, the Solvency Certificate, the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Collateral Information Certificate, each L/C-Related Document, and any agreement creating or perfecting rights in cash collateral pursuant to the provisions of</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1240"/>
          </w:cols>
          <w:pgMar w:left="320" w:top="1350"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or otherwise, and any amendment, waiver, supplement or other modification to any of the foregoing.</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Loan Parties</w:t>
      </w:r>
      <w:r>
        <w:rPr>
          <w:rFonts w:ascii="Times New Roman" w:cs="Times New Roman" w:eastAsia="Times New Roman" w:hAnsi="Times New Roman"/>
          <w:sz w:val="19"/>
          <w:szCs w:val="19"/>
          <w:color w:val="auto"/>
        </w:rPr>
        <w:t>” means each Group Member that is a party to a Loan Document, as a Borrower or a Guarantor.</w:t>
      </w:r>
    </w:p>
    <w:p>
      <w:pPr>
        <w:spacing w:after="0" w:line="172"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Majority Revolving Lenders</w:t>
      </w:r>
      <w:r>
        <w:rPr>
          <w:rFonts w:ascii="Times New Roman" w:cs="Times New Roman" w:eastAsia="Times New Roman" w:hAnsi="Times New Roman"/>
          <w:sz w:val="19"/>
          <w:szCs w:val="19"/>
          <w:color w:val="auto"/>
        </w:rPr>
        <w:t>” means, at any time, (a) if only one Revolving Lender holds the Total Revolving Commitments at such time, such Revolving Lender, both before and after the termination of such Revolving Commitment; and (b) if more than one Revolving Lender</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holds the Total Revolving Commitment, at least two Revolving Lenders who hold more than 50.0% of the Total Revolving Commitments (including, without duplication, the L/C Commitments) or, at any time after the termination of the Revolving Commitments when such Revolving</w:t>
      </w:r>
    </w:p>
    <w:p>
      <w:pPr>
        <w:spacing w:after="0" w:line="215" w:lineRule="auto"/>
        <w:rPr>
          <w:sz w:val="20"/>
          <w:szCs w:val="20"/>
          <w:color w:val="auto"/>
        </w:rPr>
      </w:pPr>
      <w:r>
        <w:rPr>
          <w:rFonts w:ascii="Times New Roman" w:cs="Times New Roman" w:eastAsia="Times New Roman" w:hAnsi="Times New Roman"/>
          <w:sz w:val="19"/>
          <w:szCs w:val="19"/>
          <w:color w:val="auto"/>
        </w:rPr>
        <w:t>Commitments were held by more than one Revolving Lender, at least two Revolving Lenders who hold more than 50.0% of the Total Revolving</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Extensions of Credit then outstanding (including, without duplication, any L/C Disbursements that have not yet been reimbursed or converted into Revolving Loans at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Revolving Commitments of, and the portion of the Revolving Loans and participations in L/C</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 xml:space="preserve">Exposure and Swingline Loans held or deemed held by, any Defaulting Lender shall be excluded for purposes of making a determination of Majority Revolving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a Lender and its Affiliates shall be deemed one Lender.</w:t>
      </w:r>
    </w:p>
    <w:p>
      <w:pPr>
        <w:spacing w:after="0" w:line="138" w:lineRule="exact"/>
        <w:rPr>
          <w:sz w:val="20"/>
          <w:szCs w:val="20"/>
          <w:color w:val="auto"/>
        </w:rPr>
      </w:pPr>
    </w:p>
    <w:p>
      <w:pPr>
        <w:jc w:val="both"/>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Majority Term Lenders</w:t>
      </w:r>
      <w:r>
        <w:rPr>
          <w:rFonts w:ascii="Times New Roman" w:cs="Times New Roman" w:eastAsia="Times New Roman" w:hAnsi="Times New Roman"/>
          <w:sz w:val="19"/>
          <w:szCs w:val="19"/>
          <w:color w:val="auto"/>
        </w:rPr>
        <w:t>” means, at any time, (a) if only one Term Lender holds the Term Loan, such Term Lender; and (b) if more than one Term Lender holds the Term Loan, at least two Term Lenders who hold more than 50.0% of the principal sum of all Term Loans outstanding;</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portion of the Term Loans held or deemed held by, any Defaulting Lender shall be excluded for purposes of making a determination of Majority Term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a Lender and its Affiliates shall be deemed one Lender.</w:t>
      </w:r>
    </w:p>
    <w:p>
      <w:pPr>
        <w:spacing w:after="0" w:line="150"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Management Services</w:t>
      </w:r>
      <w:r>
        <w:rPr>
          <w:rFonts w:ascii="Times New Roman" w:cs="Times New Roman" w:eastAsia="Times New Roman" w:hAnsi="Times New Roman"/>
          <w:sz w:val="19"/>
          <w:szCs w:val="19"/>
          <w:color w:val="auto"/>
        </w:rPr>
        <w:t>” means any and all non-clinical management and administrative services including, without limitation, billing and collection services, space, equipment or staffing provided by a Loan Party to a PC Entity.</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Management Services Agreements</w:t>
      </w:r>
      <w:r>
        <w:rPr>
          <w:rFonts w:ascii="Times New Roman" w:cs="Times New Roman" w:eastAsia="Times New Roman" w:hAnsi="Times New Roman"/>
          <w:sz w:val="19"/>
          <w:szCs w:val="19"/>
          <w:color w:val="auto"/>
        </w:rPr>
        <w:t>” means each management agreement (or similar agreement) between a Loan Party and a PC Entity</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pursuant to which the applicable Loan Party provides Management Services and such Loan Party is paid for such Management Services, in each case, in form and substance reasonably satisfactory to the Administrative Agent, as the same may be amended, restated, supplemented or</w:t>
      </w:r>
    </w:p>
    <w:p>
      <w:pPr>
        <w:spacing w:after="0" w:line="1" w:lineRule="exact"/>
        <w:rPr>
          <w:sz w:val="20"/>
          <w:szCs w:val="20"/>
          <w:color w:val="auto"/>
        </w:rPr>
      </w:pPr>
    </w:p>
    <w:p>
      <w:pPr>
        <w:jc w:val="right"/>
        <w:ind w:right="4740"/>
        <w:spacing w:after="0"/>
        <w:rPr>
          <w:sz w:val="20"/>
          <w:szCs w:val="20"/>
          <w:color w:val="auto"/>
        </w:rPr>
      </w:pPr>
      <w:r>
        <w:rPr>
          <w:rFonts w:ascii="Times New Roman" w:cs="Times New Roman" w:eastAsia="Times New Roman" w:hAnsi="Times New Roman"/>
          <w:sz w:val="19"/>
          <w:szCs w:val="19"/>
          <w:color w:val="auto"/>
        </w:rPr>
        <w:t>otherwise modified from time to time to the extent not prohibited by this Agreement.</w:t>
      </w:r>
    </w:p>
    <w:p>
      <w:pPr>
        <w:spacing w:after="0" w:line="159" w:lineRule="exact"/>
        <w:rPr>
          <w:sz w:val="20"/>
          <w:szCs w:val="20"/>
          <w:color w:val="auto"/>
        </w:rPr>
      </w:pPr>
    </w:p>
    <w:p>
      <w:pPr>
        <w:jc w:val="right"/>
        <w:ind w:right="4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Mandatory Prepayment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2.12(c)</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Adverse Effect</w:t>
      </w:r>
      <w:r>
        <w:rPr>
          <w:rFonts w:ascii="Times New Roman" w:cs="Times New Roman" w:eastAsia="Times New Roman" w:hAnsi="Times New Roman"/>
          <w:sz w:val="19"/>
          <w:szCs w:val="19"/>
          <w:color w:val="auto"/>
        </w:rPr>
        <w:t>” means (a) a material adverse change in, or a material adverse effect on, the operations, business, assets, properties, liabilities (actual or contingent) or financial condition of Holdings and its Subsidiaries, taken as a whole; (b) a material impairment of</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the rights and remedies of the Administrative Agent or any Lender under any Loan Document, or of the ability of the Borrower or any Loan Party to perform its respective obligations under any Loan Document to which it is a party; or (c) a material adverse effect upon the legality, validity,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binding effect or enforceability against the Borrower or any Loan Party of any Loan Document to which it is a party.</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Contracts</w:t>
      </w:r>
      <w:r>
        <w:rPr>
          <w:rFonts w:ascii="Times New Roman" w:cs="Times New Roman" w:eastAsia="Times New Roman" w:hAnsi="Times New Roman"/>
          <w:sz w:val="19"/>
          <w:szCs w:val="19"/>
          <w:color w:val="auto"/>
        </w:rPr>
        <w:t>” means, with respect to any Loan Party, each of the PC Documents.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Domestic Subsidiary</w:t>
      </w:r>
      <w:r>
        <w:rPr>
          <w:rFonts w:ascii="Times New Roman" w:cs="Times New Roman" w:eastAsia="Times New Roman" w:hAnsi="Times New Roman"/>
          <w:sz w:val="19"/>
          <w:szCs w:val="19"/>
          <w:color w:val="auto"/>
        </w:rPr>
        <w:t>” means any Material Subsidiary which is also a Domestic Subsidiary.</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 Subsidiary</w:t>
      </w:r>
      <w:r>
        <w:rPr>
          <w:rFonts w:ascii="Times New Roman" w:cs="Times New Roman" w:eastAsia="Times New Roman" w:hAnsi="Times New Roman"/>
          <w:sz w:val="19"/>
          <w:szCs w:val="19"/>
          <w:color w:val="auto"/>
        </w:rPr>
        <w:t>” means any Subsidiary that is not an Immaterial Subsidiary.</w:t>
      </w:r>
    </w:p>
    <w:p>
      <w:pPr>
        <w:spacing w:after="0" w:line="185"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Materials of Environmental Concern</w:t>
      </w:r>
      <w:r>
        <w:rPr>
          <w:rFonts w:ascii="Times New Roman" w:cs="Times New Roman" w:eastAsia="Times New Roman" w:hAnsi="Times New Roman"/>
          <w:sz w:val="19"/>
          <w:szCs w:val="19"/>
          <w:color w:val="auto"/>
        </w:rPr>
        <w:t>” means any substance, material or waste that is defined, regulated, governed or otherwise characterized under any Environmental Law as hazardous or toxic or as a pollutant or contaminant (or by words of similar meaning and regulatory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 any petroleum 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900" w:h="16838" w:orient="portrait"/>
          <w:cols w:equalWidth="0" w:num="1">
            <w:col w:w="11240"/>
          </w:cols>
          <w:pgMar w:left="320" w:top="1354" w:right="339" w:bottom="1440" w:gutter="0" w:footer="0" w:header="0"/>
        </w:sectPr>
      </w:pPr>
    </w:p>
    <w:bookmarkStart w:id="159" w:name="page160"/>
    <w:bookmarkEnd w:id="159"/>
    <w:p>
      <w:pPr>
        <w:jc w:val="both"/>
        <w:spacing w:after="0" w:line="249" w:lineRule="auto"/>
        <w:rPr>
          <w:sz w:val="20"/>
          <w:szCs w:val="20"/>
          <w:color w:val="auto"/>
        </w:rPr>
      </w:pPr>
      <w:r>
        <w:rPr>
          <w:rFonts w:ascii="Times New Roman" w:cs="Times New Roman" w:eastAsia="Times New Roman" w:hAnsi="Times New Roman"/>
          <w:sz w:val="19"/>
          <w:szCs w:val="19"/>
          <w:color w:val="auto"/>
        </w:rPr>
        <w:t>petroleum products, asbestos, polychlorinated biphenyls, urea-formaldehyde insulation, molds or fungus, and radioactivity, radiofrequency radiation at levels known to be hazardous to human health and safety.</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Maturity Date</w:t>
      </w:r>
      <w:r>
        <w:rPr>
          <w:rFonts w:ascii="Times New Roman" w:cs="Times New Roman" w:eastAsia="Times New Roman" w:hAnsi="Times New Roman"/>
          <w:sz w:val="19"/>
          <w:szCs w:val="19"/>
          <w:color w:val="auto"/>
        </w:rPr>
        <w:t>” means May 11, 2027.</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Medicaid</w:t>
      </w:r>
      <w:r>
        <w:rPr>
          <w:rFonts w:ascii="Times New Roman" w:cs="Times New Roman" w:eastAsia="Times New Roman" w:hAnsi="Times New Roman"/>
          <w:sz w:val="19"/>
          <w:szCs w:val="19"/>
          <w:color w:val="auto"/>
        </w:rPr>
        <w:t>” means that government-sponsored entitlement program under Title XIX, P.L. 89-97 of the Social Security Act, which provides</w:t>
      </w:r>
    </w:p>
    <w:p>
      <w:pPr>
        <w:spacing w:after="0" w:line="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federal grants to states for medical assistance based on specific eligibility criteria, as set forth on Section 1396, et seq. of Title 42 of the United States Code.</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Medicare</w:t>
      </w:r>
      <w:r>
        <w:rPr>
          <w:rFonts w:ascii="Times New Roman" w:cs="Times New Roman" w:eastAsia="Times New Roman" w:hAnsi="Times New Roman"/>
          <w:sz w:val="19"/>
          <w:szCs w:val="19"/>
          <w:color w:val="auto"/>
        </w:rPr>
        <w:t>” means that government-sponsored insurance program under Title XVIII, P.L. 89-97, of the Social Security Act, which</w:t>
      </w:r>
    </w:p>
    <w:p>
      <w:pPr>
        <w:spacing w:after="0" w:line="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provides for a health insurance system for eligible elderly and disabled individuals, as set forth at Section 1395, et seq. of Title 42 of the United States Code.</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Minority Lender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10.1(b)</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Monthly Liquidity Report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6.2(i)</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firstLine="625"/>
        <w:spacing w:after="0" w:line="259" w:lineRule="auto"/>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Monthly Liquidity Testing Period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means (a) commencing on the Third Amendment Effective Date and the first Business Day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Test Period during which the Consolidated Net Leverage Ratio (as set forth in the most recent Compliance Certificate received by the Administrative Agent pursuant to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xml:space="preserve">) is equal to or greater than 2.50:1.00, and (b) terminating on the first date that each of the following conditions is satisfied: (i) no Default or Event of Default under this Agreement shall have occurred and be continuing and (ii) the Consolidated Net Leverage Ratio (as set forth in the most recent Compliance Certificate received by the Administrative Agent pursuant to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is less than 2.50:1.00.</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Moody’s</w:t>
      </w:r>
      <w:r>
        <w:rPr>
          <w:rFonts w:ascii="Times New Roman" w:cs="Times New Roman" w:eastAsia="Times New Roman" w:hAnsi="Times New Roman"/>
          <w:sz w:val="19"/>
          <w:szCs w:val="19"/>
          <w:color w:val="auto"/>
        </w:rPr>
        <w:t>” means Moody’s Investors Service, Inc.</w:t>
      </w:r>
    </w:p>
    <w:p>
      <w:pPr>
        <w:spacing w:after="0" w:line="172"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Mortgaged Properties</w:t>
      </w:r>
      <w:r>
        <w:rPr>
          <w:rFonts w:ascii="Times New Roman" w:cs="Times New Roman" w:eastAsia="Times New Roman" w:hAnsi="Times New Roman"/>
          <w:sz w:val="19"/>
          <w:szCs w:val="19"/>
          <w:color w:val="auto"/>
        </w:rPr>
        <w:t xml:space="preserve">” means the real properties as to which, pursuant to </w:t>
      </w:r>
      <w:r>
        <w:rPr>
          <w:rFonts w:ascii="Times New Roman" w:cs="Times New Roman" w:eastAsia="Times New Roman" w:hAnsi="Times New Roman"/>
          <w:sz w:val="19"/>
          <w:szCs w:val="19"/>
          <w:u w:val="single" w:color="auto"/>
          <w:color w:val="auto"/>
        </w:rPr>
        <w:t>Section 6.12(b)</w:t>
      </w:r>
      <w:r>
        <w:rPr>
          <w:rFonts w:ascii="Times New Roman" w:cs="Times New Roman" w:eastAsia="Times New Roman" w:hAnsi="Times New Roman"/>
          <w:sz w:val="19"/>
          <w:szCs w:val="19"/>
          <w:color w:val="auto"/>
        </w:rPr>
        <w:t xml:space="preserve"> or otherwise, the Administrative Agent, for the benefit of the Secured Parties, shall be granted a Lien pursuant to the Mortgages.</w:t>
      </w:r>
    </w:p>
    <w:p>
      <w:pPr>
        <w:spacing w:after="0" w:line="138"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Mortgages</w:t>
      </w:r>
      <w:r>
        <w:rPr>
          <w:rFonts w:ascii="Times New Roman" w:cs="Times New Roman" w:eastAsia="Times New Roman" w:hAnsi="Times New Roman"/>
          <w:sz w:val="19"/>
          <w:szCs w:val="19"/>
          <w:color w:val="auto"/>
        </w:rPr>
        <w:t>” means each of the mortgages, deeds of trust, deeds to secure debt or such equivalent documents hereafter entered into and executed and delivered by one or more of the Loan Parties to the Administrative Agent, in each case, as such documents may be amended,</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amended and restated, supplemented or otherwise modified, renewed or replaced from time to time and in form and substance reasonably acceptable to the Administrative Agent.</w:t>
      </w:r>
    </w:p>
    <w:p>
      <w:pPr>
        <w:spacing w:after="0" w:line="138"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Multiemployer Plan</w:t>
      </w:r>
      <w:r>
        <w:rPr>
          <w:rFonts w:ascii="Times New Roman" w:cs="Times New Roman" w:eastAsia="Times New Roman" w:hAnsi="Times New Roman"/>
          <w:sz w:val="19"/>
          <w:szCs w:val="19"/>
          <w:color w:val="auto"/>
        </w:rPr>
        <w:t>” means a “multiemployer plan” (within the meaning of Section 3(37) of ERISA) to which any Loan Party or any ERISA Affiliate thereof makes, is making, or is obligated or has ever been obligated to make, contributions.</w:t>
      </w:r>
    </w:p>
    <w:p>
      <w:pPr>
        <w:spacing w:after="0" w:line="138"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Net Cash Proceeds</w:t>
      </w:r>
      <w:r>
        <w:rPr>
          <w:rFonts w:ascii="Times New Roman" w:cs="Times New Roman" w:eastAsia="Times New Roman" w:hAnsi="Times New Roman"/>
          <w:sz w:val="19"/>
          <w:szCs w:val="19"/>
          <w:color w:val="auto"/>
        </w:rPr>
        <w:t>” means (a) in connection with any Asset Sale or any Recovery Event, the proceeds thereof in the form of cash and Cash Equivalents (including any such proceeds received by way of deferred payment of principal pursuant to a note or installment receivable or</w:t>
      </w:r>
    </w:p>
    <w:p>
      <w:pPr>
        <w:spacing w:after="0" w:line="216" w:lineRule="auto"/>
        <w:rPr>
          <w:sz w:val="20"/>
          <w:szCs w:val="20"/>
          <w:color w:val="auto"/>
        </w:rPr>
      </w:pPr>
      <w:r>
        <w:rPr>
          <w:rFonts w:ascii="Times New Roman" w:cs="Times New Roman" w:eastAsia="Times New Roman" w:hAnsi="Times New Roman"/>
          <w:sz w:val="19"/>
          <w:szCs w:val="19"/>
          <w:color w:val="auto"/>
        </w:rPr>
        <w:t>purchase price adjustment receivable or otherwise, but only as and when received), net of attorneys’ fees, accountants’ fees, investment banking</w:t>
      </w:r>
    </w:p>
    <w:p>
      <w:pPr>
        <w:jc w:val="both"/>
        <w:spacing w:after="0" w:line="207" w:lineRule="auto"/>
        <w:rPr>
          <w:sz w:val="20"/>
          <w:szCs w:val="20"/>
          <w:color w:val="auto"/>
        </w:rPr>
      </w:pPr>
      <w:r>
        <w:rPr>
          <w:rFonts w:ascii="Times New Roman" w:cs="Times New Roman" w:eastAsia="Times New Roman" w:hAnsi="Times New Roman"/>
          <w:sz w:val="19"/>
          <w:szCs w:val="19"/>
          <w:color w:val="auto"/>
        </w:rPr>
        <w:t>fees, amounts required to be applied to the repayment of Indebtedness secured by a Lien expressly permitted hereunder on any asset that is the subject of such Asset Sale or Recovery Event (other than any Lien pursuant to a Security Document) and other customary costs, fees and expenses</w:t>
      </w:r>
    </w:p>
    <w:p>
      <w:pPr>
        <w:spacing w:after="0" w:line="215" w:lineRule="auto"/>
        <w:rPr>
          <w:sz w:val="20"/>
          <w:szCs w:val="20"/>
          <w:color w:val="auto"/>
        </w:rPr>
      </w:pPr>
      <w:r>
        <w:rPr>
          <w:rFonts w:ascii="Times New Roman" w:cs="Times New Roman" w:eastAsia="Times New Roman" w:hAnsi="Times New Roman"/>
          <w:sz w:val="19"/>
          <w:szCs w:val="19"/>
          <w:color w:val="auto"/>
        </w:rPr>
        <w:t>actually incurred in connection therewith and net of taxes paid and the Borrower’s reasonable and good faith estimate of income, franchise, sales,</w:t>
      </w:r>
    </w:p>
    <w:p>
      <w:pPr>
        <w:jc w:val="both"/>
        <w:spacing w:after="0" w:line="207" w:lineRule="auto"/>
        <w:rPr>
          <w:sz w:val="20"/>
          <w:szCs w:val="20"/>
          <w:color w:val="auto"/>
        </w:rPr>
      </w:pPr>
      <w:r>
        <w:rPr>
          <w:rFonts w:ascii="Times New Roman" w:cs="Times New Roman" w:eastAsia="Times New Roman" w:hAnsi="Times New Roman"/>
          <w:sz w:val="19"/>
          <w:szCs w:val="19"/>
          <w:color w:val="auto"/>
        </w:rPr>
        <w:t>and other applicable taxes required to be paid by the Borrower or any Guarantor in connection with such Asset Sale or Recovery Event in respect of the taxable year that such Asset Sale or Recovery Event is consummated (b) in connection with any issuance or sale of Capital Stock or any</w:t>
      </w:r>
    </w:p>
    <w:p>
      <w:pPr>
        <w:spacing w:after="0" w:line="215" w:lineRule="auto"/>
        <w:rPr>
          <w:sz w:val="20"/>
          <w:szCs w:val="20"/>
          <w:color w:val="auto"/>
        </w:rPr>
      </w:pPr>
      <w:r>
        <w:rPr>
          <w:rFonts w:ascii="Times New Roman" w:cs="Times New Roman" w:eastAsia="Times New Roman" w:hAnsi="Times New Roman"/>
          <w:sz w:val="19"/>
          <w:szCs w:val="19"/>
          <w:color w:val="auto"/>
        </w:rPr>
        <w:t>incurrence of Indebtedness, the cash proceeds received from such issuance or incurrence, net of attorneys’ fees, investment banking fees,</w:t>
      </w:r>
    </w:p>
    <w:p>
      <w:pPr>
        <w:jc w:val="both"/>
        <w:spacing w:after="0"/>
        <w:rPr>
          <w:sz w:val="20"/>
          <w:szCs w:val="20"/>
          <w:color w:val="auto"/>
        </w:rPr>
      </w:pPr>
      <w:r>
        <w:rPr>
          <w:rFonts w:ascii="Times New Roman" w:cs="Times New Roman" w:eastAsia="Times New Roman" w:hAnsi="Times New Roman"/>
          <w:sz w:val="19"/>
          <w:szCs w:val="19"/>
          <w:color w:val="auto"/>
        </w:rPr>
        <w:t>accountants’ fees, underwriting discounts and commissions and other customary costs, fees and expenses actually incurred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1900" w:h="16838" w:orient="portrait"/>
          <w:cols w:equalWidth="0" w:num="1">
            <w:col w:w="11240"/>
          </w:cols>
          <w:pgMar w:left="320" w:top="1354" w:right="339" w:bottom="1440" w:gutter="0" w:footer="0" w:header="0"/>
        </w:sectPr>
      </w:pPr>
    </w:p>
    <w:bookmarkStart w:id="160" w:name="page161"/>
    <w:bookmarkEnd w:id="160"/>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Non-Consenting Lender</w:t>
      </w:r>
      <w:r>
        <w:rPr>
          <w:rFonts w:ascii="Times New Roman" w:cs="Times New Roman" w:eastAsia="Times New Roman" w:hAnsi="Times New Roman"/>
          <w:sz w:val="19"/>
          <w:szCs w:val="19"/>
          <w:color w:val="auto"/>
        </w:rPr>
        <w:t xml:space="preserve">” means any Lender that does not approve any consent, waiver or amendment that (a) requires the approval of all affected Lenders in accordance with the terms of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and (b) has been approved by the Required Lenders.</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Non-Defaulting Lender</w:t>
      </w:r>
      <w:r>
        <w:rPr>
          <w:rFonts w:ascii="Times New Roman" w:cs="Times New Roman" w:eastAsia="Times New Roman" w:hAnsi="Times New Roman"/>
          <w:sz w:val="19"/>
          <w:szCs w:val="19"/>
          <w:color w:val="auto"/>
        </w:rPr>
        <w:t>” means at any time, each Lender that is not a Defaulting Lender at such time.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Note</w:t>
      </w:r>
      <w:r>
        <w:rPr>
          <w:rFonts w:ascii="Times New Roman" w:cs="Times New Roman" w:eastAsia="Times New Roman" w:hAnsi="Times New Roman"/>
          <w:sz w:val="19"/>
          <w:szCs w:val="19"/>
          <w:color w:val="auto"/>
        </w:rPr>
        <w:t>” means a Term Loan Note, a Revolving Loan Note or a Swingline Loan Note.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Notice of Borrowing</w:t>
      </w:r>
      <w:r>
        <w:rPr>
          <w:rFonts w:ascii="Times New Roman" w:cs="Times New Roman" w:eastAsia="Times New Roman" w:hAnsi="Times New Roman"/>
          <w:sz w:val="19"/>
          <w:szCs w:val="19"/>
          <w:color w:val="auto"/>
        </w:rPr>
        <w:t xml:space="preserve">” means a notice substantially in the form of </w:t>
      </w:r>
      <w:r>
        <w:rPr>
          <w:rFonts w:ascii="Times New Roman" w:cs="Times New Roman" w:eastAsia="Times New Roman" w:hAnsi="Times New Roman"/>
          <w:sz w:val="19"/>
          <w:szCs w:val="19"/>
          <w:u w:val="single" w:color="auto"/>
          <w:color w:val="auto"/>
        </w:rPr>
        <w:t>Exhibit K</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Notice of Conversion/Continuation</w:t>
      </w:r>
      <w:r>
        <w:rPr>
          <w:rFonts w:ascii="Times New Roman" w:cs="Times New Roman" w:eastAsia="Times New Roman" w:hAnsi="Times New Roman"/>
          <w:sz w:val="19"/>
          <w:szCs w:val="19"/>
          <w:color w:val="auto"/>
        </w:rPr>
        <w:t xml:space="preserve">” means a notice substantially in the form of </w:t>
      </w:r>
      <w:r>
        <w:rPr>
          <w:rFonts w:ascii="Times New Roman" w:cs="Times New Roman" w:eastAsia="Times New Roman" w:hAnsi="Times New Roman"/>
          <w:sz w:val="19"/>
          <w:szCs w:val="19"/>
          <w:u w:val="single" w:color="auto"/>
          <w:color w:val="auto"/>
        </w:rPr>
        <w:t>Exhibit L</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Obligations</w:t>
      </w:r>
      <w:r>
        <w:rPr>
          <w:rFonts w:ascii="Times New Roman" w:cs="Times New Roman" w:eastAsia="Times New Roman" w:hAnsi="Times New Roman"/>
          <w:sz w:val="19"/>
          <w:szCs w:val="19"/>
          <w:color w:val="auto"/>
        </w:rPr>
        <w:t>” means (a) the unpaid principal of and interest on (including interest accruing after the maturity of the Loans and interest</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accruing after the filing of any petition in bankruptcy, or the commencement of any insolvency, reorganization or like proceeding, relating to any Loan Party, whether or not a claim for post-filing or post-petition interest is allowed in such proceeding) the Loans and all other obligations and</w:t>
      </w:r>
    </w:p>
    <w:p>
      <w:pPr>
        <w:spacing w:after="0" w:line="215" w:lineRule="auto"/>
        <w:rPr>
          <w:sz w:val="20"/>
          <w:szCs w:val="20"/>
          <w:color w:val="auto"/>
        </w:rPr>
      </w:pPr>
      <w:r>
        <w:rPr>
          <w:rFonts w:ascii="Times New Roman" w:cs="Times New Roman" w:eastAsia="Times New Roman" w:hAnsi="Times New Roman"/>
          <w:sz w:val="19"/>
          <w:szCs w:val="19"/>
          <w:color w:val="auto"/>
        </w:rPr>
        <w:t>liabilities of the Loan Parties (including guarantee obligations) to the Administrative Agent, the Issuing Lender, any other Lender, any applicable</w:t>
      </w:r>
    </w:p>
    <w:p>
      <w:pPr>
        <w:spacing w:after="0" w:line="207" w:lineRule="auto"/>
        <w:rPr>
          <w:sz w:val="20"/>
          <w:szCs w:val="20"/>
          <w:color w:val="auto"/>
        </w:rPr>
      </w:pPr>
      <w:r>
        <w:rPr>
          <w:rFonts w:ascii="Times New Roman" w:cs="Times New Roman" w:eastAsia="Times New Roman" w:hAnsi="Times New Roman"/>
          <w:sz w:val="19"/>
          <w:szCs w:val="19"/>
          <w:color w:val="auto"/>
        </w:rPr>
        <w:t>Cash Management Bank, and any Qualified Counterparty party to a Specified Swap Agreement, whether direct or indirect, absolute or contingent, due or to become due, or now existing or hereafter incurred, which may arise under, out of, or in connection with, this Agreement, any other Loan</w:t>
      </w:r>
    </w:p>
    <w:p>
      <w:pPr>
        <w:spacing w:after="0" w:line="215" w:lineRule="auto"/>
        <w:rPr>
          <w:sz w:val="20"/>
          <w:szCs w:val="20"/>
          <w:color w:val="auto"/>
        </w:rPr>
      </w:pPr>
      <w:r>
        <w:rPr>
          <w:rFonts w:ascii="Times New Roman" w:cs="Times New Roman" w:eastAsia="Times New Roman" w:hAnsi="Times New Roman"/>
          <w:sz w:val="19"/>
          <w:szCs w:val="19"/>
          <w:color w:val="auto"/>
        </w:rPr>
        <w:t>Document (including, for the avoidance of doubt, any Cash Management Agreement), the Letters of Credit, any Specified Swap Agreement,</w:t>
      </w:r>
    </w:p>
    <w:p>
      <w:pPr>
        <w:spacing w:after="0" w:line="207" w:lineRule="auto"/>
        <w:rPr>
          <w:sz w:val="20"/>
          <w:szCs w:val="20"/>
          <w:color w:val="auto"/>
        </w:rPr>
      </w:pPr>
      <w:r>
        <w:rPr>
          <w:rFonts w:ascii="Times New Roman" w:cs="Times New Roman" w:eastAsia="Times New Roman" w:hAnsi="Times New Roman"/>
          <w:sz w:val="19"/>
          <w:szCs w:val="19"/>
          <w:color w:val="auto"/>
        </w:rPr>
        <w:t>Erroneous Payment Subrogation Rights or any other document made, delivered or given in connection herewith or therewith, whether on account of principal, interest, reimbursement obligations, payment obligations, fees, indemnities, costs, expenses (including all reasonable and documented</w:t>
      </w:r>
    </w:p>
    <w:p>
      <w:pPr>
        <w:spacing w:after="0" w:line="215" w:lineRule="auto"/>
        <w:rPr>
          <w:sz w:val="20"/>
          <w:szCs w:val="20"/>
          <w:color w:val="auto"/>
        </w:rPr>
      </w:pPr>
      <w:r>
        <w:rPr>
          <w:rFonts w:ascii="Times New Roman" w:cs="Times New Roman" w:eastAsia="Times New Roman" w:hAnsi="Times New Roman"/>
          <w:sz w:val="19"/>
          <w:szCs w:val="19"/>
          <w:color w:val="auto"/>
        </w:rPr>
        <w:t>out-of-pocket fees, charges and disbursements of counsel to the Administrative Agent, the Issuing Lender, any other Lender, any applicable Cash</w:t>
      </w:r>
    </w:p>
    <w:p>
      <w:pPr>
        <w:spacing w:after="0" w:line="207" w:lineRule="auto"/>
        <w:rPr>
          <w:sz w:val="20"/>
          <w:szCs w:val="20"/>
          <w:color w:val="auto"/>
        </w:rPr>
      </w:pPr>
      <w:r>
        <w:rPr>
          <w:rFonts w:ascii="Times New Roman" w:cs="Times New Roman" w:eastAsia="Times New Roman" w:hAnsi="Times New Roman"/>
          <w:sz w:val="19"/>
          <w:szCs w:val="19"/>
          <w:color w:val="auto"/>
        </w:rPr>
        <w:t>Management Bank, to the extent that any applicable Cash Management Agreement requires the reimbursement by any applicable Group Member of any such expenses), and any Qualified Counterparty party to a Specified Swap Agreement that are required to be paid by any Loan Party</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pursuant any Loan Document, Cash Management Agreement or otherwise, and (b) any obligations of any other Group Member arising in connection with any Cash Managements Agreement. For the avoidance of doubt, the Obligations shall not include (i) any obligations arising under</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any warrants or other equity instruments issued by any Loan Party to any Lender, or (ii) solely with respect to any Guarantor that is not a Qualified ECP Guarantor, any Excluded Swap Obligations of such Guarantor.</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OFAC</w:t>
      </w:r>
      <w:r>
        <w:rPr>
          <w:rFonts w:ascii="Times New Roman" w:cs="Times New Roman" w:eastAsia="Times New Roman" w:hAnsi="Times New Roman"/>
          <w:sz w:val="19"/>
          <w:szCs w:val="19"/>
          <w:color w:val="auto"/>
        </w:rPr>
        <w:t>” means the Office of Foreign Assets Control of the United States Department of the Treasury and any successor thereto.</w:t>
      </w:r>
    </w:p>
    <w:p>
      <w:pPr>
        <w:spacing w:after="0" w:line="185"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Operating Documents</w:t>
      </w:r>
      <w:r>
        <w:rPr>
          <w:rFonts w:ascii="Times New Roman" w:cs="Times New Roman" w:eastAsia="Times New Roman" w:hAnsi="Times New Roman"/>
          <w:sz w:val="19"/>
          <w:szCs w:val="19"/>
          <w:color w:val="auto"/>
        </w:rPr>
        <w:t>” means for any Person as of any date, such Person’s constitutional documents, formation documents and/or certificate of incorporation (or equivalent thereof), as certified (if applicable) by such Person’s jurisdiction of formation as of a recent date, and,</w:t>
      </w:r>
    </w:p>
    <w:p>
      <w:pPr>
        <w:spacing w:after="0" w:line="1" w:lineRule="exact"/>
        <w:rPr>
          <w:sz w:val="20"/>
          <w:szCs w:val="20"/>
          <w:color w:val="auto"/>
        </w:rPr>
      </w:pPr>
    </w:p>
    <w:p>
      <w:pPr>
        <w:jc w:val="both"/>
        <w:ind w:firstLine="4"/>
        <w:spacing w:after="0" w:line="226" w:lineRule="auto"/>
        <w:tabs>
          <w:tab w:leader="none" w:pos="26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38"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Connection Taxes</w:t>
      </w:r>
      <w:r>
        <w:rPr>
          <w:rFonts w:ascii="Times New Roman" w:cs="Times New Roman" w:eastAsia="Times New Roman" w:hAnsi="Times New Roman"/>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Taxes</w:t>
      </w:r>
      <w:r>
        <w:rPr>
          <w:rFonts w:ascii="Times New Roman" w:cs="Times New Roman" w:eastAsia="Times New Roman" w:hAnsi="Times New Roman"/>
          <w:sz w:val="19"/>
          <w:szCs w:val="19"/>
          <w:color w:val="auto"/>
        </w:rPr>
        <w:t>” means all present or future stamp, court or documentary, intangible, recording, filing or similar Taxes that arise from any</w:t>
      </w:r>
    </w:p>
    <w:p>
      <w:pPr>
        <w:spacing w:after="0" w:line="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payment made under, from the execution, delivery, performance, enforcement or registration of, from the receipt or perfection of a security interest under, or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900" w:h="16838" w:orient="portrait"/>
          <w:cols w:equalWidth="0" w:num="1">
            <w:col w:w="11240"/>
          </w:cols>
          <w:pgMar w:left="320" w:top="1350" w:right="339" w:bottom="1440" w:gutter="0" w:footer="0" w:header="0"/>
        </w:sectPr>
      </w:pPr>
    </w:p>
    <w:bookmarkStart w:id="161" w:name="page162"/>
    <w:bookmarkEnd w:id="161"/>
    <w:p>
      <w:pPr>
        <w:spacing w:after="0" w:line="249" w:lineRule="auto"/>
        <w:rPr>
          <w:sz w:val="20"/>
          <w:szCs w:val="20"/>
          <w:color w:val="auto"/>
        </w:rPr>
      </w:pPr>
      <w:r>
        <w:rPr>
          <w:rFonts w:ascii="Times New Roman" w:cs="Times New Roman" w:eastAsia="Times New Roman" w:hAnsi="Times New Roman"/>
          <w:sz w:val="19"/>
          <w:szCs w:val="19"/>
          <w:color w:val="auto"/>
        </w:rPr>
        <w:t xml:space="preserve">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10.6(d)</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 Register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10.6(d)</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Patriot Act</w:t>
      </w:r>
      <w:r>
        <w:rPr>
          <w:rFonts w:ascii="Times New Roman" w:cs="Times New Roman" w:eastAsia="Times New Roman" w:hAnsi="Times New Roman"/>
          <w:sz w:val="19"/>
          <w:szCs w:val="19"/>
          <w:color w:val="auto"/>
        </w:rPr>
        <w:t>” means the Uniting and Strengthening America by Providing Appropriate Tools Required to Intercept and Obstruct Terrorism (USA PATRIOT ACT) Act of 2001, Title III of Pub. L. 107-56, signed into law October 26, 2001.</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Payment Recipient</w:t>
      </w:r>
      <w:r>
        <w:rPr>
          <w:rFonts w:ascii="Times New Roman" w:cs="Times New Roman" w:eastAsia="Times New Roman" w:hAnsi="Times New Roman"/>
          <w:sz w:val="19"/>
          <w:szCs w:val="19"/>
          <w:color w:val="auto"/>
        </w:rPr>
        <w:t xml:space="preserve">” has the meaning assigned to it in </w:t>
      </w:r>
      <w:r>
        <w:rPr>
          <w:rFonts w:ascii="Times New Roman" w:cs="Times New Roman" w:eastAsia="Times New Roman" w:hAnsi="Times New Roman"/>
          <w:sz w:val="19"/>
          <w:szCs w:val="19"/>
          <w:u w:val="single" w:color="auto"/>
          <w:color w:val="auto"/>
        </w:rPr>
        <w:t>Section 9.15(a)</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Payoff Letter</w:t>
      </w:r>
      <w:r>
        <w:rPr>
          <w:rFonts w:ascii="Times New Roman" w:cs="Times New Roman" w:eastAsia="Times New Roman" w:hAnsi="Times New Roman"/>
          <w:sz w:val="19"/>
          <w:szCs w:val="19"/>
          <w:color w:val="auto"/>
        </w:rPr>
        <w:t>” means a letter, in form and substance satisfactory to the Administrative Agent, dated as of a date prior to the Closing Date and executed by each of the Existing Agent and the Borrower.</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PBGC</w:t>
      </w:r>
      <w:r>
        <w:rPr>
          <w:rFonts w:ascii="Times New Roman" w:cs="Times New Roman" w:eastAsia="Times New Roman" w:hAnsi="Times New Roman"/>
          <w:sz w:val="19"/>
          <w:szCs w:val="19"/>
          <w:color w:val="auto"/>
        </w:rPr>
        <w:t>” means the Pension Benefit Guaranty Corporation, or any successor thereto.</w:t>
      </w:r>
    </w:p>
    <w:p>
      <w:pPr>
        <w:spacing w:after="0" w:line="185"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PC Documents</w:t>
      </w:r>
      <w:r>
        <w:rPr>
          <w:rFonts w:ascii="Times New Roman" w:cs="Times New Roman" w:eastAsia="Times New Roman" w:hAnsi="Times New Roman"/>
          <w:sz w:val="19"/>
          <w:szCs w:val="19"/>
          <w:color w:val="auto"/>
        </w:rPr>
        <w:t>” means the Management Services Agreements, the Deficit Funding Agreements, the Continuity Agreements, the License Agreements, the Consulting Agreements and, as applicable, the Business Associate Agreements.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PC Entity</w:t>
      </w:r>
      <w:r>
        <w:rPr>
          <w:rFonts w:ascii="Times New Roman" w:cs="Times New Roman" w:eastAsia="Times New Roman" w:hAnsi="Times New Roman"/>
          <w:sz w:val="19"/>
          <w:szCs w:val="19"/>
          <w:color w:val="auto"/>
        </w:rPr>
        <w:t>” means any Person (other than a natural person) providing professional medical services if and to the extent applicable law</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provides that the direct or indirect ownership of such Person shall be limited to appropriately licensed professionals (natural persons) who are duly licensed or otherwise legally authorized to render the specific professional services for which the Person was organized and which Person is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a Management Services Agreement that is in full force and effect.</w:t>
      </w:r>
    </w:p>
    <w:p>
      <w:pPr>
        <w:spacing w:after="0" w:line="159"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Pension Plan</w:t>
      </w:r>
      <w:r>
        <w:rPr>
          <w:rFonts w:ascii="Times New Roman" w:cs="Times New Roman" w:eastAsia="Times New Roman" w:hAnsi="Times New Roman"/>
          <w:sz w:val="19"/>
          <w:szCs w:val="19"/>
          <w:color w:val="auto"/>
        </w:rPr>
        <w:t>” means an employee benefit plan (as defined in Section 3(3) of ERISA) other than a Multiemployer Plan (a) that is or was at any time maintained or sponsored by any Loan Party or any ERISA Affiliate thereof or to which any Loan Party or any ERISA Affiliate thereof</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has ever made, or was obligated to make, contributions, and (b) that is or was subject to Section 412 of the Code, Section 302 of ERISA or Title IV of ERISA.</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Periodic Term SOFR Determination Day</w:t>
      </w:r>
      <w:r>
        <w:rPr>
          <w:rFonts w:ascii="Times New Roman" w:cs="Times New Roman" w:eastAsia="Times New Roman" w:hAnsi="Times New Roman"/>
          <w:sz w:val="19"/>
          <w:szCs w:val="19"/>
          <w:color w:val="auto"/>
        </w:rPr>
        <w:t>” has the meaning set forth in the definition of “Term SOFR”.</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Permitted Acquisition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7.8(n)</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Permitted Earnouts</w:t>
      </w:r>
      <w:r>
        <w:rPr>
          <w:rFonts w:ascii="Times New Roman" w:cs="Times New Roman" w:eastAsia="Times New Roman" w:hAnsi="Times New Roman"/>
          <w:sz w:val="19"/>
          <w:szCs w:val="19"/>
          <w:color w:val="auto"/>
        </w:rPr>
        <w:t>” means unsecured obligations of Holdings or any Subsidiary arising from a Permitted Acquisition which (a) are payable based on the achievement of specified financial results over time and (b) are subject to subordination terms (or a subordination agreement</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in favor of the Administrative Agent and Lenders) reasonably satisfactory to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 no Default or Event of Default shall have occurred and be continuing at the time of such payment and (ii) immediately after giving effect to such payment, (A) Holdings</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 xml:space="preserve">and its Subsidiaries shall maintain Liquidity of at least $10,000,000, (B) Holdings and its Subsidiaries shall be in compliance with each of the covenants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and (C) the Consolidated Leverage Ratio of Holdings and its Subsidiaries shall not exceed 1.60:1.00.</w:t>
      </w:r>
    </w:p>
    <w:p>
      <w:pPr>
        <w:spacing w:after="0" w:line="138"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means any natural Person, corporation, limited liability company, trust, joint venture, association, company, partnership, Governmental Authority or other entity.</w:t>
      </w:r>
    </w:p>
    <w:p>
      <w:pPr>
        <w:spacing w:after="0" w:line="138"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(a) an employee benefit plan (as defined in Section 3(3) of ERISA) other than a Multiemployer Plan which is or was at any time maintained or sponsored by any Loan Party or any Subsidiary thereof or to which any Loan Party or any Subsidiary thereof has ever made,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was obligated to make, contributions, (b) a Pension Plan, or (c) a Qualified Plan.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1900" w:h="16838" w:orient="portrait"/>
          <w:cols w:equalWidth="0" w:num="1">
            <w:col w:w="11240"/>
          </w:cols>
          <w:pgMar w:left="320" w:top="1354" w:right="339" w:bottom="1440" w:gutter="0" w:footer="0" w:header="0"/>
        </w:sectPr>
      </w:pPr>
    </w:p>
    <w:bookmarkStart w:id="162" w:name="page163"/>
    <w:bookmarkEnd w:id="162"/>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Platform</w:t>
      </w:r>
      <w:r>
        <w:rPr>
          <w:rFonts w:ascii="Times New Roman" w:cs="Times New Roman" w:eastAsia="Times New Roman" w:hAnsi="Times New Roman"/>
          <w:sz w:val="19"/>
          <w:szCs w:val="19"/>
          <w:color w:val="auto"/>
        </w:rPr>
        <w:t>” means is any of Debt Domain, Intralinks, Syndtrak or a substantially similar electronic transmission system.</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Pledged Stock</w:t>
      </w:r>
      <w:r>
        <w:rPr>
          <w:rFonts w:ascii="Times New Roman" w:cs="Times New Roman" w:eastAsia="Times New Roman" w:hAnsi="Times New Roman"/>
          <w:sz w:val="19"/>
          <w:szCs w:val="19"/>
          <w:color w:val="auto"/>
        </w:rPr>
        <w:t>” has the meaning set forth in the Guarantee and Collateral Agreement.</w:t>
      </w:r>
    </w:p>
    <w:p>
      <w:pPr>
        <w:spacing w:after="0" w:line="172"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Prime Rate</w:t>
      </w:r>
      <w:r>
        <w:rPr>
          <w:rFonts w:ascii="Times New Roman" w:cs="Times New Roman" w:eastAsia="Times New Roman" w:hAnsi="Times New Roman"/>
          <w:sz w:val="19"/>
          <w:szCs w:val="19"/>
          <w:color w:val="auto"/>
        </w:rPr>
        <w:t xml:space="preserve">” means the rate of interest per annum from time to time published in the money rates section of the Wall Street Journal or any successor publication thereto as the “prime rate” then in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rate of interest, as set forth from time to time in the</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money rates section of the Wall Street Journal, becomes unavailable for any reason as determined by the Administrative Agent, the “Prime Rate” shall mean the rate of interest per annum announced by SVB as its prime rate in effect at its principal office in the State of California (such SVB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announced Prime Rate not being intended to be the lowest rate of interest charged by SVB in connection with extensions of credit to debtors).</w:t>
      </w:r>
    </w:p>
    <w:p>
      <w:pPr>
        <w:spacing w:after="0" w:line="159"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 Forma Basis</w:t>
      </w:r>
      <w:r>
        <w:rPr>
          <w:rFonts w:ascii="Times New Roman" w:cs="Times New Roman" w:eastAsia="Times New Roman" w:hAnsi="Times New Roman"/>
          <w:sz w:val="19"/>
          <w:szCs w:val="19"/>
          <w:color w:val="auto"/>
        </w:rPr>
        <w:t>” means, with respect to any calculation or determination for any period, in making such calculation or determination on the specified date of determination (the “</w:t>
      </w:r>
      <w:r>
        <w:rPr>
          <w:rFonts w:ascii="Times New Roman" w:cs="Times New Roman" w:eastAsia="Times New Roman" w:hAnsi="Times New Roman"/>
          <w:sz w:val="19"/>
          <w:szCs w:val="19"/>
          <w:b w:val="1"/>
          <w:bCs w:val="1"/>
          <w:i w:val="1"/>
          <w:iCs w:val="1"/>
          <w:color w:val="auto"/>
        </w:rPr>
        <w:t>Determination Date</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jc w:val="both"/>
        <w:ind w:firstLine="1254"/>
        <w:spacing w:after="0" w:line="226" w:lineRule="auto"/>
        <w:tabs>
          <w:tab w:leader="none" w:pos="1866"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 forma effect will be given to any Indebtedness incurred by Holdings or any of its Subsidiaries (including by assumption of then outstanding Indebtedness or by a Person becoming a Subsidiary (“</w:t>
      </w:r>
      <w:r>
        <w:rPr>
          <w:rFonts w:ascii="Times New Roman" w:cs="Times New Roman" w:eastAsia="Times New Roman" w:hAnsi="Times New Roman"/>
          <w:sz w:val="19"/>
          <w:szCs w:val="19"/>
          <w:b w:val="1"/>
          <w:bCs w:val="1"/>
          <w:i w:val="1"/>
          <w:iCs w:val="1"/>
          <w:color w:val="auto"/>
        </w:rPr>
        <w:t>Incurred</w:t>
      </w:r>
      <w:r>
        <w:rPr>
          <w:rFonts w:ascii="Times New Roman" w:cs="Times New Roman" w:eastAsia="Times New Roman" w:hAnsi="Times New Roman"/>
          <w:sz w:val="19"/>
          <w:szCs w:val="19"/>
          <w:color w:val="auto"/>
        </w:rPr>
        <w:t>”) after the beginning of the applicable period and on or before the Determination Date to the extent the Indebtedness is outstanding or is to be Incurred on the Determination Date, as if such Indebtedness had been Incurred on the first day of such period;</w:t>
      </w:r>
    </w:p>
    <w:p>
      <w:pPr>
        <w:spacing w:after="0" w:line="153"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 forma calculations of interest on Indebtedness bearing a floating interest rate will be made as if the rate in effect on the Determination Date (taking into account any Swap Agreement applicable to the Indebtedness) had been the applicable rate for the entire reference period;</w:t>
      </w:r>
    </w:p>
    <w:p>
      <w:pPr>
        <w:spacing w:after="0" w:line="156" w:lineRule="exact"/>
        <w:rPr>
          <w:rFonts w:ascii="Times New Roman" w:cs="Times New Roman" w:eastAsia="Times New Roman" w:hAnsi="Times New Roman"/>
          <w:sz w:val="19"/>
          <w:szCs w:val="19"/>
          <w:color w:val="auto"/>
        </w:rPr>
      </w:pPr>
    </w:p>
    <w:p>
      <w:pPr>
        <w:jc w:val="both"/>
        <w:ind w:firstLine="1254"/>
        <w:spacing w:after="0" w:line="222" w:lineRule="auto"/>
        <w:tabs>
          <w:tab w:leader="none" w:pos="1866"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Fixed Charges related to any Indebtedness no longer outstanding or to be repaid or redeemed on the Determination Date, except for Consolidated Interest Expense accrued during the reference period under a revolving credit to the extent of the commitment thereunder (or under any successor revolving credit) in effect on the Determination Date, will be excluded as if such Indebtedness was no longer outstanding or was repaid or redeemed on the first day of such period;</w:t>
      </w:r>
    </w:p>
    <w:p>
      <w:pPr>
        <w:spacing w:after="0" w:line="155"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3"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 forma effect will be given to: (A) the acquisition or disposition of companies, divisions or lines of businesses by Holdings and its Subsidiaries, including any acquisition or disposition of a company, division or line of business since the beginning of the reference period by a Person that became a Subsidiary after the beginning of the applicable period; and (B) the discontinuation of any discontinued operations but, in the case of Consolidated Fixed Charges, only to the extent that the obligations giving rise to Consolidated Fixed Charges will not be obligations of Holdings or any of its Subsidiaries following the Determination Date; in each case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that have occurred since the beginning of the applicable period and before the Determination Date as if such events had occurred, and, in the case of any disposition, the proceeds thereof applied, on the first day of such period. To the extent that pro forma effect is to be given to an acquisition or disposition of a company, division or line of business, the pro forma calculation will be calculated in good faith by a responsible financial or accounting officer of the Borrower in accordance with Regulation S-X under the Securities Act based upon the most recent four full Fiscal Quarters for which the relevant financial information is available.</w:t>
      </w:r>
    </w:p>
    <w:p>
      <w:pPr>
        <w:spacing w:after="0" w:line="153"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 Forma Financial Statements</w:t>
      </w:r>
      <w:r>
        <w:rPr>
          <w:rFonts w:ascii="Times New Roman" w:cs="Times New Roman" w:eastAsia="Times New Roman" w:hAnsi="Times New Roman"/>
          <w:sz w:val="19"/>
          <w:szCs w:val="19"/>
          <w:color w:val="auto"/>
        </w:rPr>
        <w:t>” means balance sheets, income statements and cash flow statements prepared by Holdings and its Subsidiaries that give effect (as if such events had occurred on such date) to (i) the consummation of the Refinancing, (ii) the Loans to be made on</w:t>
      </w:r>
    </w:p>
    <w:p>
      <w:pPr>
        <w:spacing w:after="0" w:line="216" w:lineRule="auto"/>
        <w:rPr>
          <w:sz w:val="20"/>
          <w:szCs w:val="20"/>
          <w:color w:val="auto"/>
        </w:rPr>
      </w:pPr>
      <w:r>
        <w:rPr>
          <w:rFonts w:ascii="Times New Roman" w:cs="Times New Roman" w:eastAsia="Times New Roman" w:hAnsi="Times New Roman"/>
          <w:sz w:val="19"/>
          <w:szCs w:val="19"/>
          <w:color w:val="auto"/>
        </w:rPr>
        <w:t>the Closing Date and the use of proceeds thereof and (iii) the payment of fees and expenses in connection with the foregoing, in each case</w:t>
      </w:r>
    </w:p>
    <w:p>
      <w:pPr>
        <w:spacing w:after="0" w:line="207" w:lineRule="auto"/>
        <w:rPr>
          <w:sz w:val="20"/>
          <w:szCs w:val="20"/>
          <w:color w:val="auto"/>
        </w:rPr>
      </w:pPr>
      <w:r>
        <w:rPr>
          <w:rFonts w:ascii="Times New Roman" w:cs="Times New Roman" w:eastAsia="Times New Roman" w:hAnsi="Times New Roman"/>
          <w:sz w:val="19"/>
          <w:szCs w:val="19"/>
          <w:color w:val="auto"/>
        </w:rPr>
        <w:t>prepared for (y) the most recently ended Fiscal Quarter as if such transactions had occurred on such date and (z) on a quarterly basis through the first full Fiscal Year after the Closing Date or subsequent Borrowing Date, as applicable, and on an annual basis for each Fiscal Year thereafter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through December 31, 2026, in each case demonstrating pro forma compliance with the covenants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Projections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6.2(c)</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1900" w:h="16838" w:orient="portrait"/>
          <w:cols w:equalWidth="0" w:num="1">
            <w:col w:w="11240"/>
          </w:cols>
          <w:pgMar w:left="320" w:top="1350" w:right="339" w:bottom="1440" w:gutter="0" w:footer="0" w:header="0"/>
        </w:sectPr>
      </w:pPr>
    </w:p>
    <w:bookmarkStart w:id="163" w:name="page164"/>
    <w:bookmarkEnd w:id="163"/>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Properties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4.17(a)</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Cash</w:t>
      </w:r>
      <w:r>
        <w:rPr>
          <w:rFonts w:ascii="Times New Roman" w:cs="Times New Roman" w:eastAsia="Times New Roman" w:hAnsi="Times New Roman"/>
          <w:sz w:val="19"/>
          <w:szCs w:val="19"/>
          <w:color w:val="auto"/>
        </w:rPr>
        <w:t>” means any cash on the balance sheet of Holdings and its Subsidiaries as of the last day of the prior Fiscal Quarter (a) to be used for any announced or scheduled dividend payments to be made by Holdings and its Subsidiaries or (b) that was used by Holdings and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Subsidiaries to make dividend payments since the last day of the prior Fiscal Quarter.</w:t>
      </w:r>
    </w:p>
    <w:p>
      <w:pPr>
        <w:spacing w:after="0" w:line="159"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Counterparty</w:t>
      </w:r>
      <w:r>
        <w:rPr>
          <w:rFonts w:ascii="Times New Roman" w:cs="Times New Roman" w:eastAsia="Times New Roman" w:hAnsi="Times New Roman"/>
          <w:sz w:val="19"/>
          <w:szCs w:val="19"/>
          <w:color w:val="auto"/>
        </w:rPr>
        <w:t>” means, with respect to any Specified Swap Agreement, any counterparty thereto that is a Lender or an Affiliate of a Lender or, at the time such Specified Swap Agreement was entered into or as of the Closing Date, was the Administrative Agent or a Lender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an Affiliate of the Administrative Agent or a Lender.</w:t>
      </w:r>
    </w:p>
    <w:p>
      <w:pPr>
        <w:spacing w:after="0" w:line="159"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ECP Guarantor</w:t>
      </w:r>
      <w:r>
        <w:rPr>
          <w:rFonts w:ascii="Times New Roman" w:cs="Times New Roman" w:eastAsia="Times New Roman" w:hAnsi="Times New Roman"/>
          <w:sz w:val="19"/>
          <w:szCs w:val="19"/>
          <w:color w:val="auto"/>
        </w:rPr>
        <w:t>” means, in respect of any Swap Obligation, (a) each Guarantor that has total assets exceeding $10,000,000 at the time the relevant Guarantee Obligation of such Guarantor provided in respect of, or the Lien granted by such Guarantor to secure, such Swap</w:t>
      </w:r>
    </w:p>
    <w:p>
      <w:pPr>
        <w:spacing w:after="0" w:line="216" w:lineRule="auto"/>
        <w:rPr>
          <w:sz w:val="20"/>
          <w:szCs w:val="20"/>
          <w:color w:val="auto"/>
        </w:rPr>
      </w:pPr>
      <w:r>
        <w:rPr>
          <w:rFonts w:ascii="Times New Roman" w:cs="Times New Roman" w:eastAsia="Times New Roman" w:hAnsi="Times New Roman"/>
          <w:sz w:val="19"/>
          <w:szCs w:val="19"/>
          <w:color w:val="auto"/>
        </w:rPr>
        <w:t>Obligation (or guaranty thereof) becomes effective with respect to such Swap Obligation, and (b) any other Guarantor that (i) constitutes an</w:t>
      </w:r>
    </w:p>
    <w:p>
      <w:pPr>
        <w:spacing w:after="0" w:line="207" w:lineRule="auto"/>
        <w:rPr>
          <w:sz w:val="20"/>
          <w:szCs w:val="20"/>
          <w:color w:val="auto"/>
        </w:rPr>
      </w:pPr>
      <w:r>
        <w:rPr>
          <w:rFonts w:ascii="Times New Roman" w:cs="Times New Roman" w:eastAsia="Times New Roman" w:hAnsi="Times New Roman"/>
          <w:sz w:val="19"/>
          <w:szCs w:val="19"/>
          <w:color w:val="auto"/>
        </w:rPr>
        <w:t>“eligible contract participant” under the Commodity Exchange Act or any regulations promulgated thereunder, or (ii) can cause another Person (including, for the avoidance of doubt, any other Guarantor not then constituting a “Qualified ECP Guarantor”) to qualify as an “eligible contract</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participant” at such time by entering into a “keepwell, support, or other agreement” as contemplated by Section 1a(18)(A)(v)(II) of the Commodity Exchange Act.</w:t>
      </w:r>
    </w:p>
    <w:p>
      <w:pPr>
        <w:spacing w:after="0" w:line="138"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PC Entity</w:t>
      </w:r>
      <w:r>
        <w:rPr>
          <w:rFonts w:ascii="Times New Roman" w:cs="Times New Roman" w:eastAsia="Times New Roman" w:hAnsi="Times New Roman"/>
          <w:sz w:val="19"/>
          <w:szCs w:val="19"/>
          <w:color w:val="auto"/>
        </w:rPr>
        <w:t>” shall mean a PC Entity (a) which pursuant to the PC Documents between such PC Entity and the applicable Loan Party, all of the collected revenue of such PC Entity is deposited in a Deposit Account of a Loan Party subject to a Control Agreement or a Deposit</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Account of such PC Entity and such collected revenue is swept and deposited into a Deposit Account of a Loan Party which is subject to a Control Agreement within one Business Day of the date on which such revenue is deposited in an account of such PC Entity, free and clear of all Liens</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except as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and Liens arising under any Deficit Funding Agreement), (b) with respect to which (i) no material breach or default shall have occurred and be continuing under the PC Documents to which such PC Entity is a party which such breach or default has not</w:t>
      </w:r>
    </w:p>
    <w:p>
      <w:pPr>
        <w:spacing w:after="0" w:line="215" w:lineRule="auto"/>
        <w:rPr>
          <w:sz w:val="20"/>
          <w:szCs w:val="20"/>
          <w:color w:val="auto"/>
        </w:rPr>
      </w:pPr>
      <w:r>
        <w:rPr>
          <w:rFonts w:ascii="Times New Roman" w:cs="Times New Roman" w:eastAsia="Times New Roman" w:hAnsi="Times New Roman"/>
          <w:sz w:val="19"/>
          <w:szCs w:val="19"/>
          <w:color w:val="auto"/>
        </w:rPr>
        <w:t>been cured within 30 days of Holdings or the Borrower obtaining knowledge of such breach or default, and (ii) no Loan Party shall have waived</w:t>
      </w:r>
    </w:p>
    <w:p>
      <w:pPr>
        <w:spacing w:after="0" w:line="207" w:lineRule="auto"/>
        <w:rPr>
          <w:sz w:val="20"/>
          <w:szCs w:val="20"/>
          <w:color w:val="auto"/>
        </w:rPr>
      </w:pPr>
      <w:r>
        <w:rPr>
          <w:rFonts w:ascii="Times New Roman" w:cs="Times New Roman" w:eastAsia="Times New Roman" w:hAnsi="Times New Roman"/>
          <w:sz w:val="19"/>
          <w:szCs w:val="19"/>
          <w:color w:val="auto"/>
        </w:rPr>
        <w:t>any provision of the Continuity Agreement (if applicable) to which such PC Entity is a party in a manner adverse to the Lenders, (c) with respect to which the Management Services Agreement to which such PC Entity is a party has not been terminated, (d) which does not have any Lien on</w:t>
      </w:r>
    </w:p>
    <w:p>
      <w:pPr>
        <w:spacing w:after="0" w:line="215" w:lineRule="auto"/>
        <w:rPr>
          <w:sz w:val="20"/>
          <w:szCs w:val="20"/>
          <w:color w:val="auto"/>
        </w:rPr>
      </w:pPr>
      <w:r>
        <w:rPr>
          <w:rFonts w:ascii="Times New Roman" w:cs="Times New Roman" w:eastAsia="Times New Roman" w:hAnsi="Times New Roman"/>
          <w:sz w:val="19"/>
          <w:szCs w:val="19"/>
          <w:color w:val="auto"/>
        </w:rPr>
        <w:t>any of its assets or property (other than any Lien imposed by law consisting of a landlord’s lien or banker’s lien in the ordinary course of business,</w:t>
      </w:r>
    </w:p>
    <w:p>
      <w:pPr>
        <w:spacing w:after="0" w:line="207" w:lineRule="auto"/>
        <w:rPr>
          <w:sz w:val="20"/>
          <w:szCs w:val="20"/>
          <w:color w:val="auto"/>
        </w:rPr>
      </w:pPr>
      <w:r>
        <w:rPr>
          <w:rFonts w:ascii="Times New Roman" w:cs="Times New Roman" w:eastAsia="Times New Roman" w:hAnsi="Times New Roman"/>
          <w:sz w:val="19"/>
          <w:szCs w:val="19"/>
          <w:color w:val="auto"/>
        </w:rPr>
        <w:t>any Lien arising under the Deficit Funding Agreement to which such PC Entity is a party and any other Liens securing obligations which do not exceed (x) $100,000 for any individual PC Entity and (y) $250,000 in the aggregate for all PC Entities), and (e) which, to the extent permitted</w:t>
      </w:r>
    </w:p>
    <w:p>
      <w:pPr>
        <w:spacing w:after="0" w:line="215" w:lineRule="auto"/>
        <w:rPr>
          <w:sz w:val="20"/>
          <w:szCs w:val="20"/>
          <w:color w:val="auto"/>
        </w:rPr>
      </w:pPr>
      <w:r>
        <w:rPr>
          <w:rFonts w:ascii="Times New Roman" w:cs="Times New Roman" w:eastAsia="Times New Roman" w:hAnsi="Times New Roman"/>
          <w:sz w:val="19"/>
          <w:szCs w:val="19"/>
          <w:color w:val="auto"/>
        </w:rPr>
        <w:t>under applicable law, is party to a Continuity Agreement (unless, based on the advice of experienced healthcare counsel, the applicable Loan Party</w:t>
      </w:r>
    </w:p>
    <w:p>
      <w:pPr>
        <w:spacing w:after="0" w:line="225" w:lineRule="auto"/>
        <w:rPr>
          <w:sz w:val="20"/>
          <w:szCs w:val="20"/>
          <w:color w:val="auto"/>
        </w:rPr>
      </w:pPr>
      <w:r>
        <w:rPr>
          <w:rFonts w:ascii="Times New Roman" w:cs="Times New Roman" w:eastAsia="Times New Roman" w:hAnsi="Times New Roman"/>
          <w:sz w:val="19"/>
          <w:szCs w:val="19"/>
          <w:color w:val="auto"/>
        </w:rPr>
        <w:t>determines after consultation with the Administrative Agent that such Continuity Agreement is not legally advisable) and a Deficit Funding Agreement with a Loan Party, in each case, that is in full force and effect.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Plan</w:t>
      </w:r>
      <w:r>
        <w:rPr>
          <w:rFonts w:ascii="Times New Roman" w:cs="Times New Roman" w:eastAsia="Times New Roman" w:hAnsi="Times New Roman"/>
          <w:sz w:val="19"/>
          <w:szCs w:val="19"/>
          <w:color w:val="auto"/>
        </w:rPr>
        <w:t>” means an employee benefit plan (as defined in Section 3(3) of ERISA) other than a Multiemployer Plan (a) that is or</w:t>
      </w:r>
    </w:p>
    <w:p>
      <w:pPr>
        <w:spacing w:after="0" w:line="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was at any time maintained or sponsored by any Loan Party or any ERISA Affiliate thereof or to which any Loan Party or any ERISA Affiliate thereof has ever made, or was ever obligated to make, contributions, and (b) that is intended to be tax-qualified under Section 401(a) of the Code.</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Recipient</w:t>
      </w:r>
      <w:r>
        <w:rPr>
          <w:rFonts w:ascii="Times New Roman" w:cs="Times New Roman" w:eastAsia="Times New Roman" w:hAnsi="Times New Roman"/>
          <w:sz w:val="19"/>
          <w:szCs w:val="19"/>
          <w:color w:val="auto"/>
        </w:rPr>
        <w:t>” means the (a) Administrative Agent, (b) any Lender or (c) any Issuing Lender, as applicable.</w:t>
      </w:r>
    </w:p>
    <w:p>
      <w:pPr>
        <w:spacing w:after="0" w:line="185"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Recovery Event</w:t>
      </w:r>
      <w:r>
        <w:rPr>
          <w:rFonts w:ascii="Times New Roman" w:cs="Times New Roman" w:eastAsia="Times New Roman" w:hAnsi="Times New Roman"/>
          <w:sz w:val="19"/>
          <w:szCs w:val="19"/>
          <w:color w:val="auto"/>
        </w:rPr>
        <w:t>” means any settlement of or payment in respect of any property or casualty insurance claim or any condemnation proceeding relating to any asset of any Group Member.</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Refinancing</w:t>
      </w:r>
      <w:r>
        <w:rPr>
          <w:rFonts w:ascii="Times New Roman" w:cs="Times New Roman" w:eastAsia="Times New Roman" w:hAnsi="Times New Roman"/>
          <w:sz w:val="19"/>
          <w:szCs w:val="19"/>
          <w:color w:val="auto"/>
        </w:rPr>
        <w:t>” has the meaning set forth in the recitals hereto.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900" w:h="16838" w:orient="portrait"/>
          <w:cols w:equalWidth="0" w:num="1">
            <w:col w:w="11240"/>
          </w:cols>
          <w:pgMar w:left="320" w:top="1350" w:right="339" w:bottom="1440" w:gutter="0" w:footer="0" w:header="0"/>
        </w:sectPr>
      </w:pPr>
    </w:p>
    <w:bookmarkStart w:id="164" w:name="page165"/>
    <w:bookmarkEnd w:id="164"/>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Refunded Swingline Loans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Register</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10.6(c)</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Regulation D</w:t>
      </w:r>
      <w:r>
        <w:rPr>
          <w:rFonts w:ascii="Times New Roman" w:cs="Times New Roman" w:eastAsia="Times New Roman" w:hAnsi="Times New Roman"/>
          <w:sz w:val="19"/>
          <w:szCs w:val="19"/>
          <w:color w:val="auto"/>
        </w:rPr>
        <w:t>” means Regulation D of the Federal Reserve Board, as in effect from time to time and all official rulings and interpretations thereunder or thereof.</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Regulation T</w:t>
      </w:r>
      <w:r>
        <w:rPr>
          <w:rFonts w:ascii="Times New Roman" w:cs="Times New Roman" w:eastAsia="Times New Roman" w:hAnsi="Times New Roman"/>
          <w:sz w:val="19"/>
          <w:szCs w:val="19"/>
          <w:color w:val="auto"/>
        </w:rPr>
        <w:t>” means Regulation T of the Federal Reserve Board as in effect from time to time.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Regulation U</w:t>
      </w:r>
      <w:r>
        <w:rPr>
          <w:rFonts w:ascii="Times New Roman" w:cs="Times New Roman" w:eastAsia="Times New Roman" w:hAnsi="Times New Roman"/>
          <w:sz w:val="19"/>
          <w:szCs w:val="19"/>
          <w:color w:val="auto"/>
        </w:rPr>
        <w:t>” means Regulation U of the Federal Reserve Board as in effect from time to time.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Regulation X</w:t>
      </w:r>
      <w:r>
        <w:rPr>
          <w:rFonts w:ascii="Times New Roman" w:cs="Times New Roman" w:eastAsia="Times New Roman" w:hAnsi="Times New Roman"/>
          <w:sz w:val="19"/>
          <w:szCs w:val="19"/>
          <w:color w:val="auto"/>
        </w:rPr>
        <w:t>” means Regulation X of the Federal Reserve Board as in effect from time to time.</w:t>
      </w:r>
    </w:p>
    <w:p>
      <w:pPr>
        <w:spacing w:after="0" w:line="185"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Reinvestment Deferred Amount</w:t>
      </w:r>
      <w:r>
        <w:rPr>
          <w:rFonts w:ascii="Times New Roman" w:cs="Times New Roman" w:eastAsia="Times New Roman" w:hAnsi="Times New Roman"/>
          <w:sz w:val="19"/>
          <w:szCs w:val="19"/>
          <w:color w:val="auto"/>
        </w:rPr>
        <w:t xml:space="preserve">” means, with respect to any Reinvestment Event, the aggregate Net Cash Proceeds received by any Loan Party in connection therewith that are not applied to prepay the Loans or other amounts pursuant to </w:t>
      </w:r>
      <w:r>
        <w:rPr>
          <w:rFonts w:ascii="Times New Roman" w:cs="Times New Roman" w:eastAsia="Times New Roman" w:hAnsi="Times New Roman"/>
          <w:sz w:val="19"/>
          <w:szCs w:val="19"/>
          <w:u w:val="single" w:color="auto"/>
          <w:color w:val="auto"/>
        </w:rPr>
        <w:t>Section 2.12(c)</w:t>
      </w:r>
      <w:r>
        <w:rPr>
          <w:rFonts w:ascii="Times New Roman" w:cs="Times New Roman" w:eastAsia="Times New Roman" w:hAnsi="Times New Roman"/>
          <w:sz w:val="19"/>
          <w:szCs w:val="19"/>
          <w:color w:val="auto"/>
        </w:rPr>
        <w:t xml:space="preserve"> as a result of the delivery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a Reinvestment Notice.</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Reinvestment Event</w:t>
      </w:r>
      <w:r>
        <w:rPr>
          <w:rFonts w:ascii="Times New Roman" w:cs="Times New Roman" w:eastAsia="Times New Roman" w:hAnsi="Times New Roman"/>
          <w:sz w:val="19"/>
          <w:szCs w:val="19"/>
          <w:color w:val="auto"/>
        </w:rPr>
        <w:t>” means any Asset Sale or Recovery Event in respect of which the Borrower has delivered a Reinvestment Notice.</w:t>
      </w:r>
    </w:p>
    <w:p>
      <w:pPr>
        <w:spacing w:after="0" w:line="172" w:lineRule="exact"/>
        <w:rPr>
          <w:sz w:val="20"/>
          <w:szCs w:val="20"/>
          <w:color w:val="auto"/>
        </w:rPr>
      </w:pPr>
    </w:p>
    <w:p>
      <w:pPr>
        <w:jc w:val="both"/>
        <w:ind w:firstLine="625"/>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Reinvestment Notice</w:t>
      </w:r>
      <w:r>
        <w:rPr>
          <w:rFonts w:ascii="Times New Roman" w:cs="Times New Roman" w:eastAsia="Times New Roman" w:hAnsi="Times New Roman"/>
          <w:sz w:val="19"/>
          <w:szCs w:val="19"/>
          <w:color w:val="auto"/>
        </w:rPr>
        <w:t>” means a written notice executed by a Responsible Officer stating that no Event of Default has occurred and that the Borrower or Holdings (directly or indirectly through a Guarantor) intends and expects to use all or a specified portion of the Net Cash Proceeds of an Asset Sale or Recovery Event to acquire or repair assets useful in its business.</w:t>
      </w:r>
    </w:p>
    <w:p>
      <w:pPr>
        <w:spacing w:after="0" w:line="137"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Reinvestment Prepayment Amount</w:t>
      </w:r>
      <w:r>
        <w:rPr>
          <w:rFonts w:ascii="Times New Roman" w:cs="Times New Roman" w:eastAsia="Times New Roman" w:hAnsi="Times New Roman"/>
          <w:sz w:val="19"/>
          <w:szCs w:val="19"/>
          <w:color w:val="auto"/>
        </w:rPr>
        <w:t>” means, with respect to any Reinvestment Event, the Reinvestment Deferred Amount relating thereto less any amount expended prior to the relevant Reinvestment Prepayment Date to acquire or repair assets useful in the Borrower’s business.</w:t>
      </w:r>
    </w:p>
    <w:p>
      <w:pPr>
        <w:spacing w:after="0" w:line="138"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Reinvestment Prepayment Date</w:t>
      </w:r>
      <w:r>
        <w:rPr>
          <w:rFonts w:ascii="Times New Roman" w:cs="Times New Roman" w:eastAsia="Times New Roman" w:hAnsi="Times New Roman"/>
          <w:sz w:val="19"/>
          <w:szCs w:val="19"/>
          <w:color w:val="auto"/>
        </w:rPr>
        <w:t>” means, with respect to any Reinvestment Event, the earlier of (a) the date occurring six months after such Reinvestment Event (or two hundred seventy (270) days if a Group Member enters into a legally binding commitment to reinvest such</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amounts within one hundred eighty (180) days after such Reinvestment Event), and (b) the date on which the Borrower shall have determined not to, or shall have otherwise ceased to, acquire or repair assets useful in the Borrower’s business with all or any portion of the relevant Reinvestment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Deferred Amount.</w:t>
      </w:r>
    </w:p>
    <w:p>
      <w:pPr>
        <w:spacing w:after="0" w:line="159" w:lineRule="exact"/>
        <w:rPr>
          <w:sz w:val="20"/>
          <w:szCs w:val="20"/>
          <w:color w:val="auto"/>
        </w:rPr>
      </w:pPr>
    </w:p>
    <w:p>
      <w:pPr>
        <w:jc w:val="both"/>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Related Parties</w:t>
      </w:r>
      <w:r>
        <w:rPr>
          <w:rFonts w:ascii="Times New Roman" w:cs="Times New Roman" w:eastAsia="Times New Roman" w:hAnsi="Times New Roman"/>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1"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Relevant Governmental Body</w:t>
      </w:r>
      <w:r>
        <w:rPr>
          <w:rFonts w:ascii="Times New Roman" w:cs="Times New Roman" w:eastAsia="Times New Roman" w:hAnsi="Times New Roman"/>
          <w:sz w:val="19"/>
          <w:szCs w:val="19"/>
          <w:color w:val="auto"/>
        </w:rPr>
        <w:t>” means the Federal Reserve Board or the Federal Reserve Bank of New York, or a committee officially endorsed or convened by the Federal Reserve Board or the Federal Reserve Bank of New York, or any successor thereto.</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Replacement Lender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has the meaning set forth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Required Lenders</w:t>
      </w:r>
      <w:r>
        <w:rPr>
          <w:rFonts w:ascii="Times New Roman" w:cs="Times New Roman" w:eastAsia="Times New Roman" w:hAnsi="Times New Roman"/>
          <w:sz w:val="19"/>
          <w:szCs w:val="19"/>
          <w:color w:val="auto"/>
        </w:rPr>
        <w:t>” means, at any time, (a) if only one Lender holds the outstanding Term Loans and the Revolving Commitments, such</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Lender; and (b) if more than one Lender holds the outstanding Term Loans and Revolving Commitments, then at least two Lenders who hold more than 50.0% of the sum of (i) the aggregate unpaid principal amount of the Term Loans then outstanding, and (ii) the Total Revolving</w:t>
      </w:r>
    </w:p>
    <w:p>
      <w:pPr>
        <w:spacing w:after="0" w:line="215" w:lineRule="auto"/>
        <w:rPr>
          <w:sz w:val="20"/>
          <w:szCs w:val="20"/>
          <w:color w:val="auto"/>
        </w:rPr>
      </w:pPr>
      <w:r>
        <w:rPr>
          <w:rFonts w:ascii="Times New Roman" w:cs="Times New Roman" w:eastAsia="Times New Roman" w:hAnsi="Times New Roman"/>
          <w:sz w:val="19"/>
          <w:szCs w:val="19"/>
          <w:color w:val="auto"/>
        </w:rPr>
        <w:t>Commitments (including, without duplication, the L/C Commitments) then in effect or, if the Revolving Commitments have been terminated, the</w:t>
      </w:r>
    </w:p>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Total Revolving Extensions of Credit then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purposes of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the outstanding principal amount of the Term Loans held by any Defaulting Lender and the Revolving Commitments of, and the portion of the Revolving Loans and participations in L/C</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 xml:space="preserve">Exposure and Swingline Loans held or deemed held by, any Defaulting Lender shall be excluded for purposes of making a determination of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a Lender and its Affiliates shall be deemed one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1900" w:h="16838" w:orient="portrait"/>
          <w:cols w:equalWidth="0" w:num="1">
            <w:col w:w="11240"/>
          </w:cols>
          <w:pgMar w:left="320" w:top="1350" w:right="339" w:bottom="1440" w:gutter="0" w:footer="0" w:header="0"/>
        </w:sectPr>
      </w:pPr>
    </w:p>
    <w:bookmarkStart w:id="165" w:name="page166"/>
    <w:bookmarkEnd w:id="165"/>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Requirement of Law</w:t>
      </w:r>
      <w:r>
        <w:rPr>
          <w:rFonts w:ascii="Times New Roman" w:cs="Times New Roman" w:eastAsia="Times New Roman" w:hAnsi="Times New Roman"/>
          <w:sz w:val="19"/>
          <w:szCs w:val="19"/>
          <w:color w:val="auto"/>
        </w:rPr>
        <w:t>” means, as to any Person, the Operating Documents of such Person, and any law, treaty, rule or regulation or</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determination of an arbitrator or a court or other Governmental Authority (including, for the avoidance of doubt, the Basel Committee on Banking Supervision and any successor thereto or similar authority or successor thereto), in each case applicable to or binding upon such Person or any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its property or to which such Person or any of its property is subject.</w:t>
      </w:r>
    </w:p>
    <w:p>
      <w:pPr>
        <w:spacing w:after="0" w:line="159"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Responsible Officer</w:t>
      </w:r>
      <w:r>
        <w:rPr>
          <w:rFonts w:ascii="Times New Roman" w:cs="Times New Roman" w:eastAsia="Times New Roman" w:hAnsi="Times New Roman"/>
          <w:sz w:val="19"/>
          <w:szCs w:val="19"/>
          <w:color w:val="auto"/>
        </w:rPr>
        <w:t>” means, with respect to any Loan Party, the chief executive officer, president, vice president, chief financial officer, treasurer, controller or comptroller of the Borrower, but in any event, with respect to financial matters, the chief financial officer, treasurer,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controller or comptroller of such Loan Party.</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Payments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Commitment</w:t>
      </w:r>
      <w:r>
        <w:rPr>
          <w:rFonts w:ascii="Times New Roman" w:cs="Times New Roman" w:eastAsia="Times New Roman" w:hAnsi="Times New Roman"/>
          <w:sz w:val="19"/>
          <w:szCs w:val="19"/>
          <w:color w:val="auto"/>
        </w:rPr>
        <w:t>” means, as to any Lender, the obligation of such Lender, if any, to make Revolving Loans and participate in Swingline Loans and Letters of Credit in an aggregate principal amount not to exceed the amount set forth under the heading “Revolving</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Commitment” opposite such Lender’s name on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 xml:space="preserve"> or in the Assignment and Assumption pursuant to which such Lender became a party hereto, as the same may be changed from time to time pursuant to the terms hereof (including in connection with assignments permitted</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hereunder). The original amount of the Total Revolving Commitments is $5,000,000. The L/C Commitment and the Swingline Commitment are each sublimits of the Total Revolving Commitments.</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Commitment Period</w:t>
      </w:r>
      <w:r>
        <w:rPr>
          <w:rFonts w:ascii="Times New Roman" w:cs="Times New Roman" w:eastAsia="Times New Roman" w:hAnsi="Times New Roman"/>
          <w:sz w:val="19"/>
          <w:szCs w:val="19"/>
          <w:color w:val="auto"/>
        </w:rPr>
        <w:t>” means the period from and including the Closing Date to the Maturity Date.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Revolving Extensions of Credit</w:t>
      </w:r>
      <w:r>
        <w:rPr>
          <w:rFonts w:ascii="Times New Roman" w:cs="Times New Roman" w:eastAsia="Times New Roman" w:hAnsi="Times New Roman"/>
          <w:sz w:val="19"/>
          <w:szCs w:val="19"/>
          <w:color w:val="auto"/>
        </w:rPr>
        <w:t>” means, as to any Revolving Lender at any time, an amount equal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sum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(a) the aggregate</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principal amount of all Revolving Loans held by such Lender then outstanding,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such Lender’s L/C Percentage of the aggregate undrawn amount of all outstanding Letters of Credit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(c) such Lender’s L/C Percentage of the aggregate amount of all L/C Disbursements</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 xml:space="preserve">that have not yet been reimbursed or converted into Revolving Loans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(d) such Lender’s Revolving Percentage of the aggregate principal amount of Swingline Loans then outstanding.</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Facility</w:t>
      </w:r>
      <w:r>
        <w:rPr>
          <w:rFonts w:ascii="Times New Roman" w:cs="Times New Roman" w:eastAsia="Times New Roman" w:hAnsi="Times New Roman"/>
          <w:sz w:val="19"/>
          <w:szCs w:val="19"/>
          <w:color w:val="auto"/>
        </w:rPr>
        <w:t>” means the Revolving Commitments and the Credit Extensions made thereunder.</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Lender</w:t>
      </w:r>
      <w:r>
        <w:rPr>
          <w:rFonts w:ascii="Times New Roman" w:cs="Times New Roman" w:eastAsia="Times New Roman" w:hAnsi="Times New Roman"/>
          <w:sz w:val="19"/>
          <w:szCs w:val="19"/>
          <w:color w:val="auto"/>
        </w:rPr>
        <w:t>” means each Lender that has a Revolving Commitment or that holds Revolving Loans.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Loan Conversion</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3.5(b)</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Loan Funding Office</w:t>
      </w:r>
      <w:r>
        <w:rPr>
          <w:rFonts w:ascii="Times New Roman" w:cs="Times New Roman" w:eastAsia="Times New Roman" w:hAnsi="Times New Roman"/>
          <w:sz w:val="19"/>
          <w:szCs w:val="19"/>
          <w:color w:val="auto"/>
        </w:rPr>
        <w:t xml:space="preserve">” means the office of the Administrative Agent specified in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or such other office as may be specified from time to time by the Administrative Agent as its funding office by written notice to the Borrower and the Lenders.</w:t>
      </w:r>
    </w:p>
    <w:p>
      <w:pPr>
        <w:spacing w:after="0" w:line="125"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Loan Note</w:t>
      </w:r>
      <w:r>
        <w:rPr>
          <w:rFonts w:ascii="Times New Roman" w:cs="Times New Roman" w:eastAsia="Times New Roman" w:hAnsi="Times New Roman"/>
          <w:sz w:val="19"/>
          <w:szCs w:val="19"/>
          <w:color w:val="auto"/>
        </w:rPr>
        <w:t xml:space="preserve">” means a promissory note in the form of </w:t>
      </w:r>
      <w:r>
        <w:rPr>
          <w:rFonts w:ascii="Times New Roman" w:cs="Times New Roman" w:eastAsia="Times New Roman" w:hAnsi="Times New Roman"/>
          <w:sz w:val="19"/>
          <w:szCs w:val="19"/>
          <w:u w:val="single" w:color="auto"/>
          <w:color w:val="auto"/>
        </w:rPr>
        <w:t>Exhibit H-1</w:t>
      </w:r>
      <w:r>
        <w:rPr>
          <w:rFonts w:ascii="Times New Roman" w:cs="Times New Roman" w:eastAsia="Times New Roman" w:hAnsi="Times New Roman"/>
          <w:sz w:val="19"/>
          <w:szCs w:val="19"/>
          <w:color w:val="auto"/>
        </w:rPr>
        <w:t>, as it may be amended, supplemented or otherwise modified from time to time.</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Loans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2.4(a)</w:t>
      </w:r>
      <w:r>
        <w:rPr>
          <w:rFonts w:ascii="Times New Roman" w:cs="Times New Roman" w:eastAsia="Times New Roman" w:hAnsi="Times New Roman"/>
          <w:sz w:val="19"/>
          <w:szCs w:val="19"/>
          <w:color w:val="auto"/>
        </w:rPr>
        <w:t>.</w:t>
      </w:r>
    </w:p>
    <w:p>
      <w:pPr>
        <w:spacing w:after="0" w:line="172" w:lineRule="exact"/>
        <w:rPr>
          <w:sz w:val="20"/>
          <w:szCs w:val="20"/>
          <w:color w:val="auto"/>
        </w:rPr>
      </w:pPr>
    </w:p>
    <w:p>
      <w:pPr>
        <w:ind w:firstLine="625"/>
        <w:spacing w:after="0" w:line="22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Percentage</w:t>
      </w:r>
      <w:r>
        <w:rPr>
          <w:rFonts w:ascii="Times New Roman" w:cs="Times New Roman" w:eastAsia="Times New Roman" w:hAnsi="Times New Roman"/>
          <w:sz w:val="19"/>
          <w:szCs w:val="19"/>
          <w:color w:val="auto"/>
        </w:rPr>
        <w:t>” means, as to any Revolving Lender at any time, the percentage which such Lender’s Revolving Commitment then constitutes of the Total Revolving Commitments or, at any time after the Revolving Commitments of all Lenders shall have expired or</w:t>
      </w:r>
    </w:p>
    <w:p>
      <w:pPr>
        <w:spacing w:after="0" w:line="2"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terminated, the percentage which the aggregate principal amount of such Lender’s Revolving Loans then outstanding constitutes of the aggregate principal amount of all Revolving Loans then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the Revolving Loans are paid in full prior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reduction to zero of the Total Revolving Commitments,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900" w:h="16838" w:orient="portrait"/>
          <w:cols w:equalWidth="0" w:num="1">
            <w:col w:w="11240"/>
          </w:cols>
          <w:pgMar w:left="320" w:top="1350" w:right="339" w:bottom="1440" w:gutter="0" w:footer="0" w:header="0"/>
        </w:sectPr>
      </w:pPr>
    </w:p>
    <w:bookmarkStart w:id="166" w:name="page167"/>
    <w:bookmarkEnd w:id="166"/>
    <w:p>
      <w:pPr>
        <w:jc w:val="both"/>
        <w:spacing w:after="0" w:line="249" w:lineRule="auto"/>
        <w:rPr>
          <w:sz w:val="20"/>
          <w:szCs w:val="20"/>
          <w:color w:val="auto"/>
        </w:rPr>
      </w:pPr>
      <w:r>
        <w:rPr>
          <w:rFonts w:ascii="Times New Roman" w:cs="Times New Roman" w:eastAsia="Times New Roman" w:hAnsi="Times New Roman"/>
          <w:sz w:val="19"/>
          <w:szCs w:val="19"/>
          <w:color w:val="auto"/>
        </w:rPr>
        <w:t>the Revolving Percentages shall be determined in a manner designed to ensure that the other outstanding Revolving Extensions of Credit shall be held by the Revolving Lenders on a comparable basis.</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S&amp;P</w:t>
      </w:r>
      <w:r>
        <w:rPr>
          <w:rFonts w:ascii="Times New Roman" w:cs="Times New Roman" w:eastAsia="Times New Roman" w:hAnsi="Times New Roman"/>
          <w:sz w:val="19"/>
          <w:szCs w:val="19"/>
          <w:color w:val="auto"/>
        </w:rPr>
        <w:t>” means Standard &amp; Poor’s Ratings Services.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Sale Leaseback Transaction</w:t>
      </w:r>
      <w:r>
        <w:rPr>
          <w:rFonts w:ascii="Times New Roman" w:cs="Times New Roman" w:eastAsia="Times New Roman" w:hAnsi="Times New Roman"/>
          <w:sz w:val="19"/>
          <w:szCs w:val="19"/>
          <w:color w:val="auto"/>
        </w:rPr>
        <w:t>” means any arrangement with any Person or Persons, whereby in contemporaneous or substantially</w:t>
      </w:r>
    </w:p>
    <w:p>
      <w:pPr>
        <w:spacing w:after="0" w:line="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contemporaneous transactions a Loan Party sells substantially all of its right, title and interest in any property and, in connection therewith, acquires, leases or licenses back the right to use all or a material portion of such property.</w:t>
      </w:r>
    </w:p>
    <w:p>
      <w:pPr>
        <w:spacing w:after="0" w:line="150"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Sanction(s)</w:t>
      </w:r>
      <w:r>
        <w:rPr>
          <w:rFonts w:ascii="Times New Roman" w:cs="Times New Roman" w:eastAsia="Times New Roman" w:hAnsi="Times New Roman"/>
          <w:sz w:val="19"/>
          <w:szCs w:val="19"/>
          <w:color w:val="auto"/>
        </w:rPr>
        <w:t>” means any international economic sanction administered or enforced by the United States Government (including OFAC), the United Nations Security Council, the European Union, Her Majesty’s Treasury or other relevant sanctions authority.</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means the Securities and Exchange Commission, any successor thereto and any analogous Governmental Authority.</w:t>
      </w:r>
    </w:p>
    <w:p>
      <w:pPr>
        <w:spacing w:after="0" w:line="185"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Second Amendment</w:t>
      </w:r>
      <w:r>
        <w:rPr>
          <w:rFonts w:ascii="Times New Roman" w:cs="Times New Roman" w:eastAsia="Times New Roman" w:hAnsi="Times New Roman"/>
          <w:sz w:val="19"/>
          <w:szCs w:val="19"/>
          <w:color w:val="auto"/>
        </w:rPr>
        <w:t>” means that certain Second Amendment to Credit Agreement, dated as of September 13, 2024, by and among Holdings, Intermediate Holdings, the Borrower, Lenders party thereto and the Administrative Agent.</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Second Amendment Effective Date</w:t>
      </w:r>
      <w:r>
        <w:rPr>
          <w:rFonts w:ascii="Times New Roman" w:cs="Times New Roman" w:eastAsia="Times New Roman" w:hAnsi="Times New Roman"/>
          <w:sz w:val="19"/>
          <w:szCs w:val="19"/>
          <w:color w:val="auto"/>
        </w:rPr>
        <w:t>” has the meaning assigned to such term in the Second Amendment.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Second Amendment Transactions</w:t>
      </w:r>
      <w:r>
        <w:rPr>
          <w:rFonts w:ascii="Times New Roman" w:cs="Times New Roman" w:eastAsia="Times New Roman" w:hAnsi="Times New Roman"/>
          <w:sz w:val="19"/>
          <w:szCs w:val="19"/>
          <w:color w:val="auto"/>
        </w:rPr>
        <w:t>” has the meaning assigned to such term in the Second Amendment.</w:t>
      </w:r>
    </w:p>
    <w:p>
      <w:pPr>
        <w:spacing w:after="0" w:line="185" w:lineRule="exact"/>
        <w:rPr>
          <w:sz w:val="20"/>
          <w:szCs w:val="20"/>
          <w:color w:val="auto"/>
        </w:rPr>
      </w:pPr>
    </w:p>
    <w:p>
      <w:pPr>
        <w:jc w:val="both"/>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Second Amendment Updated Lender Model</w:t>
      </w:r>
      <w:r>
        <w:rPr>
          <w:rFonts w:ascii="Times New Roman" w:cs="Times New Roman" w:eastAsia="Times New Roman" w:hAnsi="Times New Roman"/>
          <w:sz w:val="19"/>
          <w:szCs w:val="19"/>
          <w:color w:val="auto"/>
        </w:rPr>
        <w:t>” means the model titled “2024 3-Year Model” received by the Administrative Agent on August 23, 2024.</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Secured Parties</w:t>
      </w:r>
      <w:r>
        <w:rPr>
          <w:rFonts w:ascii="Times New Roman" w:cs="Times New Roman" w:eastAsia="Times New Roman" w:hAnsi="Times New Roman"/>
          <w:sz w:val="19"/>
          <w:szCs w:val="19"/>
          <w:color w:val="auto"/>
        </w:rPr>
        <w:t>” means the collective reference to the Administrative Agent, the Lenders (including any Issuing Lender in its capacity as</w:t>
      </w:r>
    </w:p>
    <w:p>
      <w:pPr>
        <w:spacing w:after="0" w:line="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Issuing Lender and any Swingline Lender in its capacity as Swingline Lender), any Cash Management Bank (in its or their respective capacities as providers of Cash Management Services), and any Qualified Counterparties.</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Account</w:t>
      </w:r>
      <w:r>
        <w:rPr>
          <w:rFonts w:ascii="Times New Roman" w:cs="Times New Roman" w:eastAsia="Times New Roman" w:hAnsi="Times New Roman"/>
          <w:sz w:val="19"/>
          <w:szCs w:val="19"/>
          <w:color w:val="auto"/>
        </w:rPr>
        <w:t>” means any “securities account” as defined in the UCC with such additions to such term as may hereafter be made.</w:t>
      </w:r>
    </w:p>
    <w:p>
      <w:pPr>
        <w:spacing w:after="0" w:line="172" w:lineRule="exact"/>
        <w:rPr>
          <w:sz w:val="20"/>
          <w:szCs w:val="20"/>
          <w:color w:val="auto"/>
        </w:rPr>
      </w:pPr>
    </w:p>
    <w:p>
      <w:pPr>
        <w:jc w:val="both"/>
        <w:ind w:firstLine="625"/>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Account Control Agreement</w:t>
      </w:r>
      <w:r>
        <w:rPr>
          <w:rFonts w:ascii="Times New Roman" w:cs="Times New Roman" w:eastAsia="Times New Roman" w:hAnsi="Times New Roman"/>
          <w:sz w:val="19"/>
          <w:szCs w:val="19"/>
          <w:color w:val="auto"/>
        </w:rPr>
        <w:t>” means any Control Agreement entered into by the Administrative Agent, a Loan Party and a securities intermediary holding a Securities Account of such Loan Party pursuant to which the Administrative Agent is granted “control” (for purposes of the UCC) over such Securities Account.</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Securities Act of 1933, as amended from time to time and any successor statute.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Security Documents</w:t>
      </w:r>
      <w:r>
        <w:rPr>
          <w:rFonts w:ascii="Times New Roman" w:cs="Times New Roman" w:eastAsia="Times New Roman" w:hAnsi="Times New Roman"/>
          <w:sz w:val="19"/>
          <w:szCs w:val="19"/>
          <w:color w:val="auto"/>
        </w:rPr>
        <w:t>” means the collective reference to (a) the Guarantee and Collateral Agreement, (b) the Mortgages (if any), (c) each</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Intellectual Property Security Agreement, (d) any Collateral Assignment of PC Documents, (e) each Deposit Account Control Agreement, (f) each Securities Account Control Agreement, (g) all other security documents hereafter delivered to the Administrative Agent granting a Lien on any</w:t>
      </w:r>
    </w:p>
    <w:p>
      <w:pPr>
        <w:spacing w:after="0" w:line="215" w:lineRule="auto"/>
        <w:rPr>
          <w:sz w:val="20"/>
          <w:szCs w:val="20"/>
          <w:color w:val="auto"/>
        </w:rPr>
      </w:pPr>
      <w:r>
        <w:rPr>
          <w:rFonts w:ascii="Times New Roman" w:cs="Times New Roman" w:eastAsia="Times New Roman" w:hAnsi="Times New Roman"/>
          <w:sz w:val="19"/>
          <w:szCs w:val="19"/>
          <w:color w:val="auto"/>
        </w:rPr>
        <w:t>property of any Person to secure the Obligations of any Loan Party arising under any Loan Document, (h) all other security documents hereafter</w:t>
      </w:r>
    </w:p>
    <w:p>
      <w:pPr>
        <w:jc w:val="both"/>
        <w:spacing w:after="0" w:line="207" w:lineRule="auto"/>
        <w:rPr>
          <w:sz w:val="20"/>
          <w:szCs w:val="20"/>
          <w:color w:val="auto"/>
        </w:rPr>
      </w:pPr>
      <w:r>
        <w:rPr>
          <w:rFonts w:ascii="Times New Roman" w:cs="Times New Roman" w:eastAsia="Times New Roman" w:hAnsi="Times New Roman"/>
          <w:sz w:val="19"/>
          <w:szCs w:val="19"/>
          <w:color w:val="auto"/>
        </w:rPr>
        <w:t>delivered to any applicable Cash Management Bank granting a Lien on any property of any Person to secure the Obligations of any Group Member arising under any Cash Management Agreement, and (i) all financing statements, fixture filings, patent, trademark and copyright filings,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assignments, acknowledgments and other filings, documents and agreements made or delivered pursuant to any of the foregoing.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1900" w:h="16838" w:orient="portrait"/>
          <w:cols w:equalWidth="0" w:num="1">
            <w:col w:w="11240"/>
          </w:cols>
          <w:pgMar w:left="320" w:top="1354" w:right="339" w:bottom="1440" w:gutter="0" w:footer="0" w:header="0"/>
        </w:sectPr>
      </w:pPr>
    </w:p>
    <w:bookmarkStart w:id="167" w:name="page168"/>
    <w:bookmarkEnd w:id="167"/>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Social Security Act</w:t>
      </w:r>
      <w:r>
        <w:rPr>
          <w:rFonts w:ascii="Times New Roman" w:cs="Times New Roman" w:eastAsia="Times New Roman" w:hAnsi="Times New Roman"/>
          <w:sz w:val="19"/>
          <w:szCs w:val="19"/>
          <w:color w:val="auto"/>
        </w:rPr>
        <w:t>” means the Social Security Act of 1965.</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w:t>
      </w:r>
      <w:r>
        <w:rPr>
          <w:rFonts w:ascii="Times New Roman" w:cs="Times New Roman" w:eastAsia="Times New Roman" w:hAnsi="Times New Roman"/>
          <w:sz w:val="19"/>
          <w:szCs w:val="19"/>
          <w:color w:val="auto"/>
        </w:rPr>
        <w:t>” means a rate equal to the secured overnight financing rate as administered by the SOFR Administrator.</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Administrator</w:t>
      </w:r>
      <w:r>
        <w:rPr>
          <w:rFonts w:ascii="Times New Roman" w:cs="Times New Roman" w:eastAsia="Times New Roman" w:hAnsi="Times New Roman"/>
          <w:sz w:val="19"/>
          <w:szCs w:val="19"/>
          <w:color w:val="auto"/>
        </w:rPr>
        <w:t>” means the Federal Reserve Bank of New York (or a successor administrator of the secured overnight financing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w:t>
      </w:r>
    </w:p>
    <w:p>
      <w:pPr>
        <w:spacing w:after="0" w:line="159" w:lineRule="exact"/>
        <w:rPr>
          <w:sz w:val="20"/>
          <w:szCs w:val="20"/>
          <w:color w:val="auto"/>
        </w:rPr>
      </w:pPr>
    </w:p>
    <w:p>
      <w:pPr>
        <w:jc w:val="both"/>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Administrator’s Website</w:t>
      </w:r>
      <w:r>
        <w:rPr>
          <w:rFonts w:ascii="Times New Roman" w:cs="Times New Roman" w:eastAsia="Times New Roman" w:hAnsi="Times New Roman"/>
          <w:sz w:val="19"/>
          <w:szCs w:val="19"/>
          <w:color w:val="auto"/>
        </w:rPr>
        <w:t xml:space="preserve">” means the website of the Federal Reserve Bank of New York, currently at </w:t>
      </w:r>
      <w:r>
        <w:rPr>
          <w:rFonts w:ascii="Times New Roman" w:cs="Times New Roman" w:eastAsia="Times New Roman" w:hAnsi="Times New Roman"/>
          <w:sz w:val="19"/>
          <w:szCs w:val="19"/>
          <w:u w:val="single" w:color="auto"/>
          <w:color w:val="0000FF"/>
        </w:rPr>
        <w:t>http://www.newyorkfed.org</w:t>
      </w:r>
      <w:r>
        <w:rPr>
          <w:rFonts w:ascii="Times New Roman" w:cs="Times New Roman" w:eastAsia="Times New Roman" w:hAnsi="Times New Roman"/>
          <w:sz w:val="19"/>
          <w:szCs w:val="19"/>
          <w:color w:val="auto"/>
        </w:rPr>
        <w:t>, or any successor source for the secured overnight financing rate identified as such by the SOFR Administrator from time to time.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Borrowing</w:t>
      </w:r>
      <w:r>
        <w:rPr>
          <w:rFonts w:ascii="Times New Roman" w:cs="Times New Roman" w:eastAsia="Times New Roman" w:hAnsi="Times New Roman"/>
          <w:sz w:val="19"/>
          <w:szCs w:val="19"/>
          <w:color w:val="auto"/>
        </w:rPr>
        <w:t>” means as to any Borrowing, the SOFR Loans comprising such Borrowing.</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Determination Day</w:t>
      </w:r>
      <w:r>
        <w:rPr>
          <w:rFonts w:ascii="Times New Roman" w:cs="Times New Roman" w:eastAsia="Times New Roman" w:hAnsi="Times New Roman"/>
          <w:sz w:val="19"/>
          <w:szCs w:val="19"/>
          <w:color w:val="auto"/>
        </w:rPr>
        <w:t>” has the meaning set forth in the definition of “Daily Simple SOFR”.</w:t>
      </w:r>
    </w:p>
    <w:p>
      <w:pPr>
        <w:spacing w:after="0" w:line="172"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Loan</w:t>
      </w:r>
      <w:r>
        <w:rPr>
          <w:rFonts w:ascii="Times New Roman" w:cs="Times New Roman" w:eastAsia="Times New Roman" w:hAnsi="Times New Roman"/>
          <w:sz w:val="19"/>
          <w:szCs w:val="19"/>
          <w:color w:val="auto"/>
        </w:rPr>
        <w:t xml:space="preserve">” means as to any Borrowing, the Loans bearing interest at a rate based on Term SOFR comprising such Borrowing other than pursuant to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the definition of “ABR”.</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Rate Day</w:t>
      </w:r>
      <w:r>
        <w:rPr>
          <w:rFonts w:ascii="Times New Roman" w:cs="Times New Roman" w:eastAsia="Times New Roman" w:hAnsi="Times New Roman"/>
          <w:sz w:val="19"/>
          <w:szCs w:val="19"/>
          <w:color w:val="auto"/>
        </w:rPr>
        <w:t>” has the meaning set forth in the definition of “Daily Simple SOFR”.</w:t>
      </w:r>
    </w:p>
    <w:p>
      <w:pPr>
        <w:spacing w:after="0" w:line="172" w:lineRule="exact"/>
        <w:rPr>
          <w:sz w:val="20"/>
          <w:szCs w:val="20"/>
          <w:color w:val="auto"/>
        </w:rPr>
      </w:pPr>
    </w:p>
    <w:p>
      <w:pPr>
        <w:jc w:val="both"/>
        <w:ind w:firstLine="625"/>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Tranche</w:t>
      </w:r>
      <w:r>
        <w:rPr>
          <w:rFonts w:ascii="Times New Roman" w:cs="Times New Roman" w:eastAsia="Times New Roman" w:hAnsi="Times New Roman"/>
          <w:sz w:val="19"/>
          <w:szCs w:val="19"/>
          <w:color w:val="auto"/>
        </w:rPr>
        <w:t>” means the collective reference to SOFR Loans under a particular Facility (other than the L/C Facility), the then current Interest Periods with respect to all of which begin on the same date and end on the same later date (whether or not such Loans shall originally have been made on the same day).</w:t>
      </w:r>
    </w:p>
    <w:p>
      <w:pPr>
        <w:spacing w:after="0" w:line="137"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Solvency Certificate</w:t>
      </w:r>
      <w:r>
        <w:rPr>
          <w:rFonts w:ascii="Times New Roman" w:cs="Times New Roman" w:eastAsia="Times New Roman" w:hAnsi="Times New Roman"/>
          <w:sz w:val="19"/>
          <w:szCs w:val="19"/>
          <w:color w:val="auto"/>
        </w:rPr>
        <w:t xml:space="preserve">” means the Solvency Certificate, dated the Closing Date, delivered to the Administrative Agent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5.1(r)</w:t>
      </w:r>
      <w:r>
        <w:rPr>
          <w:rFonts w:ascii="Times New Roman" w:cs="Times New Roman" w:eastAsia="Times New Roman" w:hAnsi="Times New Roman"/>
          <w:sz w:val="19"/>
          <w:szCs w:val="19"/>
          <w:color w:val="auto"/>
        </w:rPr>
        <w:t xml:space="preserve">, which Solvency Certificate shall be in substantially the form of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w:t>
      </w:r>
    </w:p>
    <w:p>
      <w:pPr>
        <w:spacing w:after="0" w:line="138"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Solvent</w:t>
      </w:r>
      <w:r>
        <w:rPr>
          <w:rFonts w:ascii="Times New Roman" w:cs="Times New Roman" w:eastAsia="Times New Roman" w:hAnsi="Times New Roman"/>
          <w:sz w:val="19"/>
          <w:szCs w:val="19"/>
          <w:color w:val="auto"/>
        </w:rPr>
        <w:t>” means, when used with respect to any Person, means that, as of any date of determination, (a) the amount of the “fair value” of the assets of such Person will, as of such date, exceed the amount of all “liabilities of such Person, contingent or otherwise,” as of such date, as</w:t>
      </w:r>
    </w:p>
    <w:p>
      <w:pPr>
        <w:spacing w:after="0" w:line="201" w:lineRule="auto"/>
        <w:rPr>
          <w:sz w:val="20"/>
          <w:szCs w:val="20"/>
          <w:color w:val="auto"/>
        </w:rPr>
      </w:pPr>
      <w:r>
        <w:rPr>
          <w:rFonts w:ascii="Times New Roman" w:cs="Times New Roman" w:eastAsia="Times New Roman" w:hAnsi="Times New Roman"/>
          <w:sz w:val="19"/>
          <w:szCs w:val="19"/>
          <w:color w:val="auto"/>
        </w:rPr>
        <w:t>such quoted terms are determined in accordance with applicable federal and state laws governing determinations of the insolvency of debtors,</w:t>
      </w:r>
    </w:p>
    <w:p>
      <w:pPr>
        <w:spacing w:after="0" w:line="1" w:lineRule="exact"/>
        <w:rPr>
          <w:sz w:val="20"/>
          <w:szCs w:val="20"/>
          <w:color w:val="auto"/>
        </w:rPr>
      </w:pPr>
    </w:p>
    <w:p>
      <w:pPr>
        <w:jc w:val="both"/>
        <w:ind w:firstLine="4"/>
        <w:spacing w:after="0" w:line="215" w:lineRule="auto"/>
        <w:tabs>
          <w:tab w:leader="none" w:pos="281"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53"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Specified Swap Agreement</w:t>
      </w:r>
      <w:r>
        <w:rPr>
          <w:rFonts w:ascii="Times New Roman" w:cs="Times New Roman" w:eastAsia="Times New Roman" w:hAnsi="Times New Roman"/>
          <w:sz w:val="19"/>
          <w:szCs w:val="19"/>
          <w:color w:val="auto"/>
        </w:rPr>
        <w:t>” means any Swap Agreement entered into by the Borrower and any Qualified Counterparty (or any Person who was a Qualified Counterparty as of the Closing Date or as of the date such Swap Agreement was entered into) in respect of interest rates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the extent permitted under </w:t>
      </w:r>
      <w:r>
        <w:rPr>
          <w:rFonts w:ascii="Times New Roman" w:cs="Times New Roman" w:eastAsia="Times New Roman" w:hAnsi="Times New Roman"/>
          <w:sz w:val="19"/>
          <w:szCs w:val="19"/>
          <w:u w:val="single" w:color="auto"/>
          <w:color w:val="auto"/>
        </w:rPr>
        <w:t>Section 7.13</w:t>
      </w:r>
      <w:r>
        <w:rPr>
          <w:rFonts w:ascii="Times New Roman" w:cs="Times New Roman" w:eastAsia="Times New Roman" w:hAnsi="Times New Roman"/>
          <w:sz w:val="19"/>
          <w:szCs w:val="19"/>
          <w:color w:val="auto"/>
        </w:rPr>
        <w:t>.</w:t>
      </w:r>
    </w:p>
    <w:p>
      <w:pPr>
        <w:spacing w:after="0" w:line="159"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Subordinated Debt Document</w:t>
      </w:r>
      <w:r>
        <w:rPr>
          <w:rFonts w:ascii="Times New Roman" w:cs="Times New Roman" w:eastAsia="Times New Roman" w:hAnsi="Times New Roman"/>
          <w:sz w:val="19"/>
          <w:szCs w:val="19"/>
          <w:color w:val="auto"/>
        </w:rPr>
        <w:t>” means any agreement, certificate, document or instrument executed or delivered by Holdings or any Subsidiary and evidencing Indebtedness of Holdings or any Subsidiary which is subordinated to the payment of the Obligations in a manner</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approved in writing by the Administrative Agent and the Required Lenders, and any renewals, modifications, or amendments thereof which are approved in writing by the Administrative Agent and the Required Lenders.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900" w:h="16838" w:orient="portrait"/>
          <w:cols w:equalWidth="0" w:num="1">
            <w:col w:w="11240"/>
          </w:cols>
          <w:pgMar w:left="320" w:top="1350" w:right="339" w:bottom="1440" w:gutter="0" w:footer="0" w:header="0"/>
        </w:sectPr>
      </w:pPr>
    </w:p>
    <w:bookmarkStart w:id="168" w:name="page169"/>
    <w:bookmarkEnd w:id="168"/>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Subordinated Indebtedness</w:t>
      </w:r>
      <w:r>
        <w:rPr>
          <w:rFonts w:ascii="Times New Roman" w:cs="Times New Roman" w:eastAsia="Times New Roman" w:hAnsi="Times New Roman"/>
          <w:sz w:val="19"/>
          <w:szCs w:val="19"/>
          <w:color w:val="auto"/>
        </w:rPr>
        <w:t>” means Indebtedness of a Loan Party subordinated to the Obligations or the Guarantee Obligations, as</w:t>
      </w:r>
    </w:p>
    <w:p>
      <w:pPr>
        <w:spacing w:after="0" w:line="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applicable, pursuant to subordination terms (including payment, lien and remedies subordination terms, as applicable) reasonably acceptable to the Administrative Agent.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means, as to any Person, a corporation, partnership, limited liability company or other entity of which shares of stock or</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w:t>
      </w:r>
    </w:p>
    <w:p>
      <w:pPr>
        <w:spacing w:after="0" w:line="215" w:lineRule="auto"/>
        <w:rPr>
          <w:sz w:val="20"/>
          <w:szCs w:val="20"/>
          <w:color w:val="auto"/>
        </w:rPr>
      </w:pPr>
      <w:r>
        <w:rPr>
          <w:rFonts w:ascii="Times New Roman" w:cs="Times New Roman" w:eastAsia="Times New Roman" w:hAnsi="Times New Roman"/>
          <w:sz w:val="19"/>
          <w:szCs w:val="19"/>
          <w:color w:val="auto"/>
        </w:rPr>
        <w:t>at the time owned, or the management of which is otherwise controlled, directly or indirectly through one or more intermediaries, or both, by such</w:t>
      </w:r>
    </w:p>
    <w:p>
      <w:pPr>
        <w:jc w:val="both"/>
        <w:spacing w:after="0" w:line="225" w:lineRule="auto"/>
        <w:rPr>
          <w:sz w:val="20"/>
          <w:szCs w:val="20"/>
          <w:color w:val="auto"/>
        </w:rPr>
      </w:pPr>
      <w:r>
        <w:rPr>
          <w:rFonts w:ascii="Times New Roman" w:cs="Times New Roman" w:eastAsia="Times New Roman" w:hAnsi="Times New Roman"/>
          <w:sz w:val="19"/>
          <w:szCs w:val="19"/>
          <w:color w:val="auto"/>
        </w:rPr>
        <w:t>Person. Unless otherwise qualified, all references to a “</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or to “</w:t>
      </w:r>
      <w:r>
        <w:rPr>
          <w:rFonts w:ascii="Times New Roman" w:cs="Times New Roman" w:eastAsia="Times New Roman" w:hAnsi="Times New Roman"/>
          <w:sz w:val="19"/>
          <w:szCs w:val="19"/>
          <w:b w:val="1"/>
          <w:bCs w:val="1"/>
          <w:i w:val="1"/>
          <w:iCs w:val="1"/>
          <w:color w:val="auto"/>
        </w:rPr>
        <w:t>Subsidiaries</w:t>
      </w:r>
      <w:r>
        <w:rPr>
          <w:rFonts w:ascii="Times New Roman" w:cs="Times New Roman" w:eastAsia="Times New Roman" w:hAnsi="Times New Roman"/>
          <w:sz w:val="19"/>
          <w:szCs w:val="19"/>
          <w:color w:val="auto"/>
        </w:rPr>
        <w:t>” in this Agreement shall refer to a Subsidiary or Subsidiaries of Holdings.</w:t>
      </w:r>
    </w:p>
    <w:p>
      <w:pPr>
        <w:spacing w:after="0" w:line="150"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 Guarantor</w:t>
      </w:r>
      <w:r>
        <w:rPr>
          <w:rFonts w:ascii="Times New Roman" w:cs="Times New Roman" w:eastAsia="Times New Roman" w:hAnsi="Times New Roman"/>
          <w:sz w:val="19"/>
          <w:szCs w:val="19"/>
          <w:color w:val="auto"/>
        </w:rPr>
        <w:t xml:space="preserve">” means each Material Domestic Subsidiary of the Borrower which has become a Guarantor pursuant to the requirements of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hereof and the Guarantee and Collateral Agreement.</w:t>
      </w:r>
    </w:p>
    <w:p>
      <w:pPr>
        <w:spacing w:after="0" w:line="125" w:lineRule="exact"/>
        <w:rPr>
          <w:sz w:val="20"/>
          <w:szCs w:val="20"/>
          <w:color w:val="auto"/>
        </w:rPr>
      </w:pPr>
    </w:p>
    <w:p>
      <w:pPr>
        <w:jc w:val="both"/>
        <w:ind w:firstLine="625"/>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Surety Indebtedness</w:t>
      </w:r>
      <w:r>
        <w:rPr>
          <w:rFonts w:ascii="Times New Roman" w:cs="Times New Roman" w:eastAsia="Times New Roman" w:hAnsi="Times New Roman"/>
          <w:sz w:val="19"/>
          <w:szCs w:val="19"/>
          <w:color w:val="auto"/>
        </w:rPr>
        <w:t>” means, as of any date of determination, indebtedness (contingent or otherwise) owing to sureties arising from surety bonds issued on behalf of any Loan Party or its respective Subsidiaries as support for, among other things, their contracts with customers, whether such indebtedness is owing directly or indirectly by such Loan Party or any such Subsidiary.</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SVB</w:t>
      </w:r>
      <w:r>
        <w:rPr>
          <w:rFonts w:ascii="Times New Roman" w:cs="Times New Roman" w:eastAsia="Times New Roman" w:hAnsi="Times New Roman"/>
          <w:sz w:val="19"/>
          <w:szCs w:val="19"/>
          <w:color w:val="auto"/>
        </w:rPr>
        <w:t>” has the meaning set forth in the preamble hereto.</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Swap Agreement</w:t>
      </w:r>
      <w:r>
        <w:rPr>
          <w:rFonts w:ascii="Times New Roman" w:cs="Times New Roman" w:eastAsia="Times New Roman" w:hAnsi="Times New Roman"/>
          <w:sz w:val="19"/>
          <w:szCs w:val="19"/>
          <w:color w:val="auto"/>
        </w:rPr>
        <w:t>” means any agreement with respect to any swap, hedge, forward, future or derivative transaction or option or similar</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agreement (including without limitation, any Interest Rate Agreement) involving, or settled by reference to, one or more rates, currencies, commodities, equity or debt instruments or securities, or economic, financial or pricing indices or measures of economic, financial or pricing risk</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or value or any similar transaction or any combination of these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phantom stock or similar plan providing for payments only on account of services provided by current or former directors, officers, employees or consultants of Holdings and its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shall be deemed to be a “Swap Agreement”.</w:t>
      </w:r>
    </w:p>
    <w:p>
      <w:pPr>
        <w:spacing w:after="0" w:line="159" w:lineRule="exact"/>
        <w:rPr>
          <w:sz w:val="20"/>
          <w:szCs w:val="20"/>
          <w:color w:val="auto"/>
        </w:rPr>
      </w:pPr>
    </w:p>
    <w:p>
      <w:pPr>
        <w:jc w:val="both"/>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Swap Obligation</w:t>
      </w:r>
      <w:r>
        <w:rPr>
          <w:rFonts w:ascii="Times New Roman" w:cs="Times New Roman" w:eastAsia="Times New Roman" w:hAnsi="Times New Roman"/>
          <w:sz w:val="19"/>
          <w:szCs w:val="19"/>
          <w:color w:val="auto"/>
        </w:rPr>
        <w:t>” means, with respect to any Guarantor, any obligation of such Guarantor to pay or perform under any agreement, contract or transaction that constitutes a “swap” within the meaning of Section 1a(47) of the Commodity Exchange Act.</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Swap Termination Value</w:t>
      </w:r>
      <w:r>
        <w:rPr>
          <w:rFonts w:ascii="Times New Roman" w:cs="Times New Roman" w:eastAsia="Times New Roman" w:hAnsi="Times New Roman"/>
          <w:sz w:val="19"/>
          <w:szCs w:val="19"/>
          <w:color w:val="auto"/>
        </w:rPr>
        <w:t>” means, in respect of any one or more Swap Agreements, after taking into account the effect of any legally</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enforceable netting agreement relating to such Swap Agreements, (a) for any date on or after the date any such Swap Agreement has been closed out and termination value determined in accordance therewith, such termination value, and (b) for any date prior to the date referenced in</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the amount determined as the mark-to-market value for such Swap Agreement, as determined based upon one or more mid-market or other readily available quotations provided by any recognized dealer in such Swap Agreements (which may include a Qualified Counterparty).</w:t>
      </w:r>
    </w:p>
    <w:p>
      <w:pPr>
        <w:spacing w:after="0" w:line="138"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Swingline Commitment</w:t>
      </w:r>
      <w:r>
        <w:rPr>
          <w:rFonts w:ascii="Times New Roman" w:cs="Times New Roman" w:eastAsia="Times New Roman" w:hAnsi="Times New Roman"/>
          <w:sz w:val="19"/>
          <w:szCs w:val="19"/>
          <w:color w:val="auto"/>
        </w:rPr>
        <w:t xml:space="preserve">” means the obligation of the Swingline Lender to make Swingline Loans pursuant to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xml:space="preserve"> in an aggregate principal amount at any one time outstanding not to exceed $1,000,000.</w:t>
      </w:r>
    </w:p>
    <w:p>
      <w:pPr>
        <w:spacing w:after="0" w:line="138" w:lineRule="exact"/>
        <w:rPr>
          <w:sz w:val="20"/>
          <w:szCs w:val="20"/>
          <w:color w:val="auto"/>
        </w:rPr>
      </w:pPr>
    </w:p>
    <w:p>
      <w:pPr>
        <w:jc w:val="both"/>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Swingline Lender</w:t>
      </w:r>
      <w:r>
        <w:rPr>
          <w:rFonts w:ascii="Times New Roman" w:cs="Times New Roman" w:eastAsia="Times New Roman" w:hAnsi="Times New Roman"/>
          <w:sz w:val="19"/>
          <w:szCs w:val="19"/>
          <w:color w:val="auto"/>
        </w:rPr>
        <w:t xml:space="preserve">” means SVB, in its capacity as the lender of Swingline Loans or such other Lender as the Borrower may from time to time select as the Swingline Lender hereunder pursuant to </w:t>
      </w:r>
      <w:r>
        <w:rPr>
          <w:rFonts w:ascii="Times New Roman" w:cs="Times New Roman" w:eastAsia="Times New Roman" w:hAnsi="Times New Roman"/>
          <w:sz w:val="19"/>
          <w:szCs w:val="19"/>
          <w:u w:val="single" w:color="auto"/>
          <w:color w:val="auto"/>
        </w:rPr>
        <w:t>Section 2.7(f)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has agreed to be a Swingline Lender.</w:t>
      </w:r>
    </w:p>
    <w:p>
      <w:pPr>
        <w:spacing w:after="0" w:line="151"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Swingline Loan Note</w:t>
      </w:r>
      <w:r>
        <w:rPr>
          <w:rFonts w:ascii="Times New Roman" w:cs="Times New Roman" w:eastAsia="Times New Roman" w:hAnsi="Times New Roman"/>
          <w:sz w:val="19"/>
          <w:szCs w:val="19"/>
          <w:color w:val="auto"/>
        </w:rPr>
        <w:t xml:space="preserve">” means a promissory note in the form of </w:t>
      </w:r>
      <w:r>
        <w:rPr>
          <w:rFonts w:ascii="Times New Roman" w:cs="Times New Roman" w:eastAsia="Times New Roman" w:hAnsi="Times New Roman"/>
          <w:sz w:val="19"/>
          <w:szCs w:val="19"/>
          <w:u w:val="single" w:color="auto"/>
          <w:color w:val="auto"/>
        </w:rPr>
        <w:t>Exhibit H-2</w:t>
      </w:r>
      <w:r>
        <w:rPr>
          <w:rFonts w:ascii="Times New Roman" w:cs="Times New Roman" w:eastAsia="Times New Roman" w:hAnsi="Times New Roman"/>
          <w:sz w:val="19"/>
          <w:szCs w:val="19"/>
          <w:color w:val="auto"/>
        </w:rPr>
        <w:t>, as it may be amended, supplemented or otherwise modified from time to time.</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Swingline Loans</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1900" w:h="16838" w:orient="portrait"/>
          <w:cols w:equalWidth="0" w:num="1">
            <w:col w:w="11240"/>
          </w:cols>
          <w:pgMar w:left="320" w:top="1350" w:right="339" w:bottom="1440" w:gutter="0" w:footer="0" w:header="0"/>
        </w:sectPr>
      </w:pPr>
    </w:p>
    <w:bookmarkStart w:id="169" w:name="page170"/>
    <w:bookmarkEnd w:id="169"/>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Swingline Participation Amount</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2.7(c)</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Synthetic Lease Obligation</w:t>
      </w:r>
      <w:r>
        <w:rPr>
          <w:rFonts w:ascii="Times New Roman" w:cs="Times New Roman" w:eastAsia="Times New Roman" w:hAnsi="Times New Roman"/>
          <w:sz w:val="19"/>
          <w:szCs w:val="19"/>
          <w:color w:val="auto"/>
        </w:rPr>
        <w:t>” means the monetary obligation of a Person under (a) a so-called synthetic, off-balance sheet or tax retention lease or (b) an agreement for the use of property creating obligations that do not appear on the balance sheet of such Person but which, upon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insolvency or bankruptcy of such Person, would be characterized as the indebtedness of such Person (without regard to accounting treatment).</w:t>
      </w:r>
    </w:p>
    <w:p>
      <w:pPr>
        <w:spacing w:after="0" w:line="159"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Taxes</w:t>
      </w:r>
      <w:r>
        <w:rPr>
          <w:rFonts w:ascii="Times New Roman" w:cs="Times New Roman" w:eastAsia="Times New Roman" w:hAnsi="Times New Roman"/>
          <w:sz w:val="19"/>
          <w:szCs w:val="19"/>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Commitment</w:t>
      </w:r>
      <w:r>
        <w:rPr>
          <w:rFonts w:ascii="Times New Roman" w:cs="Times New Roman" w:eastAsia="Times New Roman" w:hAnsi="Times New Roman"/>
          <w:sz w:val="19"/>
          <w:szCs w:val="19"/>
          <w:color w:val="auto"/>
        </w:rPr>
        <w:t>” means, as to any Lender, the obligation of such Lender, if any, to make a Term Loan to the Borrower in an aggregate</w:t>
      </w:r>
    </w:p>
    <w:p>
      <w:pPr>
        <w:spacing w:after="0" w:line="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 xml:space="preserve">principal amount not to exceed the amount set forth under the heading “Term Commitment” opposite such Lender’s name on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 The original aggregate amount of the Term Commitments is $85,000,000.</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Facility</w:t>
      </w:r>
      <w:r>
        <w:rPr>
          <w:rFonts w:ascii="Times New Roman" w:cs="Times New Roman" w:eastAsia="Times New Roman" w:hAnsi="Times New Roman"/>
          <w:sz w:val="19"/>
          <w:szCs w:val="19"/>
          <w:color w:val="auto"/>
        </w:rPr>
        <w:t>” means the Term Commitments and the Term Loans made thereunder.</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Lender</w:t>
      </w:r>
      <w:r>
        <w:rPr>
          <w:rFonts w:ascii="Times New Roman" w:cs="Times New Roman" w:eastAsia="Times New Roman" w:hAnsi="Times New Roman"/>
          <w:sz w:val="19"/>
          <w:szCs w:val="19"/>
          <w:color w:val="auto"/>
        </w:rPr>
        <w:t>” means each Lender that has a Term Commitment or that holds a Term Loan.</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Loan</w:t>
      </w:r>
      <w:r>
        <w:rPr>
          <w:rFonts w:ascii="Times New Roman" w:cs="Times New Roman" w:eastAsia="Times New Roman" w:hAnsi="Times New Roman"/>
          <w:sz w:val="19"/>
          <w:szCs w:val="19"/>
          <w:color w:val="auto"/>
        </w:rPr>
        <w:t xml:space="preserve">” means the term loans made by the Lenders pursuant to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Loan Funding Office</w:t>
      </w:r>
      <w:r>
        <w:rPr>
          <w:rFonts w:ascii="Times New Roman" w:cs="Times New Roman" w:eastAsia="Times New Roman" w:hAnsi="Times New Roman"/>
          <w:sz w:val="19"/>
          <w:szCs w:val="19"/>
          <w:color w:val="auto"/>
        </w:rPr>
        <w:t xml:space="preserve">” means the office of the Administrative Agent specified in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or such other office as may be specified from time to time by the Administrative Agent as its funding office by written notice to the Borrower and the Lenders.</w:t>
      </w:r>
    </w:p>
    <w:p>
      <w:pPr>
        <w:spacing w:after="0" w:line="125"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Loan Note</w:t>
      </w:r>
      <w:r>
        <w:rPr>
          <w:rFonts w:ascii="Times New Roman" w:cs="Times New Roman" w:eastAsia="Times New Roman" w:hAnsi="Times New Roman"/>
          <w:sz w:val="19"/>
          <w:szCs w:val="19"/>
          <w:color w:val="auto"/>
        </w:rPr>
        <w:t xml:space="preserve">” means a promissory note in the form of </w:t>
      </w:r>
      <w:r>
        <w:rPr>
          <w:rFonts w:ascii="Times New Roman" w:cs="Times New Roman" w:eastAsia="Times New Roman" w:hAnsi="Times New Roman"/>
          <w:sz w:val="19"/>
          <w:szCs w:val="19"/>
          <w:u w:val="single" w:color="auto"/>
          <w:color w:val="auto"/>
        </w:rPr>
        <w:t>Exhibit H-3</w:t>
      </w:r>
      <w:r>
        <w:rPr>
          <w:rFonts w:ascii="Times New Roman" w:cs="Times New Roman" w:eastAsia="Times New Roman" w:hAnsi="Times New Roman"/>
          <w:sz w:val="19"/>
          <w:szCs w:val="19"/>
          <w:color w:val="auto"/>
        </w:rPr>
        <w:t>, as it may be amended, supplemented or otherwise modified from time to time.</w:t>
      </w:r>
    </w:p>
    <w:p>
      <w:pPr>
        <w:spacing w:after="0" w:line="138"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Percentage</w:t>
      </w:r>
      <w:r>
        <w:rPr>
          <w:rFonts w:ascii="Times New Roman" w:cs="Times New Roman" w:eastAsia="Times New Roman" w:hAnsi="Times New Roman"/>
          <w:sz w:val="19"/>
          <w:szCs w:val="19"/>
          <w:color w:val="auto"/>
        </w:rPr>
        <w:t>” means, as to any Term Lender at any time, the percentage which such Lender’s Term Commitment then constitutes of the aggregate Term Commitments (or, at any time after the Closing Date, the percentage which the aggregate principal amount of such Lender’s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Term Loans then outstanding constitutes of the aggregate principal amount of the Term Loans then outstanding).</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w:t>
      </w:r>
      <w:r>
        <w:rPr>
          <w:rFonts w:ascii="Times New Roman" w:cs="Times New Roman" w:eastAsia="Times New Roman" w:hAnsi="Times New Roman"/>
          <w:sz w:val="19"/>
          <w:szCs w:val="19"/>
          <w:color w:val="auto"/>
        </w:rPr>
        <w:t>” means:</w:t>
      </w:r>
    </w:p>
    <w:p>
      <w:pPr>
        <w:spacing w:after="0" w:line="189" w:lineRule="exact"/>
        <w:rPr>
          <w:sz w:val="20"/>
          <w:szCs w:val="20"/>
          <w:color w:val="auto"/>
        </w:rPr>
      </w:pPr>
    </w:p>
    <w:p>
      <w:pPr>
        <w:jc w:val="both"/>
        <w:ind w:firstLine="1254"/>
        <w:spacing w:after="0" w:line="216" w:lineRule="auto"/>
        <w:tabs>
          <w:tab w:leader="none" w:pos="1866"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9"/>
          <w:szCs w:val="19"/>
          <w:b w:val="1"/>
          <w:bCs w:val="1"/>
          <w:i w:val="1"/>
          <w:iCs w:val="1"/>
          <w:color w:val="auto"/>
        </w:rPr>
        <w:t>Periodic Term SOFR Determination Day</w:t>
      </w:r>
      <w:r>
        <w:rPr>
          <w:rFonts w:ascii="Times New Roman" w:cs="Times New Roman" w:eastAsia="Times New Roman" w:hAnsi="Times New Roman"/>
          <w:sz w:val="19"/>
          <w:szCs w:val="19"/>
          <w:color w:val="auto"/>
        </w:rPr>
        <w:t xml:space="preserve">”) that is two U.S. Government Securities Business Days prior to the first day of such Interest Period,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 and</w:t>
      </w:r>
    </w:p>
    <w:p>
      <w:pPr>
        <w:spacing w:after="0" w:line="157"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71"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an ABR Loan on any day, the Term SOFR Reference Rate for a tenor of one month on the day (such day, the “</w:t>
      </w:r>
      <w:r>
        <w:rPr>
          <w:rFonts w:ascii="Times New Roman" w:cs="Times New Roman" w:eastAsia="Times New Roman" w:hAnsi="Times New Roman"/>
          <w:sz w:val="19"/>
          <w:szCs w:val="19"/>
          <w:b w:val="1"/>
          <w:bCs w:val="1"/>
          <w:i w:val="1"/>
          <w:iCs w:val="1"/>
          <w:color w:val="auto"/>
        </w:rPr>
        <w:t>ABR Term SOFR Determination Day</w:t>
      </w:r>
      <w:r>
        <w:rPr>
          <w:rFonts w:ascii="Times New Roman" w:cs="Times New Roman" w:eastAsia="Times New Roman" w:hAnsi="Times New Roman"/>
          <w:sz w:val="19"/>
          <w:szCs w:val="19"/>
          <w:color w:val="auto"/>
        </w:rPr>
        <w:t xml:space="preserve">”) that is two U.S. Government Securities Business Days prior to such day, as such rate is published by the Term SOFR Administrator;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1900" w:h="16838" w:orient="portrait"/>
          <w:cols w:equalWidth="0" w:num="1">
            <w:col w:w="11240"/>
          </w:cols>
          <w:pgMar w:left="320" w:top="1350"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9"/>
          <w:szCs w:val="19"/>
          <w:color w:val="auto"/>
        </w:rPr>
        <w:t>for such tenor as published by the Term SOFR Administrator on the first preceding U.S. Government Securities Business Day for which such</w:t>
      </w:r>
    </w:p>
    <w:p>
      <w:pPr>
        <w:spacing w:after="0" w:line="225" w:lineRule="auto"/>
        <w:rPr>
          <w:sz w:val="20"/>
          <w:szCs w:val="20"/>
          <w:color w:val="auto"/>
        </w:rPr>
      </w:pPr>
      <w:r>
        <w:rPr>
          <w:rFonts w:ascii="Times New Roman" w:cs="Times New Roman" w:eastAsia="Times New Roman" w:hAnsi="Times New Roman"/>
          <w:sz w:val="19"/>
          <w:szCs w:val="19"/>
          <w:color w:val="auto"/>
        </w:rPr>
        <w:t>Term SOFR Reference Rate for such tenor was published by the Term SOFR Administrator so long as such first preceding U.S. Government Securities Business Day is not more than three U.S. Government Securities Business Days prior to such ABR Term SOFR Determination Day;</w:t>
      </w:r>
    </w:p>
    <w:p>
      <w:pPr>
        <w:spacing w:after="0" w:line="167" w:lineRule="exact"/>
        <w:rPr>
          <w:sz w:val="20"/>
          <w:szCs w:val="20"/>
          <w:color w:val="auto"/>
        </w:rPr>
      </w:pPr>
    </w:p>
    <w:p>
      <w:pPr>
        <w:ind w:firstLine="629"/>
        <w:spacing w:after="0" w:line="292" w:lineRule="auto"/>
        <w:tabs>
          <w:tab w:leader="none" w:pos="123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Term SOFR as so determined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shall ever be less than the Floor, then Term SOFR shall be deemed to be the Floor.</w:t>
      </w:r>
    </w:p>
    <w:p>
      <w:pPr>
        <w:spacing w:after="0" w:line="116"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Administrator</w:t>
      </w:r>
      <w:r>
        <w:rPr>
          <w:rFonts w:ascii="Times New Roman" w:cs="Times New Roman" w:eastAsia="Times New Roman" w:hAnsi="Times New Roman"/>
          <w:sz w:val="19"/>
          <w:szCs w:val="19"/>
          <w:color w:val="auto"/>
        </w:rPr>
        <w:t>” means the CME Group Benchmark Administration Limited (CBA) (or a successor administrator of the Term SOFR Reference Rate selected by the Administrative Agent in its reasonable discretion).</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Reference Rate</w:t>
      </w:r>
      <w:r>
        <w:rPr>
          <w:rFonts w:ascii="Times New Roman" w:cs="Times New Roman" w:eastAsia="Times New Roman" w:hAnsi="Times New Roman"/>
          <w:sz w:val="19"/>
          <w:szCs w:val="19"/>
          <w:color w:val="auto"/>
        </w:rPr>
        <w:t>” means the forward-looking term rate based on SOFR.</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Test Period</w:t>
      </w:r>
      <w:r>
        <w:rPr>
          <w:rFonts w:ascii="Times New Roman" w:cs="Times New Roman" w:eastAsia="Times New Roman" w:hAnsi="Times New Roman"/>
          <w:sz w:val="19"/>
          <w:szCs w:val="19"/>
          <w:color w:val="auto"/>
        </w:rPr>
        <w:t>” means, as of any date, the period of four consecutive Fiscal Quarters then most recently ended for which financial</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statements required to be delivered pursuant to </w:t>
      </w:r>
      <w:r>
        <w:rPr>
          <w:rFonts w:ascii="Times New Roman" w:cs="Times New Roman" w:eastAsia="Times New Roman" w:hAnsi="Times New Roman"/>
          <w:sz w:val="19"/>
          <w:szCs w:val="19"/>
          <w:u w:val="single" w:color="auto"/>
          <w:color w:val="auto"/>
        </w:rPr>
        <w:t>Section 6.1(a)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as applicable, have been delivered (or are required to have been delivered); provided, that at all times prior to the first delivery of financial statements pursuant to </w:t>
      </w:r>
      <w:r>
        <w:rPr>
          <w:rFonts w:ascii="Times New Roman" w:cs="Times New Roman" w:eastAsia="Times New Roman" w:hAnsi="Times New Roman"/>
          <w:sz w:val="19"/>
          <w:szCs w:val="19"/>
          <w:u w:val="single" w:color="auto"/>
          <w:color w:val="auto"/>
        </w:rPr>
        <w:t>Section 6.1(a)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Test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shall refer to the period of four consecutive Fiscal Quarters most recently ended for which financial statements for the Borrower are available.</w:t>
      </w:r>
    </w:p>
    <w:p>
      <w:pPr>
        <w:spacing w:after="0" w:line="159" w:lineRule="exact"/>
        <w:rPr>
          <w:sz w:val="20"/>
          <w:szCs w:val="20"/>
          <w:color w:val="auto"/>
        </w:rPr>
      </w:pPr>
    </w:p>
    <w:p>
      <w:pPr>
        <w:ind w:firstLine="625"/>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Third Amendment</w:t>
      </w:r>
      <w:r>
        <w:rPr>
          <w:rFonts w:ascii="Times New Roman" w:cs="Times New Roman" w:eastAsia="Times New Roman" w:hAnsi="Times New Roman"/>
          <w:sz w:val="19"/>
          <w:szCs w:val="19"/>
          <w:color w:val="auto"/>
        </w:rPr>
        <w:t>” means that certain Third Amendment to Credit Agreement, dated as of March 12, 2025, by and among Holdings, Intermediate Holdings, the Borrower, Lenders party thereto and the Administrative Agent.</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Third Amendment Effective Date</w:t>
      </w:r>
      <w:r>
        <w:rPr>
          <w:rFonts w:ascii="Times New Roman" w:cs="Times New Roman" w:eastAsia="Times New Roman" w:hAnsi="Times New Roman"/>
          <w:sz w:val="19"/>
          <w:szCs w:val="19"/>
          <w:color w:val="auto"/>
        </w:rPr>
        <w:t>” has the meaning assigned to such term in the Third Amendment.</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Third Amendment Transactions</w:t>
      </w:r>
      <w:r>
        <w:rPr>
          <w:rFonts w:ascii="Times New Roman" w:cs="Times New Roman" w:eastAsia="Times New Roman" w:hAnsi="Times New Roman"/>
          <w:sz w:val="19"/>
          <w:szCs w:val="19"/>
          <w:color w:val="auto"/>
        </w:rPr>
        <w:t>” has the meaning assigned to such term in the Third Amendment.</w:t>
      </w:r>
    </w:p>
    <w:p>
      <w:pPr>
        <w:spacing w:after="0" w:line="211" w:lineRule="exact"/>
        <w:rPr>
          <w:sz w:val="20"/>
          <w:szCs w:val="20"/>
          <w:color w:val="auto"/>
        </w:rPr>
      </w:pPr>
    </w:p>
    <w:p>
      <w:pPr>
        <w:ind w:firstLine="625"/>
        <w:spacing w:after="0" w:line="29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Third Amendment Updated Lender Model</w:t>
      </w:r>
      <w:r>
        <w:rPr>
          <w:rFonts w:ascii="Times New Roman" w:cs="Times New Roman" w:eastAsia="Times New Roman" w:hAnsi="Times New Roman"/>
          <w:sz w:val="19"/>
          <w:szCs w:val="19"/>
          <w:color w:val="auto"/>
        </w:rPr>
        <w:t>” means the model titled “2025 Budget Model” received by the Administrative Agent on February 11, 2025.</w:t>
      </w:r>
    </w:p>
    <w:p>
      <w:pPr>
        <w:spacing w:after="0" w:line="112"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Third Party Payor</w:t>
      </w:r>
      <w:r>
        <w:rPr>
          <w:rFonts w:ascii="Times New Roman" w:cs="Times New Roman" w:eastAsia="Times New Roman" w:hAnsi="Times New Roman"/>
          <w:sz w:val="19"/>
          <w:szCs w:val="19"/>
          <w:color w:val="auto"/>
        </w:rPr>
        <w:t>” means Medicare, Medicaid, TRICARE, state government insurers, private insurers (including Blue Cross and/or Blue Shield) and any other person or entity which presently or in the future maintains Third Party Payor Programs.</w:t>
      </w:r>
    </w:p>
    <w:p>
      <w:pPr>
        <w:spacing w:after="0" w:line="138" w:lineRule="exact"/>
        <w:rPr>
          <w:sz w:val="20"/>
          <w:szCs w:val="20"/>
          <w:color w:val="auto"/>
        </w:rPr>
      </w:pPr>
    </w:p>
    <w:p>
      <w:pPr>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Third Party Payor Programs</w:t>
      </w:r>
      <w:r>
        <w:rPr>
          <w:rFonts w:ascii="Times New Roman" w:cs="Times New Roman" w:eastAsia="Times New Roman" w:hAnsi="Times New Roman"/>
          <w:sz w:val="19"/>
          <w:szCs w:val="19"/>
          <w:color w:val="auto"/>
        </w:rPr>
        <w:t>” means all third party payor programs in which any Loan Party or any PC Entity participates or is enrolled (including, without limitation, Medicare, Medicaid, TRICARE, CHAMPUS, CHAMPVA or any other federal or state health care programs, as</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well as private insurers (including Blue Cross and/or Blue Shield), managed care plans, or any other Third Party Payor that reimburses for health care items or services).</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Threshold Amount</w:t>
      </w:r>
      <w:r>
        <w:rPr>
          <w:rFonts w:ascii="Times New Roman" w:cs="Times New Roman" w:eastAsia="Times New Roman" w:hAnsi="Times New Roman"/>
          <w:sz w:val="19"/>
          <w:szCs w:val="19"/>
          <w:color w:val="auto"/>
        </w:rPr>
        <w:t>” means $1,000,000.</w:t>
      </w:r>
    </w:p>
    <w:p>
      <w:pPr>
        <w:spacing w:after="0" w:line="185"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Credit Exposure</w:t>
      </w:r>
      <w:r>
        <w:rPr>
          <w:rFonts w:ascii="Times New Roman" w:cs="Times New Roman" w:eastAsia="Times New Roman" w:hAnsi="Times New Roman"/>
          <w:sz w:val="19"/>
          <w:szCs w:val="19"/>
          <w:color w:val="auto"/>
        </w:rPr>
        <w:t>” means, as to any Lender at any time, the unused Commitments, Revolving Extensions of Credit and outstanding Term Loans of such Lender at such time.</w:t>
      </w:r>
    </w:p>
    <w:p>
      <w:pPr>
        <w:spacing w:after="0" w:line="125" w:lineRule="exact"/>
        <w:rPr>
          <w:sz w:val="20"/>
          <w:szCs w:val="20"/>
          <w:color w:val="auto"/>
        </w:rPr>
      </w:pPr>
    </w:p>
    <w:p>
      <w:pPr>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L/C Commitments</w:t>
      </w:r>
      <w:r>
        <w:rPr>
          <w:rFonts w:ascii="Times New Roman" w:cs="Times New Roman" w:eastAsia="Times New Roman" w:hAnsi="Times New Roman"/>
          <w:sz w:val="19"/>
          <w:szCs w:val="19"/>
          <w:color w:val="auto"/>
        </w:rPr>
        <w:t xml:space="preserve">” means, at any time, the sum of all L/C Commitments at such time, as the same may be reduced from time to time pursuant to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3.5(b)</w:t>
      </w:r>
      <w:r>
        <w:rPr>
          <w:rFonts w:ascii="Times New Roman" w:cs="Times New Roman" w:eastAsia="Times New Roman" w:hAnsi="Times New Roman"/>
          <w:sz w:val="19"/>
          <w:szCs w:val="19"/>
          <w:color w:val="auto"/>
        </w:rPr>
        <w:t>. The initial amount of the Total L/C Commitments on the Closing Date is $2,000,000.</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Revolving Commitments</w:t>
      </w:r>
      <w:r>
        <w:rPr>
          <w:rFonts w:ascii="Times New Roman" w:cs="Times New Roman" w:eastAsia="Times New Roman" w:hAnsi="Times New Roman"/>
          <w:sz w:val="19"/>
          <w:szCs w:val="19"/>
          <w:color w:val="auto"/>
        </w:rPr>
        <w:t>” means, at any time, the aggregate amount of the Revolving Commitments then in effect.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1900" w:h="16838" w:orient="portrait"/>
          <w:cols w:equalWidth="0" w:num="1">
            <w:col w:w="11240"/>
          </w:cols>
          <w:pgMar w:left="320" w:top="1353" w:right="339" w:bottom="1440" w:gutter="0" w:footer="0" w:header="0"/>
        </w:sectPr>
      </w:pPr>
    </w:p>
    <w:bookmarkStart w:id="171" w:name="page172"/>
    <w:bookmarkEnd w:id="171"/>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Revolving Extensions of Credit</w:t>
      </w:r>
      <w:r>
        <w:rPr>
          <w:rFonts w:ascii="Times New Roman" w:cs="Times New Roman" w:eastAsia="Times New Roman" w:hAnsi="Times New Roman"/>
          <w:sz w:val="19"/>
          <w:szCs w:val="19"/>
          <w:color w:val="auto"/>
        </w:rPr>
        <w:t>” means, at any time, the aggregate amount of the Revolving Extensions of Credit outstanding at such time.</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Trade Date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10.6(b)(i)(B)</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Transactions</w:t>
      </w:r>
      <w:r>
        <w:rPr>
          <w:rFonts w:ascii="Times New Roman" w:cs="Times New Roman" w:eastAsia="Times New Roman" w:hAnsi="Times New Roman"/>
          <w:sz w:val="19"/>
          <w:szCs w:val="19"/>
          <w:color w:val="auto"/>
        </w:rPr>
        <w:t>” has the meaning set forth in the recitals hereto.</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Type</w:t>
      </w:r>
      <w:r>
        <w:rPr>
          <w:rFonts w:ascii="Times New Roman" w:cs="Times New Roman" w:eastAsia="Times New Roman" w:hAnsi="Times New Roman"/>
          <w:sz w:val="19"/>
          <w:szCs w:val="19"/>
          <w:color w:val="auto"/>
        </w:rPr>
        <w:t>” means as to any Loan, its nature as an ABR Loan or SOFR Loan.</w:t>
      </w:r>
    </w:p>
    <w:p>
      <w:pPr>
        <w:spacing w:after="0" w:line="172"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Unadjusted Benchmark Replacement</w:t>
      </w:r>
      <w:r>
        <w:rPr>
          <w:rFonts w:ascii="Times New Roman" w:cs="Times New Roman" w:eastAsia="Times New Roman" w:hAnsi="Times New Roman"/>
          <w:sz w:val="19"/>
          <w:szCs w:val="19"/>
          <w:color w:val="auto"/>
        </w:rPr>
        <w:t>” means the applicable Benchmark Replacement excluding the related Benchmark Replacement Adjustment.</w:t>
      </w:r>
    </w:p>
    <w:p>
      <w:pPr>
        <w:spacing w:after="0" w:line="138"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Unfriendly Acquisition</w:t>
      </w:r>
      <w:r>
        <w:rPr>
          <w:rFonts w:ascii="Times New Roman" w:cs="Times New Roman" w:eastAsia="Times New Roman" w:hAnsi="Times New Roman"/>
          <w:sz w:val="19"/>
          <w:szCs w:val="19"/>
          <w:color w:val="auto"/>
        </w:rPr>
        <w:t>” means any acquisition that has not, at the time of the first public announcement of an offer relating thereto, been approved by the board of directors (or other legally recognized governing body) of the Person to be acquired; except that with respect to any</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acquisition of a non-U.S. Person, an otherwise friendly acquisition shall not be deemed to be unfriendly if it is not customary in such jurisdiction to obtain such approval prior to the first public announcement of an offer relating to a friendly acquisition.</w:t>
      </w:r>
    </w:p>
    <w:p>
      <w:pPr>
        <w:spacing w:after="0" w:line="138" w:lineRule="exact"/>
        <w:rPr>
          <w:sz w:val="20"/>
          <w:szCs w:val="20"/>
          <w:color w:val="auto"/>
        </w:rPr>
      </w:pPr>
    </w:p>
    <w:p>
      <w:pPr>
        <w:jc w:val="both"/>
        <w:ind w:firstLine="625"/>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Uniform Commercial Code</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UCC</w:t>
      </w:r>
      <w:r>
        <w:rPr>
          <w:rFonts w:ascii="Times New Roman" w:cs="Times New Roman" w:eastAsia="Times New Roman" w:hAnsi="Times New Roman"/>
          <w:sz w:val="19"/>
          <w:szCs w:val="19"/>
          <w:color w:val="auto"/>
        </w:rPr>
        <w:t>” means the Uniform Commercial Code (or any similar or equivalent legislation) as in effect from time to time in the State of New York, or as the context may require, any other applicable jurisdiction.</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United States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U.S.</w:t>
      </w:r>
      <w:r>
        <w:rPr>
          <w:rFonts w:ascii="Times New Roman" w:cs="Times New Roman" w:eastAsia="Times New Roman" w:hAnsi="Times New Roman"/>
          <w:sz w:val="19"/>
          <w:szCs w:val="19"/>
          <w:color w:val="auto"/>
        </w:rPr>
        <w:t>” means the United States of America.</w:t>
      </w:r>
    </w:p>
    <w:p>
      <w:pPr>
        <w:spacing w:after="0" w:line="172" w:lineRule="exact"/>
        <w:rPr>
          <w:sz w:val="20"/>
          <w:szCs w:val="20"/>
          <w:color w:val="auto"/>
        </w:rPr>
      </w:pPr>
    </w:p>
    <w:p>
      <w:pPr>
        <w:jc w:val="both"/>
        <w:ind w:firstLine="625"/>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Unrestricted Cash</w:t>
      </w:r>
      <w:r>
        <w:rPr>
          <w:rFonts w:ascii="Times New Roman" w:cs="Times New Roman" w:eastAsia="Times New Roman" w:hAnsi="Times New Roman"/>
          <w:sz w:val="19"/>
          <w:szCs w:val="19"/>
          <w:color w:val="auto"/>
        </w:rPr>
        <w:t xml:space="preserve">” means the unrestricted cash and Cash Equivalents of the Loan Parties held at such time by Holdings and its Subsidiaries in Deposit Accounts or Securities Accounts subject to Control Agreements in favor of the Administrative Agent,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any Qualified Cash.</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USCRO</w:t>
      </w:r>
      <w:r>
        <w:rPr>
          <w:rFonts w:ascii="Times New Roman" w:cs="Times New Roman" w:eastAsia="Times New Roman" w:hAnsi="Times New Roman"/>
          <w:sz w:val="19"/>
          <w:szCs w:val="19"/>
          <w:color w:val="auto"/>
        </w:rPr>
        <w:t>” means the US Copyright Office.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USPTO</w:t>
      </w:r>
      <w:r>
        <w:rPr>
          <w:rFonts w:ascii="Times New Roman" w:cs="Times New Roman" w:eastAsia="Times New Roman" w:hAnsi="Times New Roman"/>
          <w:sz w:val="19"/>
          <w:szCs w:val="19"/>
          <w:color w:val="auto"/>
        </w:rPr>
        <w:t>” means the US Patent and Trademark Office.</w:t>
      </w:r>
    </w:p>
    <w:p>
      <w:pPr>
        <w:spacing w:after="0" w:line="172" w:lineRule="exact"/>
        <w:rPr>
          <w:sz w:val="20"/>
          <w:szCs w:val="20"/>
          <w:color w:val="auto"/>
        </w:rPr>
      </w:pPr>
    </w:p>
    <w:p>
      <w:pPr>
        <w:jc w:val="both"/>
        <w:ind w:firstLine="625"/>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Government Securities Business Day</w:t>
      </w:r>
      <w:r>
        <w:rPr>
          <w:rFonts w:ascii="Times New Roman" w:cs="Times New Roman" w:eastAsia="Times New Roman" w:hAnsi="Times New Roman"/>
          <w:sz w:val="19"/>
          <w:szCs w:val="19"/>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Person</w:t>
      </w:r>
      <w:r>
        <w:rPr>
          <w:rFonts w:ascii="Times New Roman" w:cs="Times New Roman" w:eastAsia="Times New Roman" w:hAnsi="Times New Roman"/>
          <w:sz w:val="19"/>
          <w:szCs w:val="19"/>
          <w:color w:val="auto"/>
        </w:rPr>
        <w:t>” means any Person that is a “United States Person” as defined in Section 7701(a)(30) of the Code.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Tax Compliance Certificate</w:t>
      </w:r>
      <w:r>
        <w:rPr>
          <w:rFonts w:ascii="Times New Roman" w:cs="Times New Roman" w:eastAsia="Times New Roman" w:hAnsi="Times New Roman"/>
          <w:sz w:val="19"/>
          <w:szCs w:val="19"/>
          <w:color w:val="auto"/>
        </w:rPr>
        <w:t xml:space="preserve">” has the meaning set forth in </w:t>
      </w:r>
      <w:r>
        <w:rPr>
          <w:rFonts w:ascii="Times New Roman" w:cs="Times New Roman" w:eastAsia="Times New Roman" w:hAnsi="Times New Roman"/>
          <w:sz w:val="19"/>
          <w:szCs w:val="19"/>
          <w:u w:val="single" w:color="auto"/>
          <w:color w:val="auto"/>
        </w:rPr>
        <w:t>Section 2.20(f)</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Voting Stock</w:t>
      </w:r>
      <w:r>
        <w:rPr>
          <w:rFonts w:ascii="Times New Roman" w:cs="Times New Roman" w:eastAsia="Times New Roman" w:hAnsi="Times New Roman"/>
          <w:sz w:val="19"/>
          <w:szCs w:val="19"/>
          <w:color w:val="auto"/>
        </w:rPr>
        <w:t>” means, as to any Person, the capital stock of any class or classes or other equity interests (however designated and including general partnership interests in a partnership) having ordinary voting power for the election of directors or similar governing body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Person.</w:t>
      </w:r>
    </w:p>
    <w:p>
      <w:pPr>
        <w:spacing w:after="0" w:line="159" w:lineRule="exact"/>
        <w:rPr>
          <w:sz w:val="20"/>
          <w:szCs w:val="20"/>
          <w:color w:val="auto"/>
        </w:rPr>
      </w:pPr>
    </w:p>
    <w:p>
      <w:pPr>
        <w:jc w:val="both"/>
        <w:ind w:firstLine="625"/>
        <w:spacing w:after="0" w:line="22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Weighted Average Life to Maturity</w:t>
      </w:r>
      <w:r>
        <w:rPr>
          <w:rFonts w:ascii="Times New Roman" w:cs="Times New Roman" w:eastAsia="Times New Roman" w:hAnsi="Times New Roman"/>
          <w:sz w:val="19"/>
          <w:szCs w:val="19"/>
          <w:color w:val="auto"/>
        </w:rPr>
        <w:t xml:space="preserve">” means, when applied to any Indebtedness at any date, the number of years obtained by </w:t>
      </w:r>
      <w:r>
        <w:rPr>
          <w:rFonts w:ascii="Times New Roman" w:cs="Times New Roman" w:eastAsia="Times New Roman" w:hAnsi="Times New Roman"/>
          <w:sz w:val="19"/>
          <w:szCs w:val="19"/>
          <w:u w:val="single" w:color="auto"/>
          <w:color w:val="auto"/>
        </w:rPr>
        <w:t>dividing</w:t>
      </w:r>
      <w:r>
        <w:rPr>
          <w:rFonts w:ascii="Times New Roman" w:cs="Times New Roman" w:eastAsia="Times New Roman" w:hAnsi="Times New Roman"/>
          <w:sz w:val="19"/>
          <w:szCs w:val="19"/>
          <w:color w:val="auto"/>
        </w:rPr>
        <w:t xml:space="preserve">: (a) the sum of the products obtained by </w:t>
      </w:r>
      <w:r>
        <w:rPr>
          <w:rFonts w:ascii="Times New Roman" w:cs="Times New Roman" w:eastAsia="Times New Roman" w:hAnsi="Times New Roman"/>
          <w:sz w:val="19"/>
          <w:szCs w:val="19"/>
          <w:u w:val="single" w:color="auto"/>
          <w:color w:val="auto"/>
        </w:rPr>
        <w:t>multiplying</w:t>
      </w:r>
      <w:r>
        <w:rPr>
          <w:rFonts w:ascii="Times New Roman" w:cs="Times New Roman" w:eastAsia="Times New Roman" w:hAnsi="Times New Roman"/>
          <w:sz w:val="19"/>
          <w:szCs w:val="19"/>
          <w:color w:val="auto"/>
        </w:rPr>
        <w:t xml:space="preserve"> (i) the amount of each then remaining installment, sinking fund, serial maturity or other required</w:t>
      </w:r>
    </w:p>
    <w:p>
      <w:pPr>
        <w:spacing w:after="0" w:line="216" w:lineRule="auto"/>
        <w:rPr>
          <w:sz w:val="20"/>
          <w:szCs w:val="20"/>
          <w:color w:val="auto"/>
        </w:rPr>
      </w:pPr>
      <w:r>
        <w:rPr>
          <w:rFonts w:ascii="Times New Roman" w:cs="Times New Roman" w:eastAsia="Times New Roman" w:hAnsi="Times New Roman"/>
          <w:sz w:val="19"/>
          <w:szCs w:val="19"/>
          <w:color w:val="auto"/>
        </w:rPr>
        <w:t>scheduled payments of principal, including payment at final maturity, in respect thereof, by (ii) the number of years (calculated to the nearest one-</w:t>
      </w:r>
    </w:p>
    <w:p>
      <w:pPr>
        <w:jc w:val="both"/>
        <w:spacing w:after="0" w:line="225" w:lineRule="auto"/>
        <w:rPr>
          <w:sz w:val="20"/>
          <w:szCs w:val="20"/>
          <w:color w:val="auto"/>
        </w:rPr>
      </w:pPr>
      <w:r>
        <w:rPr>
          <w:rFonts w:ascii="Times New Roman" w:cs="Times New Roman" w:eastAsia="Times New Roman" w:hAnsi="Times New Roman"/>
          <w:sz w:val="19"/>
          <w:szCs w:val="19"/>
          <w:color w:val="auto"/>
        </w:rPr>
        <w:t xml:space="preserve">twelfth) that will elapse between such date and the making of such payment; by (b) the then outstanding principal amount of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effects of any prepayment made in respect of such Indebtedness shall be disregarded in making such calculation.</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Withholding Agent</w:t>
      </w:r>
      <w:r>
        <w:rPr>
          <w:rFonts w:ascii="Times New Roman" w:cs="Times New Roman" w:eastAsia="Times New Roman" w:hAnsi="Times New Roman"/>
          <w:sz w:val="19"/>
          <w:szCs w:val="19"/>
          <w:color w:val="auto"/>
        </w:rPr>
        <w:t>” means, as applicable, any of any applicable Loan Party and the Administrative Agent,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1900" w:h="16838" w:orient="portrait"/>
          <w:cols w:equalWidth="0" w:num="1">
            <w:col w:w="11240"/>
          </w:cols>
          <w:pgMar w:left="320" w:top="1350" w:right="339" w:bottom="1440" w:gutter="0" w:footer="0" w:header="0"/>
        </w:sectPr>
      </w:pPr>
    </w:p>
    <w:bookmarkStart w:id="172" w:name="page173"/>
    <w:bookmarkEnd w:id="172"/>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Other Definitional Provisions.</w:t>
      </w:r>
    </w:p>
    <w:p>
      <w:pPr>
        <w:spacing w:after="0" w:line="187" w:lineRule="exact"/>
        <w:rPr>
          <w:sz w:val="20"/>
          <w:szCs w:val="20"/>
          <w:color w:val="auto"/>
        </w:rPr>
      </w:pPr>
    </w:p>
    <w:p>
      <w:pPr>
        <w:ind w:firstLine="1254"/>
        <w:spacing w:after="0" w:line="237" w:lineRule="auto"/>
        <w:tabs>
          <w:tab w:leader="none" w:pos="1866"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54"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3"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used herein and in the other Loan Documents, and any certificate or other document made or delivered pursuant hereto or thereto, (i) accounting terms relating to any Group Member not defined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and accounting terms partly defined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assets and Intangible Assets and properties, including cash, Capital Stock, securities, revenues, accounts, leasehold interests and contract rights, (v) references to a given time of day shall, unless otherwise specified, be deemed to refer to Pacific time, and (vi) references to agreements (including this Agreement) or other Contractual Obligations shall, unless otherwise specified, be deemed to refer to such agreements or Contractual Obligations as amended, supplemented, restated, amended and restated or otherwise modified from time to time.</w:t>
      </w:r>
    </w:p>
    <w:p>
      <w:pPr>
        <w:spacing w:after="0" w:line="152" w:lineRule="exact"/>
        <w:rPr>
          <w:rFonts w:ascii="Times New Roman" w:cs="Times New Roman" w:eastAsia="Times New Roman" w:hAnsi="Times New Roman"/>
          <w:sz w:val="19"/>
          <w:szCs w:val="19"/>
          <w:color w:val="auto"/>
        </w:rPr>
      </w:pPr>
    </w:p>
    <w:p>
      <w:pPr>
        <w:jc w:val="both"/>
        <w:ind w:firstLine="1254"/>
        <w:spacing w:after="0" w:line="220" w:lineRule="auto"/>
        <w:tabs>
          <w:tab w:leader="none" w:pos="1866"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words “</w:t>
      </w:r>
      <w:r>
        <w:rPr>
          <w:rFonts w:ascii="Times New Roman" w:cs="Times New Roman" w:eastAsia="Times New Roman" w:hAnsi="Times New Roman"/>
          <w:sz w:val="19"/>
          <w:szCs w:val="19"/>
          <w:b w:val="1"/>
          <w:bCs w:val="1"/>
          <w:i w:val="1"/>
          <w:iCs w:val="1"/>
          <w:color w:val="auto"/>
        </w:rPr>
        <w:t>hereof</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herein</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hereunder</w:t>
      </w:r>
      <w:r>
        <w:rPr>
          <w:rFonts w:ascii="Times New Roman" w:cs="Times New Roman" w:eastAsia="Times New Roman" w:hAnsi="Times New Roman"/>
          <w:sz w:val="19"/>
          <w:szCs w:val="19"/>
          <w:color w:val="auto"/>
        </w:rPr>
        <w:t>” and words of similar import, when used in this Agreement, shall refer to this Agreement as a whole and not to any particular provision of this Agreement.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unless otherwise specified, and (iii) any reference to any law or regulation herein shall, unless otherwise specified, refer to such law or regulation as amended, modified or supplemented from time to time.</w:t>
      </w:r>
    </w:p>
    <w:p>
      <w:pPr>
        <w:spacing w:after="0" w:line="143"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145"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6"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or entity)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spacing w:after="0" w:line="15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Rounding</w:t>
      </w:r>
      <w:r>
        <w:rPr>
          <w:rFonts w:ascii="Times New Roman" w:cs="Times New Roman" w:eastAsia="Times New Roman" w:hAnsi="Times New Roman"/>
          <w:sz w:val="19"/>
          <w:szCs w:val="19"/>
          <w:color w:val="auto"/>
        </w:rPr>
        <w:t>. Any financial ratios required to be maintained by the Borrower pursuant to this Agreement shall be calculated by</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Rates</w:t>
      </w:r>
      <w:r>
        <w:rPr>
          <w:rFonts w:ascii="Times New Roman" w:cs="Times New Roman" w:eastAsia="Times New Roman" w:hAnsi="Times New Roman"/>
          <w:sz w:val="19"/>
          <w:szCs w:val="19"/>
          <w:color w:val="auto"/>
        </w:rPr>
        <w:t>. The Administrative Agent does not warrant or accept responsibility for, and shall not have any liability with respect to, (a)</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the continuation of, administration of, submission of, calculation of or any other matter related to ABR, Term SOFR Reference Rate, Term SOFR or any component definition thereof or rates referred to in the definition thereof, or any alternative, successor or replacement rate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(including any Benchmark Replacement), including whether the composition or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1900" w:h="16838" w:orient="portrait"/>
          <w:cols w:equalWidth="0" w:num="1">
            <w:col w:w="11240"/>
          </w:cols>
          <w:pgMar w:left="320" w:top="1352"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9"/>
          <w:szCs w:val="19"/>
          <w:color w:val="auto"/>
        </w:rPr>
        <w:t>characteristics of any such alternative, successor or replacement rate (including any Benchmark Replacement) will be similar to, or produce the</w:t>
      </w:r>
    </w:p>
    <w:p>
      <w:pPr>
        <w:spacing w:after="0" w:line="207" w:lineRule="auto"/>
        <w:rPr>
          <w:sz w:val="20"/>
          <w:szCs w:val="20"/>
          <w:color w:val="auto"/>
        </w:rPr>
      </w:pPr>
      <w:r>
        <w:rPr>
          <w:rFonts w:ascii="Times New Roman" w:cs="Times New Roman" w:eastAsia="Times New Roman" w:hAnsi="Times New Roman"/>
          <w:sz w:val="19"/>
          <w:szCs w:val="19"/>
          <w:color w:val="auto"/>
        </w:rPr>
        <w:t>same value or economic equivalence of, or have the same volume or liquidity as, ABR, Term SOFR Reference Rate, Term SOFR or any other Benchmark prior to its discontinuance or unavailability, or (b) the effect, implementation or composition of any Conforming Changes. The</w:t>
      </w: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and its affiliates or other related entities may engage in transactions that affect the calculation of ABR, Term SOFR</w:t>
      </w:r>
    </w:p>
    <w:p>
      <w:pPr>
        <w:spacing w:after="0" w:line="207" w:lineRule="auto"/>
        <w:rPr>
          <w:sz w:val="20"/>
          <w:szCs w:val="20"/>
          <w:color w:val="auto"/>
        </w:rPr>
      </w:pPr>
      <w:r>
        <w:rPr>
          <w:rFonts w:ascii="Times New Roman" w:cs="Times New Roman" w:eastAsia="Times New Roman" w:hAnsi="Times New Roman"/>
          <w:sz w:val="19"/>
          <w:szCs w:val="19"/>
          <w:color w:val="auto"/>
        </w:rPr>
        <w:t>Reference Rate, Term SOFR, any alternative, successor or replacement rate (including any Benchmark Replacement) or any relevant adjustments thereto, in each case, in a manner adverse to the Borrower. The Administrative Agent may select information sources or services in its reasonable</w:t>
      </w:r>
    </w:p>
    <w:p>
      <w:pPr>
        <w:spacing w:after="0" w:line="215" w:lineRule="auto"/>
        <w:rPr>
          <w:sz w:val="20"/>
          <w:szCs w:val="20"/>
          <w:color w:val="auto"/>
        </w:rPr>
      </w:pPr>
      <w:r>
        <w:rPr>
          <w:rFonts w:ascii="Times New Roman" w:cs="Times New Roman" w:eastAsia="Times New Roman" w:hAnsi="Times New Roman"/>
          <w:sz w:val="19"/>
          <w:szCs w:val="19"/>
          <w:color w:val="auto"/>
        </w:rPr>
        <w:t>discretion to ascertain ABR, Term SOFR Reference Rate, Term SOFR or any other Benchmark, in each case, pursuant to the terms of this</w:t>
      </w:r>
    </w:p>
    <w:p>
      <w:pPr>
        <w:spacing w:after="0" w:line="207" w:lineRule="auto"/>
        <w:rPr>
          <w:sz w:val="20"/>
          <w:szCs w:val="20"/>
          <w:color w:val="auto"/>
        </w:rPr>
      </w:pPr>
      <w:r>
        <w:rPr>
          <w:rFonts w:ascii="Times New Roman" w:cs="Times New Roman" w:eastAsia="Times New Roman" w:hAnsi="Times New Roman"/>
          <w:sz w:val="19"/>
          <w:szCs w:val="19"/>
          <w:color w:val="auto"/>
        </w:rPr>
        <w:t>Agreement, and shall have no liability to the Borrower, any Lender or any other Person for damages of any kind, including direct or indirect, special, punitive, incidental or consequential damages, costs, losses or expenses (whether in tort, contract or otherwise and whether at law or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equity), for any error or calculation of any such rate (or component thereof) provided by any such information source or service.</w:t>
      </w:r>
    </w:p>
    <w:p>
      <w:pPr>
        <w:spacing w:after="0" w:line="14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Section 2</w:t>
      </w:r>
    </w:p>
    <w:p>
      <w:pPr>
        <w:ind w:left="3660"/>
        <w:spacing w:after="0"/>
        <w:rPr>
          <w:sz w:val="20"/>
          <w:szCs w:val="20"/>
          <w:color w:val="auto"/>
        </w:rPr>
      </w:pPr>
      <w:r>
        <w:rPr>
          <w:rFonts w:ascii="Times New Roman" w:cs="Times New Roman" w:eastAsia="Times New Roman" w:hAnsi="Times New Roman"/>
          <w:sz w:val="19"/>
          <w:szCs w:val="19"/>
          <w:b w:val="1"/>
          <w:bCs w:val="1"/>
          <w:color w:val="auto"/>
        </w:rPr>
        <w:t>AMOUNT AND TERMS OF COMMITMENTS</w:t>
      </w:r>
    </w:p>
    <w:p>
      <w:pPr>
        <w:spacing w:after="0" w:line="16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Term Commitments</w:t>
      </w:r>
      <w:r>
        <w:rPr>
          <w:rFonts w:ascii="Times New Roman" w:cs="Times New Roman" w:eastAsia="Times New Roman" w:hAnsi="Times New Roman"/>
          <w:sz w:val="19"/>
          <w:szCs w:val="19"/>
          <w:color w:val="auto"/>
        </w:rPr>
        <w:t>. Subject to the terms and conditions hereof, each Term Lender severally agrees to make a Term Loan to the</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 xml:space="preserve">Borrower on the Closing Date in an amount equal to the amount of the Term Commitment of such Lender. The Term Loans may from time to time be SOFR Loans or ABR Loans, as determined by the Borrower and notified to the Administrative Agent in accordance with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2.13</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Procedure for Term Loan Borrowing</w:t>
      </w:r>
      <w:r>
        <w:rPr>
          <w:rFonts w:ascii="Times New Roman" w:cs="Times New Roman" w:eastAsia="Times New Roman" w:hAnsi="Times New Roman"/>
          <w:sz w:val="19"/>
          <w:szCs w:val="19"/>
          <w:color w:val="auto"/>
        </w:rPr>
        <w:t>. The Borrower shall give the Administrative Agent an irrevocable Notice of Borrowing</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(which must be received by the Administrative Agent prior to 10:00 A.M. one Business Day prior to the anticipated Closing Date) requesting that the Term Lenders make the Term Loans on the Closing Date and specifying the amount to be borrowed. The Term Loans made on the Closing</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Date shall initially be ABR Loans and, unless otherwise agreed by the Administrative Agent in its sole discretion, no Term Loan may be converted into or continued as a SOFR Loan having an Interest Period in excess of one month prior to the date that is 30 days after the Closing Date. Upon</w:t>
      </w:r>
    </w:p>
    <w:p>
      <w:pPr>
        <w:spacing w:after="0" w:line="215" w:lineRule="auto"/>
        <w:rPr>
          <w:sz w:val="20"/>
          <w:szCs w:val="20"/>
          <w:color w:val="auto"/>
        </w:rPr>
      </w:pPr>
      <w:r>
        <w:rPr>
          <w:rFonts w:ascii="Times New Roman" w:cs="Times New Roman" w:eastAsia="Times New Roman" w:hAnsi="Times New Roman"/>
          <w:sz w:val="19"/>
          <w:szCs w:val="19"/>
          <w:color w:val="auto"/>
        </w:rPr>
        <w:t>receipt of such Notice of Borrowing, the Administrative Agent shall promptly notify each Term Lender thereof. Not later than 10:00 A.M. on the</w:t>
      </w:r>
    </w:p>
    <w:p>
      <w:pPr>
        <w:spacing w:after="0" w:line="207" w:lineRule="auto"/>
        <w:rPr>
          <w:sz w:val="20"/>
          <w:szCs w:val="20"/>
          <w:color w:val="auto"/>
        </w:rPr>
      </w:pPr>
      <w:r>
        <w:rPr>
          <w:rFonts w:ascii="Times New Roman" w:cs="Times New Roman" w:eastAsia="Times New Roman" w:hAnsi="Times New Roman"/>
          <w:sz w:val="19"/>
          <w:szCs w:val="19"/>
          <w:color w:val="auto"/>
        </w:rPr>
        <w:t>Closing Date each Term Lender shall make available to the Administrative Agent at the Term Loan Funding Office an amount in immediately available funds equal to the Term Loan or Term Loans to be made by such Lender. The Administrative Agent shall credit the account of the</w:t>
      </w:r>
    </w:p>
    <w:p>
      <w:pPr>
        <w:spacing w:after="0" w:line="215" w:lineRule="auto"/>
        <w:rPr>
          <w:sz w:val="20"/>
          <w:szCs w:val="20"/>
          <w:color w:val="auto"/>
        </w:rPr>
      </w:pPr>
      <w:r>
        <w:rPr>
          <w:rFonts w:ascii="Times New Roman" w:cs="Times New Roman" w:eastAsia="Times New Roman" w:hAnsi="Times New Roman"/>
          <w:sz w:val="19"/>
          <w:szCs w:val="19"/>
          <w:color w:val="auto"/>
        </w:rPr>
        <w:t>Borrower on the books of such office of the Administrative Agent with the aggregate of the amounts made available to the Administrative Agent</w:t>
      </w:r>
    </w:p>
    <w:p>
      <w:pPr>
        <w:spacing w:after="0" w:line="207" w:lineRule="auto"/>
        <w:rPr>
          <w:sz w:val="20"/>
          <w:szCs w:val="20"/>
          <w:color w:val="auto"/>
        </w:rPr>
      </w:pPr>
      <w:r>
        <w:rPr>
          <w:rFonts w:ascii="Times New Roman" w:cs="Times New Roman" w:eastAsia="Times New Roman" w:hAnsi="Times New Roman"/>
          <w:sz w:val="19"/>
          <w:szCs w:val="19"/>
          <w:color w:val="auto"/>
        </w:rPr>
        <w:t>by the Term Lenders in immediately available funds or, if so specified in the Flow of Funds Agreement, the Administrative Agent shall wire transfer all or a portion of such aggregate amounts to the Existing Agent (for application against amounts then outstanding under the Existing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Credit Facility), in accordance with the wire instructions specified for such purpose in the Flow of Funds Agreement.</w:t>
      </w:r>
    </w:p>
    <w:p>
      <w:pPr>
        <w:spacing w:after="0" w:line="161"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2.3 Repayment of Term Loans</w:t>
      </w:r>
      <w:r>
        <w:rPr>
          <w:rFonts w:ascii="Times New Roman" w:cs="Times New Roman" w:eastAsia="Times New Roman" w:hAnsi="Times New Roman"/>
          <w:sz w:val="19"/>
          <w:szCs w:val="19"/>
          <w:color w:val="auto"/>
        </w:rPr>
        <w:t>. Beginning on March 31, 2023, the Term Loans of each Term Lender shall be repaid in consecutive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quarterly installments, each of which shall be in an amount equal to such Lender’s Term Percentage multiplied by the amount set forth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opposite such installment: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1900" w:h="16838" w:orient="portrait"/>
          <w:cols w:equalWidth="0" w:num="1">
            <w:col w:w="11240"/>
          </w:cols>
          <w:pgMar w:left="320" w:top="1353" w:right="339" w:bottom="1440" w:gutter="0" w:footer="0" w:header="0"/>
        </w:sectPr>
      </w:pPr>
    </w:p>
    <w:bookmarkStart w:id="174" w:name="page175"/>
    <w:bookmarkEnd w:id="174"/>
    <w:tbl>
      <w:tblPr>
        <w:tblLayout w:type="fixed"/>
        <w:tblInd w:w="204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Installment</w:t>
            </w:r>
          </w:p>
        </w:tc>
        <w:tc>
          <w:tcPr>
            <w:tcW w:w="3700" w:type="dxa"/>
            <w:vAlign w:val="bottom"/>
          </w:tcPr>
          <w:p>
            <w:pPr>
              <w:spacing w:after="0"/>
              <w:rPr>
                <w:sz w:val="20"/>
                <w:szCs w:val="20"/>
                <w:color w:val="auto"/>
              </w:rPr>
            </w:pPr>
          </w:p>
        </w:tc>
        <w:tc>
          <w:tcPr>
            <w:tcW w:w="2120" w:type="dxa"/>
            <w:vAlign w:val="bottom"/>
            <w:gridSpan w:val="2"/>
          </w:tcPr>
          <w:p>
            <w:pPr>
              <w:jc w:val="right"/>
              <w:ind w:right="760"/>
              <w:spacing w:after="0"/>
              <w:rPr>
                <w:sz w:val="20"/>
                <w:szCs w:val="20"/>
                <w:color w:val="auto"/>
              </w:rPr>
            </w:pPr>
            <w:r>
              <w:rPr>
                <w:rFonts w:ascii="Times New Roman" w:cs="Times New Roman" w:eastAsia="Times New Roman" w:hAnsi="Times New Roman"/>
                <w:sz w:val="19"/>
                <w:szCs w:val="19"/>
                <w:color w:val="auto"/>
                <w:w w:val="98"/>
              </w:rPr>
              <w:t>Principal Amount</w:t>
            </w:r>
          </w:p>
        </w:tc>
        <w:tc>
          <w:tcPr>
            <w:tcW w:w="0" w:type="dxa"/>
            <w:vAlign w:val="bottom"/>
          </w:tcPr>
          <w:p>
            <w:pPr>
              <w:spacing w:after="0"/>
              <w:rPr>
                <w:sz w:val="1"/>
                <w:szCs w:val="1"/>
                <w:color w:val="auto"/>
              </w:rPr>
            </w:pPr>
          </w:p>
        </w:tc>
      </w:tr>
      <w:tr>
        <w:trPr>
          <w:trHeight w:val="20"/>
        </w:trPr>
        <w:tc>
          <w:tcPr>
            <w:tcW w:w="4900" w:type="dxa"/>
            <w:vAlign w:val="bottom"/>
            <w:gridSpan w:val="3"/>
            <w:vMerge w:val="restart"/>
          </w:tcPr>
          <w:p>
            <w:pPr>
              <w:jc w:val="center"/>
              <w:ind w:right="3360"/>
              <w:spacing w:after="0"/>
              <w:rPr>
                <w:sz w:val="20"/>
                <w:szCs w:val="20"/>
                <w:color w:val="auto"/>
              </w:rPr>
            </w:pPr>
            <w:r>
              <w:rPr>
                <w:rFonts w:ascii="Times New Roman" w:cs="Times New Roman" w:eastAsia="Times New Roman" w:hAnsi="Times New Roman"/>
                <w:sz w:val="19"/>
                <w:szCs w:val="19"/>
                <w:color w:val="auto"/>
              </w:rPr>
              <w:t>March 31, 2023</w:t>
            </w: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900" w:type="dxa"/>
            <w:vAlign w:val="bottom"/>
            <w:gridSpan w:val="3"/>
            <w:vMerge w:val="continue"/>
          </w:tcPr>
          <w:p>
            <w:pPr>
              <w:spacing w:after="0"/>
              <w:rPr>
                <w:sz w:val="24"/>
                <w:szCs w:val="24"/>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$531,250</w:t>
            </w:r>
          </w:p>
        </w:tc>
        <w:tc>
          <w:tcPr>
            <w:tcW w:w="0" w:type="dxa"/>
            <w:vAlign w:val="bottom"/>
          </w:tcPr>
          <w:p>
            <w:pPr>
              <w:spacing w:after="0"/>
              <w:rPr>
                <w:sz w:val="1"/>
                <w:szCs w:val="1"/>
                <w:color w:val="auto"/>
              </w:rPr>
            </w:pPr>
          </w:p>
        </w:tc>
      </w:tr>
      <w:tr>
        <w:trPr>
          <w:trHeight w:val="310"/>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w w:val="99"/>
              </w:rPr>
              <w:t>June 30, 2023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$531,250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rPr>
              <w:t>September 30, 2023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$531,250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rPr>
              <w:t>December 31, 2023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$531,250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rPr>
              <w:t>March 31, 2024</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$531,250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w w:val="99"/>
              </w:rPr>
              <w:t>June 30, 2024</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$531,250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rPr>
              <w:t>September 30, 2024</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$531,250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rPr>
              <w:t>December 31, 2024</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$531,250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rPr>
              <w:t>March 31, 2025</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$1,062,500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w w:val="99"/>
              </w:rPr>
              <w:t>June 30, 2025</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$1,062,500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rPr>
              <w:t>September 30, 2025</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$1,062,500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rPr>
              <w:t>December 31, 2025</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$1,062,500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rPr>
              <w:t>March 31, 2026</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$1,593,750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w w:val="99"/>
              </w:rPr>
              <w:t>June 30, 2026</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$1,593,750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rPr>
              <w:t>September 30, 2026</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$1,593,750</w:t>
            </w:r>
          </w:p>
        </w:tc>
        <w:tc>
          <w:tcPr>
            <w:tcW w:w="0" w:type="dxa"/>
            <w:vAlign w:val="bottom"/>
          </w:tcPr>
          <w:p>
            <w:pPr>
              <w:spacing w:after="0"/>
              <w:rPr>
                <w:sz w:val="1"/>
                <w:szCs w:val="1"/>
                <w:color w:val="auto"/>
              </w:rPr>
            </w:pPr>
          </w:p>
        </w:tc>
      </w:tr>
      <w:tr>
        <w:trPr>
          <w:trHeight w:val="247"/>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rPr>
              <w:t>December 31, 2026</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$1,593,750</w:t>
            </w:r>
          </w:p>
        </w:tc>
        <w:tc>
          <w:tcPr>
            <w:tcW w:w="0" w:type="dxa"/>
            <w:vAlign w:val="bottom"/>
          </w:tcPr>
          <w:p>
            <w:pPr>
              <w:spacing w:after="0"/>
              <w:rPr>
                <w:sz w:val="1"/>
                <w:szCs w:val="1"/>
                <w:color w:val="auto"/>
              </w:rPr>
            </w:pPr>
          </w:p>
        </w:tc>
      </w:tr>
      <w:tr>
        <w:trPr>
          <w:trHeight w:val="250"/>
        </w:trPr>
        <w:tc>
          <w:tcPr>
            <w:tcW w:w="4900" w:type="dxa"/>
            <w:vAlign w:val="bottom"/>
            <w:gridSpan w:val="3"/>
          </w:tcPr>
          <w:p>
            <w:pPr>
              <w:jc w:val="center"/>
              <w:ind w:right="3360"/>
              <w:spacing w:after="0"/>
              <w:rPr>
                <w:sz w:val="20"/>
                <w:szCs w:val="20"/>
                <w:color w:val="auto"/>
              </w:rPr>
            </w:pPr>
            <w:r>
              <w:rPr>
                <w:rFonts w:ascii="Times New Roman" w:cs="Times New Roman" w:eastAsia="Times New Roman" w:hAnsi="Times New Roman"/>
                <w:sz w:val="19"/>
                <w:szCs w:val="19"/>
                <w:color w:val="auto"/>
              </w:rPr>
              <w:t>March 31, 2027</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$1,593,750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9"/>
          <w:szCs w:val="19"/>
          <w:color w:val="auto"/>
        </w:rPr>
        <w:t>To the extent not previously paid, all Term Loans shall be due and payable on the Maturity Date, together with accrued and unpaid interest on the principal amount to be paid to but excluding the date of payment.</w:t>
      </w:r>
    </w:p>
    <w:p>
      <w:pPr>
        <w:spacing w:after="0" w:line="14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2.4</w:t>
      </w:r>
      <w:r>
        <w:rPr>
          <w:sz w:val="20"/>
          <w:szCs w:val="20"/>
          <w:color w:val="auto"/>
        </w:rPr>
        <w:tab/>
      </w:r>
      <w:r>
        <w:rPr>
          <w:rFonts w:ascii="Times New Roman" w:cs="Times New Roman" w:eastAsia="Times New Roman" w:hAnsi="Times New Roman"/>
          <w:sz w:val="19"/>
          <w:szCs w:val="19"/>
          <w:b w:val="1"/>
          <w:bCs w:val="1"/>
          <w:color w:val="auto"/>
        </w:rPr>
        <w:t>Revolving Commitments.</w:t>
      </w:r>
    </w:p>
    <w:p>
      <w:pPr>
        <w:spacing w:after="0" w:line="187" w:lineRule="exact"/>
        <w:rPr>
          <w:sz w:val="20"/>
          <w:szCs w:val="20"/>
          <w:color w:val="auto"/>
        </w:rPr>
      </w:pPr>
    </w:p>
    <w:p>
      <w:pPr>
        <w:jc w:val="both"/>
        <w:ind w:firstLine="1254"/>
        <w:spacing w:after="0" w:line="214" w:lineRule="auto"/>
        <w:tabs>
          <w:tab w:leader="none" w:pos="1866"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hereof, each Revolving Lender severally agrees to make revolving credit loans (each, a “</w:t>
      </w:r>
      <w:r>
        <w:rPr>
          <w:rFonts w:ascii="Times New Roman" w:cs="Times New Roman" w:eastAsia="Times New Roman" w:hAnsi="Times New Roman"/>
          <w:sz w:val="19"/>
          <w:szCs w:val="19"/>
          <w:b w:val="1"/>
          <w:bCs w:val="1"/>
          <w:i w:val="1"/>
          <w:iCs w:val="1"/>
          <w:color w:val="auto"/>
        </w:rPr>
        <w:t>Revolving Loan</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Revolving Loans</w:t>
      </w:r>
      <w:r>
        <w:rPr>
          <w:rFonts w:ascii="Times New Roman" w:cs="Times New Roman" w:eastAsia="Times New Roman" w:hAnsi="Times New Roman"/>
          <w:sz w:val="19"/>
          <w:szCs w:val="19"/>
          <w:color w:val="auto"/>
        </w:rPr>
        <w:t xml:space="preserve">”) to the Borrower from time to time during the Revolving Commitment Period in an aggregate principal amount at any one time outstanding which, when added to the aggregate outstanding amount of the Swingline Loans, the aggregate undrawn amount of all outstanding Letters of Credit and the aggregate amount of all L/C Disbursements that have not yet been reimbursed or converted into Revolving Loans, incurred on behalf of the Borrower and owing to such Lender, does not exceed the amount of such Lender’s Revolving Commitment. In addition, such aggregate obligations shall not at any time exceed the Total Revolving Commitments at such time. During the Revolving Commitment Period the Borrower may use the Revolving Commitments by borrowing, prepaying the Revolving Loans in whole or in part, and reborrowing, all in accordance with the terms and conditions hereof. The Revolving Loans may from time to time be SOFR Loans or ABR Loans, as determined by the Borrower and notified to the Administrative Agent in accordance with </w:t>
      </w:r>
      <w:r>
        <w:rPr>
          <w:rFonts w:ascii="Times New Roman" w:cs="Times New Roman" w:eastAsia="Times New Roman" w:hAnsi="Times New Roman"/>
          <w:sz w:val="19"/>
          <w:szCs w:val="19"/>
          <w:u w:val="single" w:color="auto"/>
          <w:color w:val="auto"/>
        </w:rPr>
        <w:t>Sections 2.5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2.13</w:t>
      </w:r>
      <w:r>
        <w:rPr>
          <w:rFonts w:ascii="Times New Roman" w:cs="Times New Roman" w:eastAsia="Times New Roman" w:hAnsi="Times New Roman"/>
          <w:sz w:val="19"/>
          <w:szCs w:val="19"/>
          <w:color w:val="auto"/>
        </w:rPr>
        <w:t xml:space="preserve">. Borrowings of more than one Type may be outstanding at the same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not be more than a total of seven SOFR Borrowings outstanding at any time.</w:t>
      </w:r>
    </w:p>
    <w:p>
      <w:pPr>
        <w:spacing w:after="0" w:line="162"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repay all outstanding Revolving Loans on the Maturity Date.</w:t>
      </w:r>
    </w:p>
    <w:p>
      <w:pPr>
        <w:spacing w:after="0" w:line="170"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2.5 Procedure for Revolving Loan Borrowing</w:t>
      </w:r>
      <w:r>
        <w:rPr>
          <w:rFonts w:ascii="Times New Roman" w:cs="Times New Roman" w:eastAsia="Times New Roman" w:hAnsi="Times New Roman"/>
          <w:sz w:val="19"/>
          <w:szCs w:val="19"/>
          <w:color w:val="auto"/>
        </w:rPr>
        <w:t>. The Borrower may borrow under the Revolving Commitments during the Revolving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Commitment Period on any Business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give the Administrative Agent an irrevocable Notice of Borrowing</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(which must be received by the Administrative Agent prior to 10:00 A.M. (a) three U.S. Government Securities Business Days prior to the requested Borrowing Date, in the case of SOFR Loans, or (b) one Business Day prior to the requested Borrowing Date, in the case of ABR Loans)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Notice of Borrowing of</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1900" w:h="16838" w:orient="portrait"/>
          <w:cols w:equalWidth="0" w:num="1">
            <w:col w:w="11240"/>
          </w:cols>
          <w:pgMar w:left="320" w:top="1373" w:right="339" w:bottom="1440" w:gutter="0" w:footer="0" w:header="0"/>
        </w:sectPr>
      </w:pPr>
    </w:p>
    <w:bookmarkStart w:id="175" w:name="page176"/>
    <w:bookmarkEnd w:id="175"/>
    <w:p>
      <w:pPr>
        <w:jc w:val="both"/>
        <w:spacing w:after="0" w:line="219" w:lineRule="auto"/>
        <w:rPr>
          <w:sz w:val="20"/>
          <w:szCs w:val="20"/>
          <w:color w:val="auto"/>
        </w:rPr>
      </w:pPr>
      <w:r>
        <w:rPr>
          <w:rFonts w:ascii="Times New Roman" w:cs="Times New Roman" w:eastAsia="Times New Roman" w:hAnsi="Times New Roman"/>
          <w:sz w:val="19"/>
          <w:szCs w:val="19"/>
          <w:color w:val="auto"/>
        </w:rPr>
        <w:t xml:space="preserve">ABR Loans under the Revolving Facility to finance payments under </w:t>
      </w:r>
      <w:r>
        <w:rPr>
          <w:rFonts w:ascii="Times New Roman" w:cs="Times New Roman" w:eastAsia="Times New Roman" w:hAnsi="Times New Roman"/>
          <w:sz w:val="19"/>
          <w:szCs w:val="19"/>
          <w:u w:val="single" w:color="auto"/>
          <w:color w:val="auto"/>
        </w:rPr>
        <w:t>Section 3.5(a)</w:t>
      </w:r>
      <w:r>
        <w:rPr>
          <w:rFonts w:ascii="Times New Roman" w:cs="Times New Roman" w:eastAsia="Times New Roman" w:hAnsi="Times New Roman"/>
          <w:sz w:val="19"/>
          <w:szCs w:val="19"/>
          <w:color w:val="auto"/>
        </w:rPr>
        <w:t xml:space="preserve"> may be given not later than 10:00 A.M. on the date of the proposed borrowing), in each such case specifying (i) the amount and Type of Revolving Loans to be borrowed, (ii) the requested Borrowing Date,</w:t>
      </w:r>
    </w:p>
    <w:p>
      <w:pPr>
        <w:spacing w:after="0" w:line="1" w:lineRule="exact"/>
        <w:rPr>
          <w:sz w:val="20"/>
          <w:szCs w:val="20"/>
          <w:color w:val="auto"/>
        </w:rPr>
      </w:pPr>
    </w:p>
    <w:p>
      <w:pPr>
        <w:jc w:val="both"/>
        <w:ind w:firstLine="4"/>
        <w:spacing w:after="0" w:line="212" w:lineRule="auto"/>
        <w:tabs>
          <w:tab w:leader="none" w:pos="334"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respective amounts of each such Type of Loan, (iv) in the case of SOFR Loans, the respective lengths of the initial Interest Period therefor, and (v) instructions for remittance of the proceeds of the applicable Loans to be borrowed. If no Interest Period is specified with respect to any requested SOFR Loans, the Borrower shall be deemed to have selected an Interest Period of one month’s duration. Unless otherwise agreed by the Administrative Agent in its sole discretion, no Revolving Loan may be made as, converted into or continued as a SOFR Loan having an Interest Period in excess of one month prior to the date that is 30 days after the Closing Date. Each borrowing under the Revolving Commitments shall be in an amount equal to in the case of ABR Loans or SOFR Loans, $1,000,000 or a whole multiple of $100,000 in excess thereof (or, if the then aggregate Available Revolving Commitments are less than $1,000,000, such lesser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Swingline Lender may request, on behalf of the Borrower, borrowings under the Revolving Commitments that are ABR Loans in other amounts pursuant to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Upon receipt of any such Notice of Borrowing from the Borrower, the Administrative Agent shall promptly notify each Revolving Lender thereof. Each Revolving Lender will make the amount of its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of each such borrowing available to the Administrative Agent for the account of the Borrower at the Revolving Loan Funding Office prior to 10:00 A.M. on the Borrowing Date requested by the Borrower in funds immediately available to the Administrative Agent. Such borrowing will then be made available to the Borrower by the Administrative Agent crediting such account as is designated in writing to the Administrative Agent by the Borrower with the aggregate of the amounts made available to the Administrative Agent by the Revolving Lenders and in like funds as received by the Administrative Agent or, if so specified in the Flow of Funds Agreement, the Administrative Agent shall wire transfer all or a portion of such aggregate amounts to the Existing Agent (for application against amounts then outstanding under the Existing Credit Facility), in accordance with the wire instructions specified for such purpose in the Flow of Funds Agreement. No Revolving Loan will be made on the Closing Date.</w:t>
      </w:r>
    </w:p>
    <w:p>
      <w:pPr>
        <w:spacing w:after="0" w:line="147"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2.6 Swingline Commitment</w:t>
      </w:r>
      <w:r>
        <w:rPr>
          <w:rFonts w:ascii="Times New Roman" w:cs="Times New Roman" w:eastAsia="Times New Roman" w:hAnsi="Times New Roman"/>
          <w:sz w:val="19"/>
          <w:szCs w:val="19"/>
          <w:color w:val="auto"/>
        </w:rPr>
        <w:t>. Subject to the terms and conditions hereof, the Swingline Lender agrees to make available a portion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credit accommodations otherwise available to the Borrower under the Revolving Commitments from time to time during the Revolving</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Commitment Period by making swing line loans (each a “</w:t>
      </w:r>
      <w:r>
        <w:rPr>
          <w:rFonts w:ascii="Times New Roman" w:cs="Times New Roman" w:eastAsia="Times New Roman" w:hAnsi="Times New Roman"/>
          <w:sz w:val="19"/>
          <w:szCs w:val="19"/>
          <w:b w:val="1"/>
          <w:bCs w:val="1"/>
          <w:i w:val="1"/>
          <w:iCs w:val="1"/>
          <w:color w:val="auto"/>
        </w:rPr>
        <w:t>Swingline Loan</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Swingline Loans</w:t>
      </w:r>
      <w:r>
        <w:rPr>
          <w:rFonts w:ascii="Times New Roman" w:cs="Times New Roman" w:eastAsia="Times New Roman" w:hAnsi="Times New Roman"/>
          <w:sz w:val="19"/>
          <w:szCs w:val="19"/>
          <w:color w:val="auto"/>
        </w:rPr>
        <w:t xml:space="preserve">”) to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aggregate principal amount of Swingline Loans outstanding at any time shall not exceed the Swingline Commitment then in effect,</w:t>
      </w:r>
    </w:p>
    <w:p>
      <w:pPr>
        <w:spacing w:after="0" w:line="1" w:lineRule="exact"/>
        <w:rPr>
          <w:sz w:val="20"/>
          <w:szCs w:val="20"/>
          <w:color w:val="auto"/>
        </w:rPr>
      </w:pPr>
    </w:p>
    <w:p>
      <w:pPr>
        <w:jc w:val="both"/>
        <w:ind w:firstLine="4"/>
        <w:spacing w:after="0" w:line="215" w:lineRule="auto"/>
        <w:tabs>
          <w:tab w:leader="none" w:pos="29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 request, and the Swingline Lender shall not make, any Swingline Loan if, after giving effect to the making of such Swingline Loan, the aggregate amount of the Available Revolving Commitments would be less than zero, and (c) the Borrower shall not use the proceeds of any Swingline Loan to refinance any then outstanding Swingline Loan. During the Revolving Commitment Period, the Borrower may use the Swingline Commitment by borrowing, repaying and reborrowing, all in accordance with the terms and conditions hereof. Swingline Loans shall be ABR Loans only. The Borrower shall repay to the Swingline Lender the then unpaid principal amount of each Swingline Loan on the Maturity Date.</w:t>
      </w:r>
    </w:p>
    <w:p>
      <w:pPr>
        <w:spacing w:after="0" w:line="15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2.7</w:t>
      </w:r>
      <w:r>
        <w:rPr>
          <w:sz w:val="20"/>
          <w:szCs w:val="20"/>
          <w:color w:val="auto"/>
        </w:rPr>
        <w:tab/>
      </w:r>
      <w:r>
        <w:rPr>
          <w:rFonts w:ascii="Times New Roman" w:cs="Times New Roman" w:eastAsia="Times New Roman" w:hAnsi="Times New Roman"/>
          <w:sz w:val="19"/>
          <w:szCs w:val="19"/>
          <w:b w:val="1"/>
          <w:bCs w:val="1"/>
          <w:color w:val="auto"/>
        </w:rPr>
        <w:t>Procedure for Swingline Borrowing; Refunding of Swingline Loans.</w:t>
      </w:r>
    </w:p>
    <w:p>
      <w:pPr>
        <w:spacing w:after="0" w:line="187" w:lineRule="exact"/>
        <w:rPr>
          <w:sz w:val="20"/>
          <w:szCs w:val="20"/>
          <w:color w:val="auto"/>
        </w:rPr>
      </w:pPr>
    </w:p>
    <w:p>
      <w:pPr>
        <w:jc w:val="both"/>
        <w:ind w:firstLine="1254"/>
        <w:spacing w:after="0" w:line="216" w:lineRule="auto"/>
        <w:tabs>
          <w:tab w:leader="none" w:pos="1866"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Whenever the Borrower desires that the Swingline Lender make Swingline Loans the Borrower shall give the Swingline Lender irrevocable telephonic notice (which telephonic notice must be received by the Swingline Lender not later than 10:00 A.M. on the proposed Borrowing Date) confirmed promptly in writing by a Notice of Borrowing, specifying (i) the amount to be borrowed, (ii) the requested Borrowing Date (which shall be a Business Day during the Revolving Commitment Period), and (iii) instructions for the remittance of the proceeds of such Loan. Each borrowing under the Swingline Commitment shall be in an amount equal to $100,000 or a whole multiple of $100,000 in excess thereof. Promptly thereafter, on the Borrowing Date specified in a notice in respect of Swingline Loans, the Swingline Lender shall make available to the Borrower an amount in immediately available funds equal to the amount of the Swingline Loan to be made by depositing such amount in the account designated in writing to the Administrative Agent by the Borrower. Unless a Swingline Loan is sooner refinanced by the advance of a Revolving Loan pursuant to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such Swingline Loan shall be repaid by the Borrower no later than five Business Days after the advance of such Swingline Loan.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1900" w:h="16838" w:orient="portrait"/>
          <w:cols w:equalWidth="0" w:num="1">
            <w:col w:w="11240"/>
          </w:cols>
          <w:pgMar w:left="320" w:top="1354" w:right="339" w:bottom="1440" w:gutter="0" w:footer="0" w:header="0"/>
        </w:sectPr>
      </w:pPr>
    </w:p>
    <w:bookmarkStart w:id="176" w:name="page177"/>
    <w:bookmarkEnd w:id="176"/>
    <w:p>
      <w:pPr>
        <w:jc w:val="both"/>
        <w:ind w:firstLine="1254"/>
        <w:spacing w:after="0" w:line="216" w:lineRule="auto"/>
        <w:tabs>
          <w:tab w:leader="none" w:pos="1863"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Swingline Lender, at any time and from time to time in its sole and absolute discretion may, on behalf of the Borrower (which hereby irrevocably directs the Swingline Lender to act on its behalf), on one Business Day’s telephonic notice given by the Swingline Lender no later than 10:00 A.M.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Times New Roman" w:cs="Times New Roman" w:eastAsia="Times New Roman" w:hAnsi="Times New Roman"/>
          <w:sz w:val="19"/>
          <w:szCs w:val="19"/>
          <w:b w:val="1"/>
          <w:bCs w:val="1"/>
          <w:i w:val="1"/>
          <w:iCs w:val="1"/>
          <w:color w:val="auto"/>
        </w:rPr>
        <w:t>Refunded Swingline Loan</w:t>
      </w:r>
      <w:r>
        <w:rPr>
          <w:rFonts w:ascii="Times New Roman" w:cs="Times New Roman" w:eastAsia="Times New Roman" w:hAnsi="Times New Roman"/>
          <w:sz w:val="19"/>
          <w:szCs w:val="19"/>
          <w:color w:val="auto"/>
        </w:rPr>
        <w:t>”) outstanding on the date of such notice, to repay the Swingline Lender. Each Revolving Lender shall make the amount of such Revolving Loan available to the Administrative Agent at the Revolving Loan Funding Office in immediately available funds, not later than 10:00 A.M. one Business Day after the date of such notice. The proceeds of such Revolving Loan shall be immediately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to immediately pay the amount of any Refunded Swingline Loan to the extent amounts received from the Revolving Lenders are not sufficient to repay in full such Refunded Swingline Loan.</w:t>
      </w:r>
    </w:p>
    <w:p>
      <w:pPr>
        <w:spacing w:after="0" w:line="142" w:lineRule="exact"/>
        <w:rPr>
          <w:rFonts w:ascii="Times New Roman" w:cs="Times New Roman" w:eastAsia="Times New Roman" w:hAnsi="Times New Roman"/>
          <w:sz w:val="19"/>
          <w:szCs w:val="19"/>
          <w:color w:val="auto"/>
        </w:rPr>
      </w:pPr>
    </w:p>
    <w:p>
      <w:pPr>
        <w:jc w:val="both"/>
        <w:ind w:firstLine="1254"/>
        <w:spacing w:after="0" w:line="218" w:lineRule="auto"/>
        <w:tabs>
          <w:tab w:leader="none" w:pos="1866"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prior to the time that the Borrower has repaid the Swingline Loans pursuant to </w:t>
      </w:r>
      <w:r>
        <w:rPr>
          <w:rFonts w:ascii="Times New Roman" w:cs="Times New Roman" w:eastAsia="Times New Roman" w:hAnsi="Times New Roman"/>
          <w:sz w:val="19"/>
          <w:szCs w:val="19"/>
          <w:u w:val="single" w:color="auto"/>
          <w:color w:val="auto"/>
        </w:rPr>
        <w:t>Section 2.7(a)</w:t>
      </w:r>
      <w:r>
        <w:rPr>
          <w:rFonts w:ascii="Times New Roman" w:cs="Times New Roman" w:eastAsia="Times New Roman" w:hAnsi="Times New Roman"/>
          <w:sz w:val="19"/>
          <w:szCs w:val="19"/>
          <w:color w:val="auto"/>
        </w:rPr>
        <w:t xml:space="preserve"> or a Revolving Loan has been made pursuant to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one of the events described in </w:t>
      </w:r>
      <w:r>
        <w:rPr>
          <w:rFonts w:ascii="Times New Roman" w:cs="Times New Roman" w:eastAsia="Times New Roman" w:hAnsi="Times New Roman"/>
          <w:sz w:val="19"/>
          <w:szCs w:val="19"/>
          <w:u w:val="single" w:color="auto"/>
          <w:color w:val="auto"/>
        </w:rPr>
        <w:t>Section 8.1(f)</w:t>
      </w:r>
      <w:r>
        <w:rPr>
          <w:rFonts w:ascii="Times New Roman" w:cs="Times New Roman" w:eastAsia="Times New Roman" w:hAnsi="Times New Roman"/>
          <w:sz w:val="19"/>
          <w:szCs w:val="19"/>
          <w:color w:val="auto"/>
        </w:rPr>
        <w:t xml:space="preserve"> shall have occurred or if for any other reason, as determined by the Swingline Lender in its sole discretion, Revolving Loans may not be made as contemplated by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each Revolving Lender shall, on the date such Revolving Loan was to have been made pursuant to the notice referred to in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or on the date requested by the Swingline Lender (with at least one Business Day’s notice to the Revolving Lenders), purchase for cash an undivided participating interest in the then outstanding Swingline Loans by paying to the Swingline Lender an amount (the “</w:t>
      </w:r>
      <w:r>
        <w:rPr>
          <w:rFonts w:ascii="Times New Roman" w:cs="Times New Roman" w:eastAsia="Times New Roman" w:hAnsi="Times New Roman"/>
          <w:sz w:val="19"/>
          <w:szCs w:val="19"/>
          <w:b w:val="1"/>
          <w:bCs w:val="1"/>
          <w:i w:val="1"/>
          <w:iCs w:val="1"/>
          <w:color w:val="auto"/>
        </w:rPr>
        <w:t>Swingline Participation Amount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equal to (i) such Revolving Lender’s Revolving Percentage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(ii) the sum of the aggregate principal amount of the outstanding Swingline Loans that were to have been repaid with such Revolving Loans.</w:t>
      </w:r>
    </w:p>
    <w:p>
      <w:pPr>
        <w:spacing w:after="0" w:line="144"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3"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w:t>
      </w:r>
      <w:r>
        <w:rPr>
          <w:rFonts w:ascii="Times New Roman" w:cs="Times New Roman" w:eastAsia="Times New Roman" w:hAnsi="Times New Roman"/>
          <w:sz w:val="19"/>
          <w:szCs w:val="19"/>
          <w:i w:val="1"/>
          <w:iCs w:val="1"/>
          <w:color w:val="auto"/>
        </w:rPr>
        <w:t>pro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rata </w:t>
      </w:r>
      <w:r>
        <w:rPr>
          <w:rFonts w:ascii="Times New Roman" w:cs="Times New Roman" w:eastAsia="Times New Roman" w:hAnsi="Times New Roman"/>
          <w:sz w:val="19"/>
          <w:szCs w:val="19"/>
          <w:color w:val="auto"/>
        </w:rPr>
        <w:t>portion of such payment if such payment is not sufficient to pay the principal of and interest on all Swingline Loans then due);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the event that such payment received by the Swingline Lender is required to be returned, such Revolving Lender will return to the Swingline Lender any portion thereof previously distributed to it by the Swingline Lender.</w:t>
      </w:r>
    </w:p>
    <w:p>
      <w:pPr>
        <w:spacing w:after="0" w:line="154"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6"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Revolving Lender’s obligation to make the Loans referred to in </w:t>
      </w:r>
      <w:r>
        <w:rPr>
          <w:rFonts w:ascii="Times New Roman" w:cs="Times New Roman" w:eastAsia="Times New Roman" w:hAnsi="Times New Roman"/>
          <w:sz w:val="19"/>
          <w:szCs w:val="19"/>
          <w:u w:val="single" w:color="auto"/>
          <w:color w:val="auto"/>
        </w:rPr>
        <w:t>Section 2.7(b)</w:t>
      </w:r>
      <w:r>
        <w:rPr>
          <w:rFonts w:ascii="Times New Roman" w:cs="Times New Roman" w:eastAsia="Times New Roman" w:hAnsi="Times New Roman"/>
          <w:sz w:val="19"/>
          <w:szCs w:val="19"/>
          <w:color w:val="auto"/>
        </w:rPr>
        <w:t xml:space="preserve"> and to purchase participating interests pursuant to </w:t>
      </w:r>
      <w:r>
        <w:rPr>
          <w:rFonts w:ascii="Times New Roman" w:cs="Times New Roman" w:eastAsia="Times New Roman" w:hAnsi="Times New Roman"/>
          <w:sz w:val="19"/>
          <w:szCs w:val="19"/>
          <w:u w:val="single" w:color="auto"/>
          <w:color w:val="auto"/>
        </w:rPr>
        <w:t>Section 2.7(c)</w:t>
      </w:r>
      <w:r>
        <w:rPr>
          <w:rFonts w:ascii="Times New Roman" w:cs="Times New Roman" w:eastAsia="Times New Roman" w:hAnsi="Times New Roman"/>
          <w:sz w:val="19"/>
          <w:szCs w:val="19"/>
          <w:color w:val="auto"/>
        </w:rPr>
        <w:t xml:space="preserve">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(iii) 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spacing w:after="0" w:line="154" w:lineRule="exact"/>
        <w:rPr>
          <w:rFonts w:ascii="Times New Roman" w:cs="Times New Roman" w:eastAsia="Times New Roman" w:hAnsi="Times New Roman"/>
          <w:sz w:val="19"/>
          <w:szCs w:val="19"/>
          <w:color w:val="auto"/>
        </w:rPr>
      </w:pPr>
    </w:p>
    <w:p>
      <w:pPr>
        <w:jc w:val="both"/>
        <w:ind w:firstLine="1254"/>
        <w:spacing w:after="0" w:line="220" w:lineRule="auto"/>
        <w:tabs>
          <w:tab w:leader="none" w:pos="1871"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Swingline Lender may resign at any time by giving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 Lender. After the resignation or replacement of the Swingline Lender hereunder, the retiring Swingline Lender shall remain a party hereto and shall continue to have all the rights and obligations of the Swingline Lender under this Agreement and the other Loan Documents with respect to Swingline Loans made by it prior to</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1900" w:h="16838" w:orient="portrait"/>
          <w:cols w:equalWidth="0" w:num="1">
            <w:col w:w="11240"/>
          </w:cols>
          <w:pgMar w:left="320" w:top="1354"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9"/>
          <w:szCs w:val="19"/>
          <w:color w:val="auto"/>
        </w:rPr>
        <w:t>such resignation or replacement, but shall not be required or permitted to make any additional Swingline Loans.</w:t>
      </w:r>
    </w:p>
    <w:p>
      <w:pPr>
        <w:spacing w:after="0" w:line="18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2.8</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7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2.9</w:t>
      </w:r>
      <w:r>
        <w:rPr>
          <w:sz w:val="20"/>
          <w:szCs w:val="20"/>
          <w:color w:val="auto"/>
        </w:rPr>
        <w:tab/>
      </w:r>
      <w:r>
        <w:rPr>
          <w:rFonts w:ascii="Times New Roman" w:cs="Times New Roman" w:eastAsia="Times New Roman" w:hAnsi="Times New Roman"/>
          <w:sz w:val="19"/>
          <w:szCs w:val="19"/>
          <w:b w:val="1"/>
          <w:bCs w:val="1"/>
          <w:color w:val="auto"/>
        </w:rPr>
        <w:t>Fees.</w:t>
      </w:r>
    </w:p>
    <w:p>
      <w:pPr>
        <w:spacing w:after="0" w:line="187" w:lineRule="exact"/>
        <w:rPr>
          <w:sz w:val="20"/>
          <w:szCs w:val="20"/>
          <w:color w:val="auto"/>
        </w:rPr>
      </w:pPr>
    </w:p>
    <w:p>
      <w:pPr>
        <w:ind w:firstLine="1254"/>
        <w:spacing w:after="0" w:line="249" w:lineRule="auto"/>
        <w:tabs>
          <w:tab w:leader="none" w:pos="1866"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Upfront Fee</w:t>
      </w:r>
      <w:r>
        <w:rPr>
          <w:rFonts w:ascii="Times New Roman" w:cs="Times New Roman" w:eastAsia="Times New Roman" w:hAnsi="Times New Roman"/>
          <w:sz w:val="19"/>
          <w:szCs w:val="19"/>
          <w:color w:val="auto"/>
        </w:rPr>
        <w:t>. On or prior to the Closing Date, the Borrower agrees to pay to the Administrative Agent an upfront fee in the amount specified in the Fee Letter.</w:t>
      </w:r>
    </w:p>
    <w:p>
      <w:pPr>
        <w:spacing w:after="0" w:line="132" w:lineRule="exact"/>
        <w:rPr>
          <w:rFonts w:ascii="Times New Roman" w:cs="Times New Roman" w:eastAsia="Times New Roman" w:hAnsi="Times New Roman"/>
          <w:sz w:val="19"/>
          <w:szCs w:val="19"/>
          <w:color w:val="auto"/>
        </w:rPr>
      </w:pPr>
    </w:p>
    <w:p>
      <w:pPr>
        <w:jc w:val="both"/>
        <w:ind w:firstLine="1254"/>
        <w:spacing w:after="0" w:line="222" w:lineRule="auto"/>
        <w:tabs>
          <w:tab w:leader="none" w:pos="1863"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Commitment Fee</w:t>
      </w:r>
      <w:r>
        <w:rPr>
          <w:rFonts w:ascii="Times New Roman" w:cs="Times New Roman" w:eastAsia="Times New Roman" w:hAnsi="Times New Roman"/>
          <w:sz w:val="19"/>
          <w:szCs w:val="19"/>
          <w:color w:val="auto"/>
        </w:rPr>
        <w:t xml:space="preserve">. As additional compensation for the Revolving Commitment, the Borrower shall pay to the Administrative Agent for the account of the Lenders, in arrears, on the first day of each quarter prior to the Maturity Date and on the Maturity Date, a fee for the Borrower’s non-use of available funds in an amount equal to the Commitment Fee Rate per annum multiplied by the </w:t>
      </w:r>
      <w:r>
        <w:rPr>
          <w:rFonts w:ascii="Times New Roman" w:cs="Times New Roman" w:eastAsia="Times New Roman" w:hAnsi="Times New Roman"/>
          <w:sz w:val="19"/>
          <w:szCs w:val="19"/>
          <w:u w:val="single" w:color="auto"/>
          <w:color w:val="auto"/>
        </w:rPr>
        <w:t>difference</w:t>
      </w:r>
      <w:r>
        <w:rPr>
          <w:rFonts w:ascii="Times New Roman" w:cs="Times New Roman" w:eastAsia="Times New Roman" w:hAnsi="Times New Roman"/>
          <w:sz w:val="19"/>
          <w:szCs w:val="19"/>
          <w:color w:val="auto"/>
        </w:rPr>
        <w:t xml:space="preserve"> between (x) the Revolving Commitments (as they may be reduced from time to time) and (y) the average for the period of the daily closing balance of the Revolving Loans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Swingline Loans shall not be considered utilization of the Revolving Facility for purposes of this calculation.</w:t>
      </w:r>
    </w:p>
    <w:p>
      <w:pPr>
        <w:spacing w:after="0" w:line="141" w:lineRule="exact"/>
        <w:rPr>
          <w:rFonts w:ascii="Times New Roman" w:cs="Times New Roman" w:eastAsia="Times New Roman" w:hAnsi="Times New Roman"/>
          <w:sz w:val="19"/>
          <w:szCs w:val="19"/>
          <w:color w:val="auto"/>
        </w:rPr>
      </w:pPr>
    </w:p>
    <w:p>
      <w:pPr>
        <w:ind w:firstLine="1254"/>
        <w:spacing w:after="0" w:line="249" w:lineRule="auto"/>
        <w:tabs>
          <w:tab w:leader="none" w:pos="1866"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Agency Fees</w:t>
      </w:r>
      <w:r>
        <w:rPr>
          <w:rFonts w:ascii="Times New Roman" w:cs="Times New Roman" w:eastAsia="Times New Roman" w:hAnsi="Times New Roman"/>
          <w:sz w:val="19"/>
          <w:szCs w:val="19"/>
          <w:color w:val="auto"/>
        </w:rPr>
        <w:t>. The Borrower agrees to pay to the Administrative Agent the fees in the amounts and on the dates as set forth in the Fee Letter and to perform any other obligations contained therein.</w:t>
      </w:r>
    </w:p>
    <w:p>
      <w:pPr>
        <w:spacing w:after="0" w:line="145"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Fees Nonrefundable</w:t>
      </w:r>
      <w:r>
        <w:rPr>
          <w:rFonts w:ascii="Times New Roman" w:cs="Times New Roman" w:eastAsia="Times New Roman" w:hAnsi="Times New Roman"/>
          <w:sz w:val="19"/>
          <w:szCs w:val="19"/>
          <w:color w:val="auto"/>
        </w:rPr>
        <w:t xml:space="preserve">. All fees payable under this </w:t>
      </w:r>
      <w:r>
        <w:rPr>
          <w:rFonts w:ascii="Times New Roman" w:cs="Times New Roman" w:eastAsia="Times New Roman" w:hAnsi="Times New Roman"/>
          <w:sz w:val="19"/>
          <w:szCs w:val="19"/>
          <w:u w:val="single" w:color="auto"/>
          <w:color w:val="auto"/>
        </w:rPr>
        <w:t>Section 2.9</w:t>
      </w:r>
      <w:r>
        <w:rPr>
          <w:rFonts w:ascii="Times New Roman" w:cs="Times New Roman" w:eastAsia="Times New Roman" w:hAnsi="Times New Roman"/>
          <w:sz w:val="19"/>
          <w:szCs w:val="19"/>
          <w:color w:val="auto"/>
        </w:rPr>
        <w:t xml:space="preserve"> shall be fully earned on the date paid and nonrefundable.</w:t>
      </w:r>
    </w:p>
    <w:p>
      <w:pPr>
        <w:spacing w:after="0" w:line="170"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2.10 Termination or Reduction of Revolving Commitments. </w:t>
      </w:r>
      <w:r>
        <w:rPr>
          <w:rFonts w:ascii="Times New Roman" w:cs="Times New Roman" w:eastAsia="Times New Roman" w:hAnsi="Times New Roman"/>
          <w:sz w:val="19"/>
          <w:szCs w:val="19"/>
          <w:color w:val="auto"/>
        </w:rPr>
        <w:t>The Borrower shall have the right, upon not less than three Business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Days’ notice to the Administrative Agent, to terminate the Revolving Commitments or, from time to time, to reduce the amount of the Revolving</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termination or reduction of the Revolving Commitments shall be permitted if, after giving effect thereto and to any prepayments of the Revolving Loans and Swingline Loans made on the effective date thereof, the Total Revolving Extensions of Credit</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would exceed the Available Revolving Commitments. Any such reduction shall be in an amount equal to $500,000, or a whole multiple thereof, and shall reduce permanently the Revolving Commitments then in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if in connection with any such reduction or</w:t>
      </w:r>
    </w:p>
    <w:p>
      <w:pPr>
        <w:spacing w:after="0" w:line="215" w:lineRule="auto"/>
        <w:rPr>
          <w:sz w:val="20"/>
          <w:szCs w:val="20"/>
          <w:color w:val="auto"/>
        </w:rPr>
      </w:pPr>
      <w:r>
        <w:rPr>
          <w:rFonts w:ascii="Times New Roman" w:cs="Times New Roman" w:eastAsia="Times New Roman" w:hAnsi="Times New Roman"/>
          <w:sz w:val="19"/>
          <w:szCs w:val="19"/>
          <w:color w:val="auto"/>
        </w:rPr>
        <w:t>termination of the Revolving Commitments a SOFR Loan is prepaid on any day other than the Interest Payment Date therefor, the Borrower shall</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also pay any amounts owing pursuant to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The Borrower shall have the right, upon not less than three Business Days’ notice to the Administrative Agent, to terminate the L/C Commitments or, from time to time, to reduce the amount of the L/C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w:t>
      </w:r>
    </w:p>
    <w:p>
      <w:pPr>
        <w:spacing w:after="0" w:line="215" w:lineRule="auto"/>
        <w:rPr>
          <w:sz w:val="20"/>
          <w:szCs w:val="20"/>
          <w:color w:val="auto"/>
        </w:rPr>
      </w:pPr>
      <w:r>
        <w:rPr>
          <w:rFonts w:ascii="Times New Roman" w:cs="Times New Roman" w:eastAsia="Times New Roman" w:hAnsi="Times New Roman"/>
          <w:sz w:val="19"/>
          <w:szCs w:val="19"/>
          <w:color w:val="auto"/>
        </w:rPr>
        <w:t>such termination or reduction of L/C Commitments shall be permitted if, after giving effect thereto, the Total L/C Commitments shall be reduced</w:t>
      </w:r>
    </w:p>
    <w:p>
      <w:pPr>
        <w:spacing w:after="0" w:line="225" w:lineRule="auto"/>
        <w:rPr>
          <w:sz w:val="20"/>
          <w:szCs w:val="20"/>
          <w:color w:val="auto"/>
        </w:rPr>
      </w:pPr>
      <w:r>
        <w:rPr>
          <w:rFonts w:ascii="Times New Roman" w:cs="Times New Roman" w:eastAsia="Times New Roman" w:hAnsi="Times New Roman"/>
          <w:sz w:val="19"/>
          <w:szCs w:val="19"/>
          <w:color w:val="auto"/>
        </w:rPr>
        <w:t>to an amount that would result in the aggregate L/C Exposure exceeding the Total L/C Commitments (as so reduced). Any such reduction shall be in an amount equal to $500,000, or a whole multiple thereof, and shall reduce permanently the L/C Commitments then in effect.</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2.11</w:t>
        <w:tab/>
        <w:t xml:space="preserve">Optional Prepayments. </w:t>
      </w:r>
      <w:r>
        <w:rPr>
          <w:rFonts w:ascii="Times New Roman" w:cs="Times New Roman" w:eastAsia="Times New Roman" w:hAnsi="Times New Roman"/>
          <w:sz w:val="19"/>
          <w:szCs w:val="19"/>
          <w:color w:val="auto"/>
        </w:rPr>
        <w:t>The Borrower may at any time and from time to time prepay the Loans, in whole or in part, without</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premium or penalty, upon irrevocable notice delivered to the Administrative Agent no later than 10:00 A.M. three U.S. Government Securities Business Days prior thereto, in the case of SOFR Loans, and no later than 10:00 A.M. one Business Day prior thereto, in the case of ABR Loans,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which notice shall specify the date and amount of the proposed prepayment;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SOFR Loan is prepaid, in whole or in part, on any</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day other than the Interest Payment Date therefor, the Borrower shall also pay any amounts owing pursuant to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if such notice of prepayment indicates that such prepayment is to be funded with the proceeds of a refinancing, such notice of prepayment may be</w:t>
      </w:r>
    </w:p>
    <w:p>
      <w:pPr>
        <w:spacing w:after="0" w:line="215" w:lineRule="auto"/>
        <w:rPr>
          <w:sz w:val="20"/>
          <w:szCs w:val="20"/>
          <w:color w:val="auto"/>
        </w:rPr>
      </w:pPr>
      <w:r>
        <w:rPr>
          <w:rFonts w:ascii="Times New Roman" w:cs="Times New Roman" w:eastAsia="Times New Roman" w:hAnsi="Times New Roman"/>
          <w:sz w:val="19"/>
          <w:szCs w:val="19"/>
          <w:color w:val="auto"/>
        </w:rPr>
        <w:t>revoked if the financing is not consummated. Upon receipt of any such notice the Administrative Agent shall promptly notify each relevant Lender</w:t>
      </w:r>
    </w:p>
    <w:p>
      <w:pPr>
        <w:spacing w:after="0" w:line="207" w:lineRule="auto"/>
        <w:rPr>
          <w:sz w:val="20"/>
          <w:szCs w:val="20"/>
          <w:color w:val="auto"/>
        </w:rPr>
      </w:pPr>
      <w:r>
        <w:rPr>
          <w:rFonts w:ascii="Times New Roman" w:cs="Times New Roman" w:eastAsia="Times New Roman" w:hAnsi="Times New Roman"/>
          <w:sz w:val="19"/>
          <w:szCs w:val="19"/>
          <w:color w:val="auto"/>
        </w:rPr>
        <w:t>thereof. If any such notice is given, the amount specified in such notice shall be due and payable on the date specified therein, together with (except in the case of Revolving Loans that are ABR Loans and Swingline Loans) accrued interest to such date on the amount prepaid. Partial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prepayments of Term Loans and Revolving Loans shall be in an aggregate principal amount of $500,000 or a whole multiple thereof.</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1900" w:h="16838" w:orient="portrait"/>
          <w:cols w:equalWidth="0" w:num="1">
            <w:col w:w="11240"/>
          </w:cols>
          <w:pgMar w:left="320" w:top="1354"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9"/>
          <w:szCs w:val="19"/>
          <w:color w:val="auto"/>
        </w:rPr>
        <w:t>Partial prepayments of Swingline Loans shall be in an aggregate principal amount of $250,000 or a whole multiple thereof.</w:t>
      </w:r>
    </w:p>
    <w:p>
      <w:pPr>
        <w:spacing w:after="0" w:line="18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2.12</w:t>
        <w:tab/>
        <w:t>Mandatory Prepayments.</w:t>
      </w:r>
    </w:p>
    <w:p>
      <w:pPr>
        <w:spacing w:after="0" w:line="174" w:lineRule="exact"/>
        <w:rPr>
          <w:sz w:val="20"/>
          <w:szCs w:val="20"/>
          <w:color w:val="auto"/>
        </w:rPr>
      </w:pPr>
    </w:p>
    <w:p>
      <w:pPr>
        <w:jc w:val="both"/>
        <w:ind w:firstLine="1254"/>
        <w:spacing w:after="0" w:line="226" w:lineRule="auto"/>
        <w:tabs>
          <w:tab w:leader="none" w:pos="1866"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Indebtedness shall be incurred by any Group Member (excluding any Indebtedness incurred in accordance with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(unless such Indebtedness is incurred to replace or refinance the Facilities, in whole or in part)), an amount equal to 100% of the Net Cash Proceeds thereof shall be applied on the date of such incurrence toward the prepayment of the Term Loans and other amounts as set forth in </w:t>
      </w:r>
      <w:r>
        <w:rPr>
          <w:rFonts w:ascii="Times New Roman" w:cs="Times New Roman" w:eastAsia="Times New Roman" w:hAnsi="Times New Roman"/>
          <w:sz w:val="19"/>
          <w:szCs w:val="19"/>
          <w:u w:val="single" w:color="auto"/>
          <w:color w:val="auto"/>
        </w:rPr>
        <w:t>Section 2.12(c)</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3"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on any date any Group Member shall receive Net Cash Proceeds from any Asset Sale or Recovery Event then, unless a Reinvestment Notice shall be delivered within six months after the date of such Asset Sale or Recovery Event, an amount equal to 100% of the Net Cash Proceeds thereof shall be applied on such date toward the prepayment of the Loans and other amounts as set forth in </w:t>
      </w:r>
      <w:r>
        <w:rPr>
          <w:rFonts w:ascii="Times New Roman" w:cs="Times New Roman" w:eastAsia="Times New Roman" w:hAnsi="Times New Roman"/>
          <w:sz w:val="19"/>
          <w:szCs w:val="19"/>
          <w:u w:val="single" w:color="auto"/>
          <w:color w:val="auto"/>
        </w:rPr>
        <w:t>Section 2.12(c)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the foregoing, (i) the aggregate Net Cash Proceeds of Asset Sales and Recovery Events that may be excluded from the foregoing requirement pursuant to a Reinvestment Notice shall not exceed $500,000 in any Fiscal Year of the Borrower and (ii) on each Reinvestment Prepayment Date, an amount equal to the Reinvestment Prepayment Amount with respect to the relevant Reinvestment Event shall be applied toward the prepayment of the Loans and other amounts as set forth in </w:t>
      </w:r>
      <w:r>
        <w:rPr>
          <w:rFonts w:ascii="Times New Roman" w:cs="Times New Roman" w:eastAsia="Times New Roman" w:hAnsi="Times New Roman"/>
          <w:sz w:val="19"/>
          <w:szCs w:val="19"/>
          <w:u w:val="single" w:color="auto"/>
          <w:color w:val="auto"/>
        </w:rPr>
        <w:t>Section 2.12(c)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(x) no Default or Event of Default shall have occurred and be continuing at the time of such Asset Sale or Recovery Event and on any Reinvestment Prepayment Date, in each case as certified by the Borrower in writing to the Administrative Agent and (y) pending such Reinvestment Prepayment Date, such Net Cash Proceeds are held in an account of the Borrower that is subject to a Control Agreement.</w:t>
      </w:r>
    </w:p>
    <w:p>
      <w:pPr>
        <w:spacing w:after="0" w:line="156" w:lineRule="exact"/>
        <w:rPr>
          <w:rFonts w:ascii="Times New Roman" w:cs="Times New Roman" w:eastAsia="Times New Roman" w:hAnsi="Times New Roman"/>
          <w:sz w:val="19"/>
          <w:szCs w:val="19"/>
          <w:color w:val="auto"/>
        </w:rPr>
      </w:pPr>
    </w:p>
    <w:p>
      <w:pPr>
        <w:jc w:val="both"/>
        <w:ind w:firstLine="1254"/>
        <w:spacing w:after="0" w:line="213" w:lineRule="auto"/>
        <w:tabs>
          <w:tab w:leader="none" w:pos="1866"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2.12(h)</w:t>
      </w:r>
      <w:r>
        <w:rPr>
          <w:rFonts w:ascii="Times New Roman" w:cs="Times New Roman" w:eastAsia="Times New Roman" w:hAnsi="Times New Roman"/>
          <w:sz w:val="19"/>
          <w:szCs w:val="19"/>
          <w:color w:val="auto"/>
        </w:rPr>
        <w:t xml:space="preserve"> below, amounts to be applied in connection with prepayments made pursuant to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xml:space="preserve"> shall be applied to the prepayment of installments due in respect of the Term Loans on a pro rata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Term Lender may decline any such prepayment (the aggregate amount of all such prepayments declined in connection with any particular prepayment, collectively, the “</w:t>
      </w:r>
      <w:r>
        <w:rPr>
          <w:rFonts w:ascii="Times New Roman" w:cs="Times New Roman" w:eastAsia="Times New Roman" w:hAnsi="Times New Roman"/>
          <w:sz w:val="19"/>
          <w:szCs w:val="19"/>
          <w:b w:val="1"/>
          <w:bCs w:val="1"/>
          <w:i w:val="1"/>
          <w:iCs w:val="1"/>
          <w:color w:val="auto"/>
        </w:rPr>
        <w:t>Declined Amount</w:t>
      </w:r>
      <w:r>
        <w:rPr>
          <w:rFonts w:ascii="Times New Roman" w:cs="Times New Roman" w:eastAsia="Times New Roman" w:hAnsi="Times New Roman"/>
          <w:sz w:val="19"/>
          <w:szCs w:val="19"/>
          <w:color w:val="auto"/>
        </w:rPr>
        <w:t xml:space="preserve">”), in which case the Declined Amount shall be distributed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the prepayment,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of the Term Loans held by Term Lenders that have elected to accept such Declined Amounts;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the extent of any residual, if no Term Loans remain outstanding, to the prepayment of the Revolving Loans in accordance with </w:t>
      </w:r>
      <w:r>
        <w:rPr>
          <w:rFonts w:ascii="Times New Roman" w:cs="Times New Roman" w:eastAsia="Times New Roman" w:hAnsi="Times New Roman"/>
          <w:sz w:val="19"/>
          <w:szCs w:val="19"/>
          <w:u w:val="single" w:color="auto"/>
          <w:color w:val="auto"/>
        </w:rPr>
        <w:t>Section 2.15(c)</w:t>
      </w:r>
      <w:r>
        <w:rPr>
          <w:rFonts w:ascii="Times New Roman" w:cs="Times New Roman" w:eastAsia="Times New Roman" w:hAnsi="Times New Roman"/>
          <w:sz w:val="19"/>
          <w:szCs w:val="19"/>
          <w:color w:val="auto"/>
        </w:rPr>
        <w:t xml:space="preserve"> (with no corresponding permanent reduction in the Revolving Commitments); and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the extent of any residual, if no Term Loans or Revolving Loans remain outstanding, to the replacement of outstanding Letters of Credit and/or the deposit of an amount in cash (in an amount not to exceed 103% of the then existing L/C Exposure) in a Cash Collateral account established with the Administrative Agent for the benefit of the L/C Lenders on terms and conditions satisfactory to the Issuing Lender). Each prepayment of the Loans under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(except in the case of Revolving Loans that are ABR Loans and Swingline Loans, in the event all Revolving Commitments have not been terminated) shall be accompanied by accrued interest to the date of such prepayment on the amount prepaid. The Borrower shall deliver to the Administrative Agent and each Term Lender notice of each prepayment of Term Loans in whole or in part pursuant to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not less than five Business Days prior to the date such prepayment shall be made (each, a “</w:t>
      </w:r>
      <w:r>
        <w:rPr>
          <w:rFonts w:ascii="Times New Roman" w:cs="Times New Roman" w:eastAsia="Times New Roman" w:hAnsi="Times New Roman"/>
          <w:sz w:val="19"/>
          <w:szCs w:val="19"/>
          <w:b w:val="1"/>
          <w:bCs w:val="1"/>
          <w:i w:val="1"/>
          <w:iCs w:val="1"/>
          <w:color w:val="auto"/>
        </w:rPr>
        <w:t>Mandatory Prepayment Date</w:t>
      </w:r>
      <w:r>
        <w:rPr>
          <w:rFonts w:ascii="Times New Roman" w:cs="Times New Roman" w:eastAsia="Times New Roman" w:hAnsi="Times New Roman"/>
          <w:sz w:val="19"/>
          <w:szCs w:val="19"/>
          <w:color w:val="auto"/>
        </w:rPr>
        <w:t>”). Such notice shall set forth (i) the Mandatory Prepayment Date, (ii) the aggregate amount of such prepayment and (iii) the options of each Term Lender to (x) decline or accept its share of such prepayment and (y) to accept Declined Amounts. Any Term Lender that wishes to exercise its option to decline such prepayment or to accept Declined Amounts shall notify the Administrative Agent by facsimile not later than three Business Days prior to the Mandatory Prepayment Date.</w:t>
      </w:r>
    </w:p>
    <w:p>
      <w:pPr>
        <w:spacing w:after="0" w:line="140"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deliver to the Administrative Agent, at the time of each prepayment required under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w:t>
      </w:r>
    </w:p>
    <w:p>
      <w:pPr>
        <w:ind w:left="240" w:hanging="236"/>
        <w:spacing w:after="0" w:line="214" w:lineRule="auto"/>
        <w:tabs>
          <w:tab w:leader="none" w:pos="24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signed by a Responsible Officer setting forth in reasonable detail the calculation of the amount of such prepayment or reduction</w:t>
      </w:r>
    </w:p>
    <w:p>
      <w:pPr>
        <w:spacing w:after="0" w:line="215" w:lineRule="auto"/>
        <w:rPr>
          <w:sz w:val="20"/>
          <w:szCs w:val="20"/>
          <w:color w:val="auto"/>
        </w:rPr>
      </w:pPr>
      <w:r>
        <w:rPr>
          <w:rFonts w:ascii="Times New Roman" w:cs="Times New Roman" w:eastAsia="Times New Roman" w:hAnsi="Times New Roman"/>
          <w:sz w:val="19"/>
          <w:szCs w:val="19"/>
          <w:color w:val="auto"/>
        </w:rPr>
        <w:t>and (ii) to the extent practicable, at least five days prior written notice of such prepayment or reduction (and the Administrative Agent shall</w:t>
      </w:r>
    </w:p>
    <w:p>
      <w:pPr>
        <w:spacing w:after="0" w:line="225" w:lineRule="auto"/>
        <w:rPr>
          <w:sz w:val="20"/>
          <w:szCs w:val="20"/>
          <w:color w:val="auto"/>
        </w:rPr>
      </w:pPr>
      <w:r>
        <w:rPr>
          <w:rFonts w:ascii="Times New Roman" w:cs="Times New Roman" w:eastAsia="Times New Roman" w:hAnsi="Times New Roman"/>
          <w:sz w:val="19"/>
          <w:szCs w:val="19"/>
          <w:color w:val="auto"/>
        </w:rPr>
        <w:t>promptly provide the same to each Lender). Each notice of prepayment shall specify the prepayment or reduction date, the Type of each Loan being prepaid and the principal amount of each Loan (or portion thereof) to be prepaid.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1900" w:h="16838" w:orient="portrait"/>
          <w:cols w:equalWidth="0" w:num="1">
            <w:col w:w="11240"/>
          </w:cols>
          <w:pgMar w:left="320" w:top="1354" w:right="339" w:bottom="1440" w:gutter="0" w:footer="0" w:header="0"/>
        </w:sectPr>
      </w:pPr>
    </w:p>
    <w:bookmarkStart w:id="179" w:name="page180"/>
    <w:bookmarkEnd w:id="179"/>
    <w:p>
      <w:pPr>
        <w:ind w:firstLine="1254"/>
        <w:spacing w:after="0" w:line="249" w:lineRule="auto"/>
        <w:tabs>
          <w:tab w:leader="none" w:pos="1866"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from time to time prepay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the Swingline Loans,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the Revolving Loans, to the extent necessary so that the Total Revolving Extensions of Credit shall not at any time exceed the Total Revolving Commitments then in effect.</w:t>
      </w:r>
    </w:p>
    <w:p>
      <w:pPr>
        <w:spacing w:after="0" w:line="132"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prepayment fee shall be payable in respect of any mandatory prepayments made pursuant to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3"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the aggregate amount of deposits made into the Collection Account in accordance with </w:t>
      </w:r>
      <w:r>
        <w:rPr>
          <w:rFonts w:ascii="Times New Roman" w:cs="Times New Roman" w:eastAsia="Times New Roman" w:hAnsi="Times New Roman"/>
          <w:sz w:val="19"/>
          <w:szCs w:val="19"/>
          <w:u w:val="single" w:color="auto"/>
          <w:color w:val="auto"/>
        </w:rPr>
        <w:t>Section 6.19(c)</w:t>
      </w:r>
      <w:r>
        <w:rPr>
          <w:rFonts w:ascii="Times New Roman" w:cs="Times New Roman" w:eastAsia="Times New Roman" w:hAnsi="Times New Roman"/>
          <w:sz w:val="19"/>
          <w:szCs w:val="19"/>
          <w:color w:val="auto"/>
        </w:rPr>
        <w:t xml:space="preserve"> exceeds $3,000,000, an amount equal to such excess shall be applied toward the prepayment of the Loans and other amounts as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2.12(c)</w:t>
      </w:r>
      <w:r>
        <w:rPr>
          <w:rFonts w:ascii="Times New Roman" w:cs="Times New Roman" w:eastAsia="Times New Roman" w:hAnsi="Times New Roman"/>
          <w:sz w:val="19"/>
          <w:szCs w:val="19"/>
          <w:color w:val="auto"/>
        </w:rPr>
        <w:t xml:space="preserve">. Any such prepayment under this </w:t>
      </w:r>
      <w:r>
        <w:rPr>
          <w:rFonts w:ascii="Times New Roman" w:cs="Times New Roman" w:eastAsia="Times New Roman" w:hAnsi="Times New Roman"/>
          <w:sz w:val="19"/>
          <w:szCs w:val="19"/>
          <w:u w:val="single" w:color="auto"/>
          <w:color w:val="auto"/>
        </w:rPr>
        <w:t>Section 2.12(g)</w:t>
      </w:r>
      <w:r>
        <w:rPr>
          <w:rFonts w:ascii="Times New Roman" w:cs="Times New Roman" w:eastAsia="Times New Roman" w:hAnsi="Times New Roman"/>
          <w:sz w:val="19"/>
          <w:szCs w:val="19"/>
          <w:color w:val="auto"/>
        </w:rPr>
        <w:t xml:space="preserve"> shall occur (1) on the first Business Day on which such excess exists and (2) thereafter on the last Business Day of each week to the extent any such excess then exists, in each case unless and until the aggregate amount prepaid under this </w:t>
      </w:r>
      <w:r>
        <w:rPr>
          <w:rFonts w:ascii="Times New Roman" w:cs="Times New Roman" w:eastAsia="Times New Roman" w:hAnsi="Times New Roman"/>
          <w:sz w:val="19"/>
          <w:szCs w:val="19"/>
          <w:u w:val="single" w:color="auto"/>
          <w:color w:val="auto"/>
        </w:rPr>
        <w:t>Section 2.12(g)</w:t>
      </w:r>
      <w:r>
        <w:rPr>
          <w:rFonts w:ascii="Times New Roman" w:cs="Times New Roman" w:eastAsia="Times New Roman" w:hAnsi="Times New Roman"/>
          <w:sz w:val="19"/>
          <w:szCs w:val="19"/>
          <w:color w:val="auto"/>
        </w:rPr>
        <w:t xml:space="preserve"> is equal to $10,000,000.</w:t>
      </w:r>
    </w:p>
    <w:p>
      <w:pPr>
        <w:spacing w:after="0" w:line="144"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Commencing on April 30, 2025, if, at the last Business Day of each month, the Liquidity exceeds $3,000,000, then the Borrower shall prepay any Revolving Loans then outstanding in an amount equal to such excess.</w:t>
      </w:r>
    </w:p>
    <w:p>
      <w:pPr>
        <w:spacing w:after="0" w:line="145"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73"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occurrence of a Triggering Event (as defined in the Fund Guarantee), an amount equal to 100% of the proceeds received in accordance with the terms of the Fund Guarantee shall be applied toward the prepayment of the Loans and other amounts as set forth in </w:t>
      </w:r>
      <w:r>
        <w:rPr>
          <w:rFonts w:ascii="Times New Roman" w:cs="Times New Roman" w:eastAsia="Times New Roman" w:hAnsi="Times New Roman"/>
          <w:sz w:val="19"/>
          <w:szCs w:val="19"/>
          <w:u w:val="single" w:color="auto"/>
          <w:color w:val="auto"/>
        </w:rPr>
        <w:t>Section 2.12(c)</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2.13</w:t>
        <w:tab/>
        <w:t>Conversion and Continuation Options.</w:t>
      </w:r>
    </w:p>
    <w:p>
      <w:pPr>
        <w:spacing w:after="0" w:line="174" w:lineRule="exact"/>
        <w:rPr>
          <w:sz w:val="20"/>
          <w:szCs w:val="20"/>
          <w:color w:val="auto"/>
        </w:rPr>
      </w:pPr>
    </w:p>
    <w:p>
      <w:pPr>
        <w:jc w:val="both"/>
        <w:ind w:firstLine="1254"/>
        <w:spacing w:after="0" w:line="216" w:lineRule="auto"/>
        <w:tabs>
          <w:tab w:leader="none" w:pos="1866"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elect from time to time to convert SOFR Loans to ABR Loans by giving the Administrative Agent prior notice in a Notice of Conversion/Continuation of such election no later than 10:00 A.M. one Business Day prior to the proposed conversion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conversion of SOFR Loans may only be made on the last day of an Interest Period with respect thereto. The Borrower may elect from time to time to convert ABR Loans to SOFR Loans by giving the Administrative Agent prior notice in a Notice of Conversion/Continuation of such election no later than 10:00 A.M. three U.S. Government Securities Business Days prior to the proposed conversion date (which notice shall specify the length of the initial Interest Period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ABR Loan may be converted into a SOFR Loan when any Event of Default has occurred and is continuing. Upon receipt of any such notice, the Administrative Agent shall promptly notify each relevant Lender thereof. If no Interest Period is specified with respect to any SOFR Loans in a Notice of Conversion/Continuation delivered by the Borrower to the Administrative Agent, the Borrower shall be deemed to have selected an Interest Period of one month’s duration.</w:t>
      </w:r>
    </w:p>
    <w:p>
      <w:pPr>
        <w:spacing w:after="0" w:line="157" w:lineRule="exact"/>
        <w:rPr>
          <w:rFonts w:ascii="Times New Roman" w:cs="Times New Roman" w:eastAsia="Times New Roman" w:hAnsi="Times New Roman"/>
          <w:sz w:val="19"/>
          <w:szCs w:val="19"/>
          <w:color w:val="auto"/>
        </w:rPr>
      </w:pPr>
    </w:p>
    <w:p>
      <w:pPr>
        <w:jc w:val="both"/>
        <w:ind w:firstLine="1254"/>
        <w:spacing w:after="0"/>
        <w:tabs>
          <w:tab w:leader="none" w:pos="1863"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elect from time to time to continue any SOFR Loan by giving the Administrative Agent prior notice of such election in a Notice of Conversion/Continuation, in accordance with the applicable provisions of the term “Interest Period” set forth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the length of the next Interest Period to be applicable to such SOFR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SOFR Loan may be continued as such when any Event of Default has occurred and is continuing;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(x) if the Borrower shall fail to give any required notice as described above in this paragraph, upon the expiration of the then current Interest Period, such SOFR Loans shall be automatically continued as SOFR Loans bearing interest at a rate based upon Term SOFR and with an Interest Period of the same length as then expiring Interest Period or (y) if such continuation is not permitted pursuant to the preceding proviso, such SOFR Loans shall be automatically converted to ABR Loans on the last day of such then expiring Interest Period. Upon receipt of any such notice the Administrative Agent shall promptly notify each relevant Lender thereof.</w:t>
      </w:r>
    </w:p>
    <w:p>
      <w:pPr>
        <w:spacing w:after="0" w:line="179"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6"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occurrence and during the continuance of an Event of Default, (i) the Borrower may not elect to have a Loan be made or continued as, or converted to, a SOFR Loan after the expiration of any Interest Period then in effect for such Loan and (ii), any Notice of Conversion/Continuation given by the Borrower with respect to a requested conversion/continuation that has not yet occurred shall, at the Administrative Agent’s option, be deemed to be rescinded by the Borrower and be deemed a request to convert or continue Loans referred to therein as ABR Loans.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1900" w:h="16838" w:orient="portrait"/>
          <w:cols w:equalWidth="0" w:num="1">
            <w:col w:w="11240"/>
          </w:cols>
          <w:pgMar w:left="320" w:top="1354" w:right="339" w:bottom="1440" w:gutter="0" w:footer="0" w:header="0"/>
        </w:sectPr>
      </w:pPr>
    </w:p>
    <w:bookmarkStart w:id="180" w:name="page181"/>
    <w:bookmarkEnd w:id="180"/>
    <w:p>
      <w:pPr>
        <w:jc w:val="both"/>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2.14 Limitations on SOFR Tranches</w:t>
      </w:r>
      <w:r>
        <w:rPr>
          <w:rFonts w:ascii="Times New Roman" w:cs="Times New Roman" w:eastAsia="Times New Roman" w:hAnsi="Times New Roman"/>
          <w:sz w:val="19"/>
          <w:szCs w:val="19"/>
          <w:color w:val="auto"/>
        </w:rPr>
        <w:t>. Notwithstanding anything to the contrary in this Agreement, all borrowings, conversions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continuations of SOFR Loans and all selections of Interest Periods shall be in such amounts and be made pursuant to such elections so that,</w:t>
      </w:r>
    </w:p>
    <w:p>
      <w:pPr>
        <w:spacing w:after="0" w:line="1" w:lineRule="exact"/>
        <w:rPr>
          <w:sz w:val="20"/>
          <w:szCs w:val="20"/>
          <w:color w:val="auto"/>
        </w:rPr>
      </w:pPr>
    </w:p>
    <w:p>
      <w:pPr>
        <w:jc w:val="both"/>
        <w:ind w:firstLine="4"/>
        <w:spacing w:after="0" w:line="226" w:lineRule="auto"/>
        <w:tabs>
          <w:tab w:leader="none" w:pos="26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thereto, the aggregate principal amount of the SOFR Loans comprising each SOFR Tranche shall be equal to $1,000,000 or a whole multiple of $100,000 in excess thereof (or such lesser amount as shall represent all of the SOFR Loans then outstanding), and (b) no more than seven SOFR Tranches shall be outstanding at any one time.</w:t>
      </w:r>
    </w:p>
    <w:p>
      <w:pPr>
        <w:spacing w:after="0" w:line="14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2.15</w:t>
        <w:tab/>
        <w:t>Interest Rates and Payment Dates.</w:t>
      </w:r>
    </w:p>
    <w:p>
      <w:pPr>
        <w:spacing w:after="0" w:line="186" w:lineRule="exact"/>
        <w:rPr>
          <w:sz w:val="20"/>
          <w:szCs w:val="20"/>
          <w:color w:val="auto"/>
        </w:rPr>
      </w:pPr>
    </w:p>
    <w:p>
      <w:pPr>
        <w:ind w:left="1880" w:hanging="626"/>
        <w:spacing w:after="0"/>
        <w:tabs>
          <w:tab w:leader="none" w:pos="188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SOFR Loan shall bear interest at a rate per annum equal to (i) Term SOFR for the Interest Period therefor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Applicable Margin.</w:t>
      </w:r>
    </w:p>
    <w:p>
      <w:pPr>
        <w:spacing w:after="0" w:line="149"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ABR Loan (including any Swingline Loan) shall bear interest at a rate per annum equal to (i) the ABR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the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Applicable Margin.</w:t>
      </w:r>
    </w:p>
    <w:p>
      <w:pPr>
        <w:spacing w:after="0" w:line="163"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6"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continuance of an Event of Default, at the request of Required Lenders, all outstanding Loans shall bear interest at a rate per annum equal to the rate that would otherwise be applicable thereto pursuant to the foregoing provisions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 plus</w:t>
      </w:r>
      <w:r>
        <w:rPr>
          <w:rFonts w:ascii="Times New Roman" w:cs="Times New Roman" w:eastAsia="Times New Roman" w:hAnsi="Times New Roman"/>
          <w:sz w:val="19"/>
          <w:szCs w:val="19"/>
          <w:color w:val="auto"/>
        </w:rPr>
        <w:t xml:space="preserve"> 2.00% (the “</w:t>
      </w:r>
      <w:r>
        <w:rPr>
          <w:rFonts w:ascii="Times New Roman" w:cs="Times New Roman" w:eastAsia="Times New Roman" w:hAnsi="Times New Roman"/>
          <w:sz w:val="19"/>
          <w:szCs w:val="19"/>
          <w:b w:val="1"/>
          <w:bCs w:val="1"/>
          <w:i w:val="1"/>
          <w:iCs w:val="1"/>
          <w:color w:val="auto"/>
        </w:rPr>
        <w:t>Default 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Default Rate shall apply to all outstanding Loans automatically and without any Required Lender consent therefor upon the occurrence and continuance of any Event of Default arising under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8.1(a)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8.1 (f)</w:t>
      </w:r>
      <w:r>
        <w:rPr>
          <w:rFonts w:ascii="Times New Roman" w:cs="Times New Roman" w:eastAsia="Times New Roman" w:hAnsi="Times New Roman"/>
          <w:sz w:val="19"/>
          <w:szCs w:val="19"/>
          <w:color w:val="auto"/>
        </w:rPr>
        <w:t>.</w:t>
      </w:r>
    </w:p>
    <w:p>
      <w:pPr>
        <w:spacing w:after="0" w:line="140" w:lineRule="exact"/>
        <w:rPr>
          <w:rFonts w:ascii="Times New Roman" w:cs="Times New Roman" w:eastAsia="Times New Roman" w:hAnsi="Times New Roman"/>
          <w:sz w:val="19"/>
          <w:szCs w:val="19"/>
          <w:color w:val="auto"/>
        </w:rPr>
      </w:pPr>
    </w:p>
    <w:p>
      <w:pPr>
        <w:jc w:val="both"/>
        <w:ind w:firstLine="1254"/>
        <w:spacing w:after="0"/>
        <w:tabs>
          <w:tab w:leader="none" w:pos="1863"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Interest shall be payable in arrears on each Interest Payment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interest accruing pursuant to </w:t>
      </w:r>
      <w:r>
        <w:rPr>
          <w:rFonts w:ascii="Times New Roman" w:cs="Times New Roman" w:eastAsia="Times New Roman" w:hAnsi="Times New Roman"/>
          <w:sz w:val="19"/>
          <w:szCs w:val="19"/>
          <w:u w:val="single" w:color="auto"/>
          <w:color w:val="auto"/>
        </w:rPr>
        <w:t>Section 2.15(c)</w:t>
      </w:r>
      <w:r>
        <w:rPr>
          <w:rFonts w:ascii="Times New Roman" w:cs="Times New Roman" w:eastAsia="Times New Roman" w:hAnsi="Times New Roman"/>
          <w:sz w:val="19"/>
          <w:szCs w:val="19"/>
          <w:color w:val="auto"/>
        </w:rPr>
        <w:t xml:space="preserve"> shall be payable from time to time on demand and (y) in the event of any conversion of any SOFR Loan prior to the Interest Payment Date, accrued interest on such SOFR Loan and any amounts owing pursuant to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shall be payable on the effective date of such conversion.</w:t>
      </w:r>
    </w:p>
    <w:p>
      <w:pPr>
        <w:spacing w:after="0" w:line="31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2.16</w:t>
        <w:tab/>
        <w:t>Computation of Interest and Fees; Conforming Changes.</w:t>
      </w:r>
    </w:p>
    <w:p>
      <w:pPr>
        <w:spacing w:after="0" w:line="174" w:lineRule="exact"/>
        <w:rPr>
          <w:sz w:val="20"/>
          <w:szCs w:val="20"/>
          <w:color w:val="auto"/>
        </w:rPr>
      </w:pPr>
    </w:p>
    <w:p>
      <w:pPr>
        <w:jc w:val="both"/>
        <w:ind w:firstLine="1254"/>
        <w:spacing w:after="0" w:line="219" w:lineRule="auto"/>
        <w:tabs>
          <w:tab w:leader="none" w:pos="1866"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and fees payable pursuant hereto shall be calculated on the basis of a 360-day year for the actual days elapsed, except that, with respect to ABR Loans the rate of interest on which is calculated on the basis of the Prime Rate, the interest thereon shall be calculated on the basis of a 365- (or 366-, as the case may be) day year for the actual days elapsed. All interest hereunder on any Loan shall be computed on a daily basis based upon the outstanding principal amount of such Loan as of the applicable date of determination.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54"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3"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cs="Times New Roman" w:eastAsia="Times New Roman" w:hAnsi="Times New Roman"/>
          <w:sz w:val="19"/>
          <w:szCs w:val="19"/>
          <w:u w:val="single" w:color="auto"/>
          <w:color w:val="auto"/>
        </w:rPr>
        <w:t>Section 2.16(a)</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jc w:val="both"/>
        <w:ind w:firstLine="1254"/>
        <w:spacing w:after="0" w:line="220" w:lineRule="auto"/>
        <w:tabs>
          <w:tab w:leader="none" w:pos="1866"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the use or administration of any Benchmark, the Administrative Agent shall have the right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such Benchmark.</w:t>
      </w:r>
    </w:p>
    <w:p>
      <w:pPr>
        <w:spacing w:after="0" w:line="15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2.17</w:t>
        <w:tab/>
        <w:t>Inability to Determine Interest Rate; Benchmark Replacement Setting.</w:t>
      </w:r>
    </w:p>
    <w:p>
      <w:pPr>
        <w:spacing w:after="0" w:line="187" w:lineRule="exact"/>
        <w:rPr>
          <w:sz w:val="20"/>
          <w:szCs w:val="20"/>
          <w:color w:val="auto"/>
        </w:rPr>
      </w:pPr>
    </w:p>
    <w:p>
      <w:pPr>
        <w:ind w:left="1880" w:hanging="626"/>
        <w:spacing w:after="0"/>
        <w:tabs>
          <w:tab w:leader="none" w:pos="188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Inability to Determine Interest Rate</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if, as of any date:</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45" w:lineRule="exact"/>
        <w:rPr>
          <w:rFonts w:ascii="Times New Roman" w:cs="Times New Roman" w:eastAsia="Times New Roman" w:hAnsi="Times New Roman"/>
          <w:sz w:val="19"/>
          <w:szCs w:val="19"/>
          <w:color w:val="auto"/>
        </w:rPr>
      </w:pPr>
    </w:p>
    <w:p>
      <w:pPr>
        <w:ind w:left="55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49</w:t>
      </w:r>
    </w:p>
    <w:p>
      <w:pPr>
        <w:sectPr>
          <w:pgSz w:w="11900" w:h="16838" w:orient="portrait"/>
          <w:cols w:equalWidth="0" w:num="1">
            <w:col w:w="11240"/>
          </w:cols>
          <w:pgMar w:left="320" w:top="1352" w:right="339" w:bottom="1440" w:gutter="0" w:footer="0" w:header="0"/>
        </w:sectPr>
      </w:pPr>
    </w:p>
    <w:bookmarkStart w:id="181" w:name="page182"/>
    <w:bookmarkEnd w:id="181"/>
    <w:p>
      <w:pPr>
        <w:ind w:firstLine="1880"/>
        <w:spacing w:after="0" w:line="249" w:lineRule="auto"/>
        <w:tabs>
          <w:tab w:leader="none" w:pos="2498"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determines (which determination shall be conclusive and binding absent manifest error) that “Term SOFR” cannot be determined pursuant to the definition thereof, or</w:t>
      </w:r>
    </w:p>
    <w:p>
      <w:pPr>
        <w:spacing w:after="0" w:line="132" w:lineRule="exact"/>
        <w:rPr>
          <w:rFonts w:ascii="Times New Roman" w:cs="Times New Roman" w:eastAsia="Times New Roman" w:hAnsi="Times New Roman"/>
          <w:sz w:val="19"/>
          <w:szCs w:val="19"/>
          <w:color w:val="auto"/>
        </w:rPr>
      </w:pPr>
    </w:p>
    <w:p>
      <w:pPr>
        <w:jc w:val="both"/>
        <w:ind w:firstLine="1880"/>
        <w:spacing w:after="0" w:line="226" w:lineRule="auto"/>
        <w:tabs>
          <w:tab w:leader="none" w:pos="2499"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the Administrative Agent will promptly so notify the Borrower and each Lender. Upon notice thereof by the Administrative Agent to the Borrower, any obligation of the Lenders to make and any right of the Borrower to continue SOFR Loans or to convert ABR Loans to SOFR Loans shall be suspended (to the extent of the affected Interest Periods) until the Administrative Agent (with respect to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at the instruction of the Required Lenders) revokes such notice. Upon receipt of such notice, (i) the Borrower may revoke any pending request for a borrowing of, conversion to or, in the case of SOFR Loans, continuation of SOFR Loans (to the extent of the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if the Administrative Agent determines (which determination shall be conclusive and binding absent manifest error) that “Term SOFR” cannot be determined pursuant to the definition thereof, in each case on any given day, the interest rate on ABR Loans shall be determined by the Administrative Agent without reference to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the definition of “ABR” until the Administrative Agent revokes such determination.</w:t>
      </w:r>
    </w:p>
    <w:p>
      <w:pPr>
        <w:spacing w:after="0" w:line="169" w:lineRule="exact"/>
        <w:rPr>
          <w:sz w:val="20"/>
          <w:szCs w:val="20"/>
          <w:color w:val="auto"/>
        </w:rPr>
      </w:pPr>
    </w:p>
    <w:p>
      <w:pPr>
        <w:ind w:left="1860" w:hanging="606"/>
        <w:spacing w:after="0"/>
        <w:tabs>
          <w:tab w:leader="none" w:pos="186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 Setting</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jc w:val="both"/>
        <w:ind w:firstLine="1880"/>
        <w:spacing w:after="0" w:line="214" w:lineRule="auto"/>
        <w:tabs>
          <w:tab w:leader="none" w:pos="2498"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affected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62" w:lineRule="exact"/>
        <w:rPr>
          <w:rFonts w:ascii="Times New Roman" w:cs="Times New Roman" w:eastAsia="Times New Roman" w:hAnsi="Times New Roman"/>
          <w:sz w:val="19"/>
          <w:szCs w:val="19"/>
          <w:color w:val="auto"/>
        </w:rPr>
      </w:pPr>
    </w:p>
    <w:p>
      <w:pPr>
        <w:jc w:val="both"/>
        <w:ind w:firstLine="1880"/>
        <w:spacing w:after="0" w:line="226" w:lineRule="auto"/>
        <w:tabs>
          <w:tab w:leader="none" w:pos="2499"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1900" w:h="16838" w:orient="portrait"/>
          <w:cols w:equalWidth="0" w:num="1">
            <w:col w:w="11240"/>
          </w:cols>
          <w:pgMar w:left="320" w:top="1354" w:right="339" w:bottom="1440" w:gutter="0" w:footer="0" w:header="0"/>
        </w:sectPr>
      </w:pPr>
    </w:p>
    <w:bookmarkStart w:id="182" w:name="page183"/>
    <w:bookmarkEnd w:id="182"/>
    <w:p>
      <w:pPr>
        <w:jc w:val="both"/>
        <w:ind w:firstLine="1880"/>
        <w:spacing w:after="0" w:line="216" w:lineRule="auto"/>
        <w:tabs>
          <w:tab w:leader="none" w:pos="250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Standards for Decisions and Determinations</w:t>
      </w:r>
      <w:r>
        <w:rPr>
          <w:rFonts w:ascii="Times New Roman" w:cs="Times New Roman" w:eastAsia="Times New Roman" w:hAnsi="Times New Roman"/>
          <w:sz w:val="19"/>
          <w:szCs w:val="19"/>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19"/>
          <w:szCs w:val="19"/>
          <w:u w:val="single" w:color="auto"/>
          <w:color w:val="auto"/>
        </w:rPr>
        <w:t>Section 2.17(b)(iv)</w:t>
      </w:r>
      <w:r>
        <w:rPr>
          <w:rFonts w:ascii="Times New Roman" w:cs="Times New Roman" w:eastAsia="Times New Roman" w:hAnsi="Times New Roman"/>
          <w:sz w:val="19"/>
          <w:szCs w:val="19"/>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w:t>
      </w:r>
    </w:p>
    <w:p>
      <w:pPr>
        <w:spacing w:after="0" w:line="157" w:lineRule="exact"/>
        <w:rPr>
          <w:rFonts w:ascii="Times New Roman" w:cs="Times New Roman" w:eastAsia="Times New Roman" w:hAnsi="Times New Roman"/>
          <w:sz w:val="19"/>
          <w:szCs w:val="19"/>
          <w:color w:val="auto"/>
        </w:rPr>
      </w:pPr>
    </w:p>
    <w:p>
      <w:pPr>
        <w:jc w:val="both"/>
        <w:ind w:firstLine="1880"/>
        <w:spacing w:after="0" w:line="234" w:lineRule="auto"/>
        <w:tabs>
          <w:tab w:leader="none" w:pos="2490"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Unavailability of Tenor of Benchmark</w:t>
      </w:r>
      <w:r>
        <w:rPr>
          <w:rFonts w:ascii="Times New Roman" w:cs="Times New Roman" w:eastAsia="Times New Roman" w:hAnsi="Times New Roman"/>
          <w:sz w:val="19"/>
          <w:szCs w:val="19"/>
          <w:color w:val="auto"/>
        </w:rPr>
        <w:t xml:space="preserve">.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(if applicable) (or any similar or analogous definition) for any Benchmark settings at or after such time to remove such unavailable or non-representative tenor and (ii) if a tenor that was removed pursuant to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(if applicable) (or any similar or analogous definition) for all Benchmark settings at or after such time to reinstate such previously removed tenor.</w:t>
      </w:r>
    </w:p>
    <w:p>
      <w:pPr>
        <w:spacing w:after="0" w:line="157" w:lineRule="exact"/>
        <w:rPr>
          <w:rFonts w:ascii="Times New Roman" w:cs="Times New Roman" w:eastAsia="Times New Roman" w:hAnsi="Times New Roman"/>
          <w:sz w:val="19"/>
          <w:szCs w:val="19"/>
          <w:color w:val="auto"/>
        </w:rPr>
      </w:pPr>
    </w:p>
    <w:p>
      <w:pPr>
        <w:jc w:val="both"/>
        <w:ind w:firstLine="1880"/>
        <w:spacing w:after="0" w:line="219" w:lineRule="auto"/>
        <w:tabs>
          <w:tab w:leader="none" w:pos="2489"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(i) the Borrower will be deemed to have converted any such request into a request for a Borrowing of or conversion to ABR Loans and (ii) any outstanding affected SOFR Loans will be deemed to have been converted into ABR Loans at the end of the applicable Interest Period.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3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2.18</w:t>
      </w:r>
      <w:r>
        <w:rPr>
          <w:sz w:val="20"/>
          <w:szCs w:val="20"/>
          <w:color w:val="auto"/>
        </w:rPr>
        <w:tab/>
      </w:r>
      <w:r>
        <w:rPr>
          <w:rFonts w:ascii="Times New Roman" w:cs="Times New Roman" w:eastAsia="Times New Roman" w:hAnsi="Times New Roman"/>
          <w:sz w:val="18"/>
          <w:szCs w:val="18"/>
          <w:b w:val="1"/>
          <w:bCs w:val="1"/>
          <w:color w:val="auto"/>
        </w:rPr>
        <w:t>Pro Rata Treatment and Payments.</w:t>
      </w:r>
    </w:p>
    <w:p>
      <w:pPr>
        <w:spacing w:after="0" w:line="187" w:lineRule="exact"/>
        <w:rPr>
          <w:sz w:val="20"/>
          <w:szCs w:val="20"/>
          <w:color w:val="auto"/>
        </w:rPr>
      </w:pPr>
    </w:p>
    <w:p>
      <w:pPr>
        <w:jc w:val="both"/>
        <w:ind w:firstLine="1254"/>
        <w:spacing w:after="0" w:line="229" w:lineRule="auto"/>
        <w:tabs>
          <w:tab w:leader="none" w:pos="1866"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borrowing by the Borrower from the Lenders hereunder, each payment by the Borrower on account of any commitment fee and any reduction of the Commitments shall be made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according to the respective Term Percentages, L/C Percentages or Revolving Percentages, as the case may be, of the relevant Lenders.</w:t>
      </w:r>
    </w:p>
    <w:p>
      <w:pPr>
        <w:spacing w:after="0" w:line="156"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3"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provided herein, each payment (including each prepayment) by the Borrower on account of principal of and interest on the Term Loans shall be made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according to the respective outstanding principal amounts of the Term Loans then held by the Term Lenders. The amount of each optional principal prepayment of the Term Loans shall be applied as directed by the Borrower. The amount of each principal prepayment of the Term Loans shall be applied to reduce the then remaining installments of the Term Loans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based upon the respective then remaining principal amounts thereof. Except as otherwise may be agreed by the Borrower and the Required Lenders, any prepayment of Loans shall be applied to the then outstanding Term Loans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regardless of type. Amounts prepaid on account of the Term Loans may not be reborrowed.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ectPr>
          <w:pgSz w:w="11900" w:h="16838" w:orient="portrait"/>
          <w:cols w:equalWidth="0" w:num="1">
            <w:col w:w="11240"/>
          </w:cols>
          <w:pgMar w:left="320" w:top="1354" w:right="339" w:bottom="1440" w:gutter="0" w:footer="0" w:header="0"/>
        </w:sectPr>
      </w:pPr>
    </w:p>
    <w:bookmarkStart w:id="183" w:name="page184"/>
    <w:bookmarkEnd w:id="183"/>
    <w:p>
      <w:pPr>
        <w:jc w:val="both"/>
        <w:ind w:firstLine="1254"/>
        <w:spacing w:after="0" w:line="229" w:lineRule="auto"/>
        <w:tabs>
          <w:tab w:leader="none" w:pos="1866"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payment (including each prepayment) by the Borrower on account of principal of and interest on the Revolving Loans shall be made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according to the respective outstanding principal amounts of the Revolving Loans then held by the Revolving Lenders.</w:t>
      </w:r>
    </w:p>
    <w:p>
      <w:pPr>
        <w:spacing w:after="0" w:line="156"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3"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(including prepayments) to be made by the Borrower hereunder, whether on account of principal, interest, fees or otherwise, shall be made without condition or deduction for any counterclaim, defense, recoupment or setoff and shall be made prior to 10:00 A.M. on the due date thereof to the Administrative Agent, for the account of the Lenders, at the applicable Funding Office, in Dollars and in immediately available funds. The Administrative Agent shall distribute such payments to the Lenders promptly upon receipt in like funds as received. Any payment received by the Administrative Agent after 10:00 A.M. shall be deemed received on the next succeeding Business Day and any applicable interest or fee shall continue to accrue. If any payment hereunder (other than payments on the SOFR Loans) becomes due and payable on a day other than a Business Day, such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42" w:lineRule="exact"/>
        <w:rPr>
          <w:rFonts w:ascii="Times New Roman" w:cs="Times New Roman" w:eastAsia="Times New Roman" w:hAnsi="Times New Roman"/>
          <w:sz w:val="19"/>
          <w:szCs w:val="19"/>
          <w:color w:val="auto"/>
        </w:rPr>
      </w:pPr>
    </w:p>
    <w:p>
      <w:pPr>
        <w:jc w:val="both"/>
        <w:ind w:firstLine="1254"/>
        <w:spacing w:after="0" w:line="214" w:lineRule="auto"/>
        <w:tabs>
          <w:tab w:leader="none" w:pos="1866"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under the relevant Facility.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50" w:lineRule="exact"/>
        <w:rPr>
          <w:rFonts w:ascii="Times New Roman" w:cs="Times New Roman" w:eastAsia="Times New Roman" w:hAnsi="Times New Roman"/>
          <w:sz w:val="19"/>
          <w:szCs w:val="19"/>
          <w:color w:val="auto"/>
        </w:rPr>
      </w:pPr>
    </w:p>
    <w:p>
      <w:pPr>
        <w:jc w:val="both"/>
        <w:ind w:firstLine="1254"/>
        <w:spacing w:after="0" w:line="218" w:lineRule="auto"/>
        <w:tabs>
          <w:tab w:leader="none" w:pos="1871"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the Borrower.</w:t>
      </w:r>
    </w:p>
    <w:p>
      <w:pPr>
        <w:spacing w:after="0" w:line="141"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3"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are not satisfied or waived in accordance with the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1900" w:h="16838" w:orient="portrait"/>
          <w:cols w:equalWidth="0" w:num="1">
            <w:col w:w="11240"/>
          </w:cols>
          <w:pgMar w:left="320" w:top="1354"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9"/>
          <w:szCs w:val="19"/>
          <w:color w:val="auto"/>
        </w:rPr>
        <w:t>terms hereof, the Administrative Agent shall return such funds (in like funds as received from such Lender) to such Lender, without interest.</w:t>
      </w:r>
    </w:p>
    <w:p>
      <w:pPr>
        <w:spacing w:after="0" w:line="185" w:lineRule="exact"/>
        <w:rPr>
          <w:sz w:val="20"/>
          <w:szCs w:val="20"/>
          <w:color w:val="auto"/>
        </w:rPr>
      </w:pPr>
    </w:p>
    <w:p>
      <w:pPr>
        <w:jc w:val="both"/>
        <w:ind w:firstLine="1254"/>
        <w:spacing w:after="0" w:line="219" w:lineRule="auto"/>
        <w:tabs>
          <w:tab w:leader="none" w:pos="1863"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obligations of the Lenders hereunder to (i) make Term Loans, (ii) make Revolving Loans, (iii) to fund its participations in L/C Disbursements in accordance with its respective L/C Percentage, (iv) to fund its respective Swingline Participation Amount of any Swingline Loan, and (v) to make payments pursuant to </w:t>
      </w:r>
      <w:r>
        <w:rPr>
          <w:rFonts w:ascii="Times New Roman" w:cs="Times New Roman" w:eastAsia="Times New Roman" w:hAnsi="Times New Roman"/>
          <w:sz w:val="19"/>
          <w:szCs w:val="19"/>
          <w:u w:val="single" w:color="auto"/>
          <w:color w:val="auto"/>
        </w:rPr>
        <w:t>Section 9.7</w:t>
      </w:r>
      <w:r>
        <w:rPr>
          <w:rFonts w:ascii="Times New Roman" w:cs="Times New Roman" w:eastAsia="Times New Roman" w:hAnsi="Times New Roman"/>
          <w:sz w:val="19"/>
          <w:szCs w:val="19"/>
          <w:color w:val="auto"/>
        </w:rPr>
        <w:t xml:space="preserve">, as applicable, are several and not joint. The failure of any Lender to make any such Loan, to fund any such participation or to make any such payment under </w:t>
      </w:r>
      <w:r>
        <w:rPr>
          <w:rFonts w:ascii="Times New Roman" w:cs="Times New Roman" w:eastAsia="Times New Roman" w:hAnsi="Times New Roman"/>
          <w:sz w:val="19"/>
          <w:szCs w:val="19"/>
          <w:u w:val="single" w:color="auto"/>
          <w:color w:val="auto"/>
        </w:rPr>
        <w:t>Section 9.7</w:t>
      </w:r>
      <w:r>
        <w:rPr>
          <w:rFonts w:ascii="Times New Roman" w:cs="Times New Roman" w:eastAsia="Times New Roman" w:hAnsi="Times New Roman"/>
          <w:sz w:val="19"/>
          <w:szCs w:val="19"/>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9"/>
          <w:szCs w:val="19"/>
          <w:u w:val="single" w:color="auto"/>
          <w:color w:val="auto"/>
        </w:rPr>
        <w:t>Section 9.7</w:t>
      </w:r>
      <w:r>
        <w:rPr>
          <w:rFonts w:ascii="Times New Roman" w:cs="Times New Roman" w:eastAsia="Times New Roman" w:hAnsi="Times New Roman"/>
          <w:sz w:val="19"/>
          <w:szCs w:val="19"/>
          <w:color w:val="auto"/>
        </w:rPr>
        <w:t>.</w:t>
      </w:r>
    </w:p>
    <w:p>
      <w:pPr>
        <w:spacing w:after="0" w:line="158" w:lineRule="exact"/>
        <w:rPr>
          <w:rFonts w:ascii="Times New Roman" w:cs="Times New Roman" w:eastAsia="Times New Roman" w:hAnsi="Times New Roman"/>
          <w:sz w:val="19"/>
          <w:szCs w:val="19"/>
          <w:color w:val="auto"/>
        </w:rPr>
      </w:pPr>
    </w:p>
    <w:p>
      <w:pPr>
        <w:ind w:firstLine="1254"/>
        <w:spacing w:after="0" w:line="237" w:lineRule="auto"/>
        <w:tabs>
          <w:tab w:leader="none" w:pos="1873"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4"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73"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toward payment of principal then due hereunder, ratably among the parties entitled thereto in accordance with the amounts of principal then due to such parties.</w:t>
      </w:r>
    </w:p>
    <w:p>
      <w:pPr>
        <w:spacing w:after="0" w:line="153" w:lineRule="exact"/>
        <w:rPr>
          <w:rFonts w:ascii="Times New Roman" w:cs="Times New Roman" w:eastAsia="Times New Roman" w:hAnsi="Times New Roman"/>
          <w:sz w:val="19"/>
          <w:szCs w:val="19"/>
          <w:color w:val="auto"/>
        </w:rPr>
      </w:pPr>
    </w:p>
    <w:p>
      <w:pPr>
        <w:jc w:val="both"/>
        <w:ind w:firstLine="1254"/>
        <w:spacing w:after="0" w:line="220" w:lineRule="auto"/>
        <w:tabs>
          <w:tab w:leader="none" w:pos="1863"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Term Percentage, Revolving Percentage or L/C Percentage, as applicable, of such payment on account of the Loans or participations obtained by all of the Lenders, such Lender shall (a) notify the Administrative Agent of the receipt of such payment, and (b) within five Business Days of such receipt purchase (for cash at face value) from the other Term Lenders, Revolving Lenders or L/C Lenders, as applicable (through the Administrative Agent), without recourse, such participations in the Term Loans or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Term Percentages, Revolving Percentages or L/C Percentages,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or participations in L/C Disbursements to any assignee or participant, other than to Holdings or any Subsidiary thereof (as to which the provisions of this paragraph shall apply). The Borrower agrees that any Lender so purchasing a participation from another Lender pursuant to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shall be required to implement the terms of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The Administrative Agent shall keep records (which shall be conclusive and binding in the absence of manifest error) of participations purchased pursuant to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and shall in each case notify the Term Lenders, the Revolving Lenders or the L/C Lenders, as applicable, following any such purchase. The provisions of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shall not be construed to apply to (i) any payment made by or on behalf of the Borrower pursuant to and in accordance with the express terms of this Agreement (including the application of funds arising from the existence of a Defaulting Lender), (ii) the application of Cash Collateral provided for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or (iii) any payment obtained by a Lender as consideration for the assignment of or sale of a participation in any of its Loans or sub-participations in any L/C Exposure to any assignee or participant, other than an assignment to Holdings or any Subsidiary thereof (as to which the provisions of this Section shall apply).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1900" w:h="16838" w:orient="portrait"/>
          <w:cols w:equalWidth="0" w:num="1">
            <w:col w:w="11240"/>
          </w:cols>
          <w:pgMar w:left="320" w:top="1354"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9"/>
          <w:szCs w:val="19"/>
          <w:color w:val="auto"/>
        </w:rPr>
        <w:t>The Borrower consents on behalf of itself and each other Loan Party to the foregoing and agrees, to the extent it may effectively do so under</w:t>
      </w:r>
    </w:p>
    <w:p>
      <w:pPr>
        <w:spacing w:after="0" w:line="207" w:lineRule="auto"/>
        <w:rPr>
          <w:sz w:val="20"/>
          <w:szCs w:val="20"/>
          <w:color w:val="auto"/>
        </w:rPr>
      </w:pPr>
      <w:r>
        <w:rPr>
          <w:rFonts w:ascii="Times New Roman" w:cs="Times New Roman" w:eastAsia="Times New Roman" w:hAnsi="Times New Roman"/>
          <w:sz w:val="19"/>
          <w:szCs w:val="19"/>
          <w:color w:val="auto"/>
        </w:rPr>
        <w:t>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participation. For the avoidance of doubt, no amounts received by the Administrative Agent or any Lender from any Guarantor that is not a Qualified ECP Guarantor shall be applied in partial or complete satisfaction of any Excluded Swap Obligations.</w:t>
      </w:r>
    </w:p>
    <w:p>
      <w:pPr>
        <w:spacing w:after="0" w:line="142" w:lineRule="exact"/>
        <w:rPr>
          <w:sz w:val="20"/>
          <w:szCs w:val="20"/>
          <w:color w:val="auto"/>
        </w:rPr>
      </w:pPr>
    </w:p>
    <w:p>
      <w:pPr>
        <w:jc w:val="both"/>
        <w:ind w:firstLine="1254"/>
        <w:spacing w:after="0" w:line="222" w:lineRule="auto"/>
        <w:tabs>
          <w:tab w:leader="none" w:pos="1873"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this Agreement, the Administrative Agent may, in its discretion at any time or from time to time, without the Borrower’s request and even if the conditions set forth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would not be satisfied, make a Revolving Loan in an amount equal to the portion of the Obligations constituting overdue interest and fees and Swingline Loans from time to time due and payable to itself, any Revolving Lender, the Swingline Lender or the Issuing Lender, and apply the proceeds of any such Revolving Loan to those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after giving effect to any such Revolving Loan, the aggregate outstanding Revolving Loans will not exceed the Total Revolving Commitments then in effect.</w:t>
      </w:r>
    </w:p>
    <w:p>
      <w:pPr>
        <w:spacing w:after="0" w:line="14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2.19</w:t>
        <w:tab/>
        <w:t>Illegality; Requirements of Law.</w:t>
      </w:r>
    </w:p>
    <w:p>
      <w:pPr>
        <w:spacing w:after="0" w:line="187" w:lineRule="exact"/>
        <w:rPr>
          <w:sz w:val="20"/>
          <w:szCs w:val="20"/>
          <w:color w:val="auto"/>
        </w:rPr>
      </w:pPr>
    </w:p>
    <w:p>
      <w:pPr>
        <w:jc w:val="both"/>
        <w:ind w:firstLine="1254"/>
        <w:spacing w:after="0" w:line="213" w:lineRule="auto"/>
        <w:tabs>
          <w:tab w:leader="none" w:pos="1866"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Illegality</w:t>
      </w:r>
      <w:r>
        <w:rPr>
          <w:rFonts w:ascii="Times New Roman" w:cs="Times New Roman" w:eastAsia="Times New Roman" w:hAnsi="Times New Roman"/>
          <w:sz w:val="19"/>
          <w:szCs w:val="19"/>
          <w:color w:val="auto"/>
        </w:rPr>
        <w:t>. If any Lender determines that any Requirement of Law imposed after the date hereof has made it unlawful, or that any Governmental Authority has asserted that it is unlawful, for any Lender or its applicable lending office to make, maintain or fund Loans whose interest is determined by reference to SOFR, Term SOFR or Term SOFR Reference Rate, or to determine or charge interest based upon SOFR, Term SOFR or Term SOFR Reference Rate, then, upon written notice thereof by such Lender to the Borrower (through the Administrative Agent) (an “</w:t>
      </w:r>
      <w:r>
        <w:rPr>
          <w:rFonts w:ascii="Times New Roman" w:cs="Times New Roman" w:eastAsia="Times New Roman" w:hAnsi="Times New Roman"/>
          <w:sz w:val="19"/>
          <w:szCs w:val="19"/>
          <w:b w:val="1"/>
          <w:bCs w:val="1"/>
          <w:i w:val="1"/>
          <w:iCs w:val="1"/>
          <w:color w:val="auto"/>
        </w:rPr>
        <w:t>Illegality Notice</w:t>
      </w:r>
      <w:r>
        <w:rPr>
          <w:rFonts w:ascii="Times New Roman" w:cs="Times New Roman" w:eastAsia="Times New Roman" w:hAnsi="Times New Roman"/>
          <w:sz w:val="19"/>
          <w:szCs w:val="19"/>
          <w:color w:val="auto"/>
        </w:rPr>
        <w:t xml:space="preserve">”), (i) any obligation of the Lenders to make SOFR Loans, and the right of the Borrower to continue SOFR Loans or to convert ABR Loans to SOFR Loans, shall be suspended, and (ii) the interest rate on ABR Loans shall, if necessary to avoid such illegality, be determined by the Administrative Agent without reference to SOFR component of the definition of “ABR”,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ABR Loans (the interest rate on which ABR Loans shall, if necessary to avoid such illegality, be determined by the Administrative Agent without reference to SOFR component of the definition of “ABR”) on the Interest Payment Date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Term SOFR or Term SOFR Reference Rate.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3"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Requirements of Law</w:t>
      </w:r>
      <w:r>
        <w:rPr>
          <w:rFonts w:ascii="Times New Roman" w:cs="Times New Roman" w:eastAsia="Times New Roman" w:hAnsi="Times New Roman"/>
          <w:sz w:val="19"/>
          <w:szCs w:val="19"/>
          <w:color w:val="auto"/>
        </w:rPr>
        <w:t>. If the adoption of or any change after the date hereof in any Requirement of Law or in the administration, interpretation, implementation or application thereof by any Governmental Authority, or the making or issuance of any request, rule, guideline or directive (whether or not having the force of law) by any Governmental Authority made subsequent to the date hereof:</w:t>
      </w:r>
    </w:p>
    <w:p>
      <w:pPr>
        <w:spacing w:after="0" w:line="141"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2"/>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subject any Recipient to any Taxes (other than (A) Indemnified Taxes, (B) Taxes described in </w:t>
      </w:r>
      <w:r>
        <w:rPr>
          <w:rFonts w:ascii="Times New Roman" w:cs="Times New Roman" w:eastAsia="Times New Roman" w:hAnsi="Times New Roman"/>
          <w:sz w:val="19"/>
          <w:szCs w:val="19"/>
          <w:u w:val="single" w:color="auto"/>
          <w:color w:val="auto"/>
        </w:rPr>
        <w:t>clauses</w:t>
      </w:r>
    </w:p>
    <w:p>
      <w:pPr>
        <w:ind w:firstLine="4"/>
        <w:spacing w:after="0" w:line="232" w:lineRule="auto"/>
        <w:tabs>
          <w:tab w:leader="none" w:pos="270" w:val="left"/>
        </w:tabs>
        <w:numPr>
          <w:ilvl w:val="0"/>
          <w:numId w:val="13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the definition of Excluded Taxes, and (C) Connection Income Taxes) on its Loans, loan principal, letters of credit, commitments, or other obligations, or its deposits, reserves, other liabilities or capital attributable thereto;</w:t>
      </w:r>
    </w:p>
    <w:p>
      <w:pPr>
        <w:spacing w:after="0" w:line="141" w:lineRule="exact"/>
        <w:rPr>
          <w:rFonts w:ascii="Times New Roman" w:cs="Times New Roman" w:eastAsia="Times New Roman" w:hAnsi="Times New Roman"/>
          <w:sz w:val="19"/>
          <w:szCs w:val="19"/>
          <w:u w:val="single" w:color="auto"/>
          <w:color w:val="auto"/>
        </w:rPr>
      </w:pPr>
    </w:p>
    <w:p>
      <w:pPr>
        <w:jc w:val="both"/>
        <w:ind w:firstLine="1880"/>
        <w:spacing w:after="0" w:line="234" w:lineRule="auto"/>
        <w:tabs>
          <w:tab w:leader="none" w:pos="2499" w:val="left"/>
        </w:tabs>
        <w:numPr>
          <w:ilvl w:val="2"/>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1900" w:h="16838" w:orient="portrait"/>
          <w:cols w:equalWidth="0" w:num="1">
            <w:col w:w="11240"/>
          </w:cols>
          <w:pgMar w:left="320" w:top="1353" w:right="339" w:bottom="1440" w:gutter="0" w:footer="0" w:header="0"/>
        </w:sectPr>
      </w:pPr>
    </w:p>
    <w:bookmarkStart w:id="186" w:name="page187"/>
    <w:bookmarkEnd w:id="186"/>
    <w:p>
      <w:pPr>
        <w:spacing w:after="0" w:line="249" w:lineRule="auto"/>
        <w:rPr>
          <w:sz w:val="20"/>
          <w:szCs w:val="20"/>
          <w:color w:val="auto"/>
        </w:rPr>
      </w:pPr>
      <w:r>
        <w:rPr>
          <w:rFonts w:ascii="Times New Roman" w:cs="Times New Roman" w:eastAsia="Times New Roman" w:hAnsi="Times New Roman"/>
          <w:sz w:val="19"/>
          <w:szCs w:val="19"/>
          <w:color w:val="auto"/>
        </w:rPr>
        <w:t>Regulation D)), special deposit, compulsory loan, insurance charge or similar requirement against assets of, deposits with or for the account of or credit extended or participated in by, any Lender; or</w:t>
      </w:r>
    </w:p>
    <w:p>
      <w:pPr>
        <w:spacing w:after="0" w:line="133" w:lineRule="exact"/>
        <w:rPr>
          <w:sz w:val="20"/>
          <w:szCs w:val="20"/>
          <w:color w:val="auto"/>
        </w:rPr>
      </w:pPr>
    </w:p>
    <w:p>
      <w:pPr>
        <w:ind w:firstLine="1880"/>
        <w:spacing w:after="0" w:line="249" w:lineRule="auto"/>
        <w:tabs>
          <w:tab w:leader="none" w:pos="250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on any Lender any other condition, cost or expense (other than Taxes) affecting this Agreement or Loans made by such Lender or any Letter of Credit or participation therein;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or such other Recipient of making, converting to, continuing or maintaining Loans or of maintaining its obligation to make such Loans, or to increase the cost to such Lender or such other Recipient of issuing, maintaining or participating in Letters of Credit (or of maintaining its obligation to participate in or to issue any Letter of Credit),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w:t>
      </w:r>
    </w:p>
    <w:p>
      <w:pPr>
        <w:spacing w:after="0" w:line="154" w:lineRule="exact"/>
        <w:rPr>
          <w:sz w:val="20"/>
          <w:szCs w:val="20"/>
          <w:color w:val="auto"/>
        </w:rPr>
      </w:pPr>
    </w:p>
    <w:p>
      <w:pPr>
        <w:jc w:val="both"/>
        <w:ind w:firstLine="1254"/>
        <w:spacing w:after="0" w:line="218" w:lineRule="auto"/>
        <w:tabs>
          <w:tab w:leader="none" w:pos="1866"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determines that any change in any Requirement of Law imposed after the date hereof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then from time to time the Borrower will pay to such Lender or the Issuing Lender, as the case may be, such additional amount or amounts as will compensate such Lender or the Issuing Lender or such Lender’s or Issuing Lender’s holding company for any such reduction suffered.</w:t>
      </w:r>
    </w:p>
    <w:p>
      <w:pPr>
        <w:spacing w:after="0" w:line="141"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3"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w:t>
      </w:r>
    </w:p>
    <w:p>
      <w:pPr>
        <w:spacing w:after="0" w:line="157" w:lineRule="exact"/>
        <w:rPr>
          <w:rFonts w:ascii="Times New Roman" w:cs="Times New Roman" w:eastAsia="Times New Roman" w:hAnsi="Times New Roman"/>
          <w:sz w:val="19"/>
          <w:szCs w:val="19"/>
          <w:color w:val="auto"/>
        </w:rPr>
      </w:pPr>
    </w:p>
    <w:p>
      <w:pPr>
        <w:jc w:val="both"/>
        <w:ind w:firstLine="1254"/>
        <w:spacing w:after="0" w:line="214" w:lineRule="auto"/>
        <w:tabs>
          <w:tab w:leader="none" w:pos="1866"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(in reasonable detail) as to any additional amounts payable pursuant to </w:t>
      </w:r>
      <w:r>
        <w:rPr>
          <w:rFonts w:ascii="Times New Roman" w:cs="Times New Roman" w:eastAsia="Times New Roman" w:hAnsi="Times New Roman"/>
          <w:sz w:val="19"/>
          <w:szCs w:val="19"/>
          <w:u w:val="single" w:color="auto"/>
          <w:color w:val="auto"/>
        </w:rPr>
        <w:t>paragraphs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this Section submitted by any Lender to the Borrower (with a copy to the Administrative Agent) shall be conclusive in the absence of manifest error. The Borrower shall pay such Lender the amount shown as due on any such certificate within 10 days after receipt thereof. Failure or delay on the part of any Lender to demand compensation pursuant to this Section shall not constitute a waiver of such Lender’s right to demand such compensation. Notwithstanding anything to the contrary in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the Borrower shall not be required to compensate a Lender pursuant to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for any amounts incurred more than nine months prior to the date that such Lender notifies the Borrower of the change in the Requirement of Law giving rise to such increased costs or reductions, and of such Lender’s intention to claim compensation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circumstances giving rise to such claim have a retroactive effect, then such nine-month period shall be extended to include the period of such retroactive effect. The obligations of the Borrower arising pursuant to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shall survive the Discharge of Obligations and the resignation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1900" w:h="16838" w:orient="portrait"/>
          <w:cols w:equalWidth="0" w:num="1">
            <w:col w:w="11240"/>
          </w:cols>
          <w:pgMar w:left="320" w:top="1354" w:right="339" w:bottom="1440" w:gutter="0" w:footer="0" w:header="0"/>
        </w:sectPr>
      </w:pPr>
    </w:p>
    <w:bookmarkStart w:id="187" w:name="page188"/>
    <w:bookmarkEnd w:id="187"/>
    <w:p>
      <w:pPr>
        <w:ind w:firstLine="625"/>
        <w:spacing w:after="0" w:line="251" w:lineRule="auto"/>
        <w:rPr>
          <w:sz w:val="20"/>
          <w:szCs w:val="20"/>
          <w:color w:val="auto"/>
        </w:rPr>
      </w:pPr>
      <w:r>
        <w:rPr>
          <w:rFonts w:ascii="Times New Roman" w:cs="Times New Roman" w:eastAsia="Times New Roman" w:hAnsi="Times New Roman"/>
          <w:sz w:val="19"/>
          <w:szCs w:val="19"/>
          <w:b w:val="1"/>
          <w:bCs w:val="1"/>
          <w:color w:val="auto"/>
        </w:rPr>
        <w:t xml:space="preserve">2.20 Taxes. </w:t>
      </w:r>
      <w:r>
        <w:rPr>
          <w:rFonts w:ascii="Times New Roman" w:cs="Times New Roman" w:eastAsia="Times New Roman" w:hAnsi="Times New Roman"/>
          <w:sz w:val="19"/>
          <w:szCs w:val="19"/>
          <w:color w:val="auto"/>
        </w:rPr>
        <w:t>For purposes of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the term “Lender,” for the avoidance of doubt, includes the Issuing Lender and the term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law” includes FATCA.</w:t>
      </w:r>
    </w:p>
    <w:p>
      <w:pPr>
        <w:spacing w:after="0" w:line="131" w:lineRule="exact"/>
        <w:rPr>
          <w:sz w:val="20"/>
          <w:szCs w:val="20"/>
          <w:color w:val="auto"/>
        </w:rPr>
      </w:pPr>
    </w:p>
    <w:p>
      <w:pPr>
        <w:jc w:val="both"/>
        <w:ind w:firstLine="1254"/>
        <w:spacing w:after="0" w:line="218" w:lineRule="auto"/>
        <w:tabs>
          <w:tab w:leader="none" w:pos="1866"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Free of Taxes</w:t>
      </w:r>
      <w:r>
        <w:rPr>
          <w:rFonts w:ascii="Times New Roman" w:cs="Times New Roman" w:eastAsia="Times New Roman" w:hAnsi="Times New Roman"/>
          <w:sz w:val="19"/>
          <w:szCs w:val="19"/>
          <w:color w:val="auto"/>
        </w:rPr>
        <w:t xml:space="preserve">. Any and all payments by or on account of any obligation of any Loan Party under any Loan Document shall be made without deduction or withholding for any Taxes, except as required by applicable law, and the Borrower shall, and shall cause each other Loan Party, to comply with the requirements set forth in this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41"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3"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Other Taxes</w:t>
      </w:r>
      <w:r>
        <w:rPr>
          <w:rFonts w:ascii="Times New Roman" w:cs="Times New Roman" w:eastAsia="Times New Roman" w:hAnsi="Times New Roman"/>
          <w:sz w:val="19"/>
          <w:szCs w:val="19"/>
          <w:color w:val="auto"/>
        </w:rPr>
        <w:t>. Each of Holdings and the Borrower shall, and each of Holdings and the Borrower shall cause each other Loan Party to, timely pay to the relevant Governmental Authority in accordance with applicable law, or at the option of the Administrative Agent timely reimburse it for the payment of, any Other Taxes applicable to such Loan Party.</w:t>
      </w:r>
    </w:p>
    <w:p>
      <w:pPr>
        <w:spacing w:after="0" w:line="142"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6"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Evidence of Payments</w:t>
      </w:r>
      <w:r>
        <w:rPr>
          <w:rFonts w:ascii="Times New Roman" w:cs="Times New Roman" w:eastAsia="Times New Roman" w:hAnsi="Times New Roman"/>
          <w:sz w:val="19"/>
          <w:szCs w:val="19"/>
          <w:color w:val="auto"/>
        </w:rPr>
        <w:t xml:space="preserve">. As soon as practicable after any payment of Taxes by any Loan Party to a Governmental Authority pursuant to this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3" w:lineRule="exact"/>
        <w:rPr>
          <w:rFonts w:ascii="Times New Roman" w:cs="Times New Roman" w:eastAsia="Times New Roman" w:hAnsi="Times New Roman"/>
          <w:sz w:val="19"/>
          <w:szCs w:val="19"/>
          <w:color w:val="auto"/>
        </w:rPr>
      </w:pPr>
    </w:p>
    <w:p>
      <w:pPr>
        <w:jc w:val="both"/>
        <w:ind w:firstLine="1254"/>
        <w:spacing w:after="0" w:line="214" w:lineRule="auto"/>
        <w:tabs>
          <w:tab w:leader="none" w:pos="1863"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Loan Parties</w:t>
      </w:r>
      <w:r>
        <w:rPr>
          <w:rFonts w:ascii="Times New Roman" w:cs="Times New Roman" w:eastAsia="Times New Roman" w:hAnsi="Times New Roman"/>
          <w:sz w:val="19"/>
          <w:szCs w:val="19"/>
          <w:color w:val="auto"/>
        </w:rPr>
        <w:t xml:space="preserve">. The Borrower shall, and shall cause each other Loan Party to, jointly and severally indemnify each Recipient,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payable or paid by such Recipient or required to be withheld or deducted from a payment to such Recipient and any reasonable expenses arising therefrom or with respect thereto (including any recording and filing fees with respect thereto or resulting therefrom and any liabilities with respect to, or resulting from, any delay in paying such Indemnified Taxes), whether or not such Indemnified Taxes were correctly or legally imposed or asserted by the relevant Governmental Authority. A certificate (in reasonable detail) as to the amount of such payment or liability delivered to the Borrower by a Lender (with a copy to the Administrative Agent), or by the Administrative Agent on its own behalf or on behalf of a Lender, shall be conclusive absent manifest error. If any Loan Party fails to pay any Indemnified Taxes when due to the appropriate taxing authority or fails to remit to the Administrative Agent the required receipts or other required documentary evidence, such Loan Party shall indemnify the Administrative Agent and the Lenders for any incremental taxes, interest or penalties that may become payable by the Administrative Agent or any Lender as a result of any such failure.</w:t>
      </w:r>
    </w:p>
    <w:p>
      <w:pPr>
        <w:spacing w:after="0" w:line="162"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6"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Lenders</w:t>
      </w:r>
      <w:r>
        <w:rPr>
          <w:rFonts w:ascii="Times New Roman" w:cs="Times New Roman" w:eastAsia="Times New Roman" w:hAnsi="Times New Roman"/>
          <w:sz w:val="19"/>
          <w:szCs w:val="19"/>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(in reasonable detail)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9"/>
          <w:szCs w:val="19"/>
          <w:u w:val="single" w:color="auto"/>
          <w:color w:val="auto"/>
        </w:rPr>
        <w:t>Section 2.20(e)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1900" w:h="16838" w:orient="portrait"/>
          <w:cols w:equalWidth="0" w:num="1">
            <w:col w:w="11240"/>
          </w:cols>
          <w:pgMar w:left="320" w:top="1352" w:right="339" w:bottom="1440" w:gutter="0" w:footer="0" w:header="0"/>
        </w:sectPr>
      </w:pPr>
    </w:p>
    <w:bookmarkStart w:id="188" w:name="page189"/>
    <w:bookmarkEnd w:id="188"/>
    <w:p>
      <w:pPr>
        <w:ind w:left="1880" w:hanging="626"/>
        <w:spacing w:after="0"/>
        <w:tabs>
          <w:tab w:leader="none" w:pos="188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Status of Lenders</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jc w:val="both"/>
        <w:ind w:firstLine="1880"/>
        <w:spacing w:after="0" w:line="214" w:lineRule="auto"/>
        <w:tabs>
          <w:tab w:leader="none" w:pos="2498"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Sections 2.20(f)(ii)(A)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(ii)(D)</w:t>
      </w:r>
      <w:r>
        <w:rPr>
          <w:rFonts w:ascii="Times New Roman" w:cs="Times New Roman" w:eastAsia="Times New Roman" w:hAnsi="Times New Roman"/>
          <w:sz w:val="19"/>
          <w:szCs w:val="19"/>
          <w:color w:val="auto"/>
        </w:rPr>
        <w:t xml:space="preserve"> below) shall not be required if the Lender is not legally entitled to complete, execute or deliver such documentation or, in the Lender’s reasonable judgment, such completion, execution or submission would subject such Lender to any material unreimbursed cost or expense or would materially prejudice the legal or commercial position of such Lender.</w:t>
      </w:r>
    </w:p>
    <w:p>
      <w:pPr>
        <w:spacing w:after="0" w:line="162"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 in the event that the Borrower is a U.S. Person,</w:t>
      </w:r>
    </w:p>
    <w:p>
      <w:pPr>
        <w:spacing w:after="0" w:line="185" w:lineRule="exact"/>
        <w:rPr>
          <w:rFonts w:ascii="Times New Roman" w:cs="Times New Roman" w:eastAsia="Times New Roman" w:hAnsi="Times New Roman"/>
          <w:sz w:val="19"/>
          <w:szCs w:val="19"/>
          <w:color w:val="auto"/>
        </w:rPr>
      </w:pPr>
    </w:p>
    <w:p>
      <w:pPr>
        <w:jc w:val="both"/>
        <w:ind w:firstLine="2505"/>
        <w:spacing w:after="0" w:line="226" w:lineRule="auto"/>
        <w:tabs>
          <w:tab w:leader="none" w:pos="3117" w:val="left"/>
        </w:tabs>
        <w:numPr>
          <w:ilvl w:val="2"/>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40" w:lineRule="exact"/>
        <w:rPr>
          <w:rFonts w:ascii="Times New Roman" w:cs="Times New Roman" w:eastAsia="Times New Roman" w:hAnsi="Times New Roman"/>
          <w:sz w:val="19"/>
          <w:szCs w:val="19"/>
          <w:color w:val="auto"/>
        </w:rPr>
      </w:pPr>
    </w:p>
    <w:p>
      <w:pPr>
        <w:jc w:val="both"/>
        <w:ind w:firstLine="2505"/>
        <w:spacing w:after="0" w:line="226" w:lineRule="auto"/>
        <w:tabs>
          <w:tab w:leader="none" w:pos="3120" w:val="left"/>
        </w:tabs>
        <w:numPr>
          <w:ilvl w:val="2"/>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53" w:lineRule="exact"/>
        <w:rPr>
          <w:rFonts w:ascii="Times New Roman" w:cs="Times New Roman" w:eastAsia="Times New Roman" w:hAnsi="Times New Roman"/>
          <w:sz w:val="19"/>
          <w:szCs w:val="19"/>
          <w:color w:val="auto"/>
        </w:rPr>
      </w:pPr>
    </w:p>
    <w:p>
      <w:pPr>
        <w:jc w:val="both"/>
        <w:ind w:firstLine="3130"/>
        <w:spacing w:after="0" w:line="219" w:lineRule="auto"/>
        <w:tabs>
          <w:tab w:leader="none" w:pos="3739" w:val="left"/>
        </w:tabs>
        <w:numPr>
          <w:ilvl w:val="3"/>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a Foreign Lender claiming the benefits of an income tax treaty to which the United States is a party (x) with respect to payments of interest under any Loan Document,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w:t>
      </w:r>
    </w:p>
    <w:p>
      <w:pPr>
        <w:spacing w:after="0" w:line="158" w:lineRule="exact"/>
        <w:rPr>
          <w:rFonts w:ascii="Times New Roman" w:cs="Times New Roman" w:eastAsia="Times New Roman" w:hAnsi="Times New Roman"/>
          <w:sz w:val="19"/>
          <w:szCs w:val="19"/>
          <w:color w:val="auto"/>
        </w:rPr>
      </w:pPr>
    </w:p>
    <w:p>
      <w:pPr>
        <w:ind w:left="3740" w:hanging="610"/>
        <w:spacing w:after="0"/>
        <w:tabs>
          <w:tab w:leader="none" w:pos="3740" w:val="left"/>
        </w:tabs>
        <w:numPr>
          <w:ilvl w:val="3"/>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copies of IRS Form W-8ECI;</w:t>
      </w:r>
    </w:p>
    <w:p>
      <w:pPr>
        <w:spacing w:after="0" w:line="172" w:lineRule="exact"/>
        <w:rPr>
          <w:rFonts w:ascii="Times New Roman" w:cs="Times New Roman" w:eastAsia="Times New Roman" w:hAnsi="Times New Roman"/>
          <w:sz w:val="19"/>
          <w:szCs w:val="19"/>
          <w:color w:val="auto"/>
        </w:rPr>
      </w:pPr>
    </w:p>
    <w:p>
      <w:pPr>
        <w:jc w:val="both"/>
        <w:ind w:firstLine="3130"/>
        <w:spacing w:after="0" w:line="223" w:lineRule="auto"/>
        <w:tabs>
          <w:tab w:leader="none" w:pos="3739" w:val="left"/>
        </w:tabs>
        <w:numPr>
          <w:ilvl w:val="3"/>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u w:val="single" w:color="auto"/>
          <w:color w:val="auto"/>
        </w:rPr>
        <w:t>Exhibit F-1</w:t>
      </w:r>
      <w:r>
        <w:rPr>
          <w:rFonts w:ascii="Times New Roman" w:cs="Times New Roman" w:eastAsia="Times New Roman" w:hAnsi="Times New Roman"/>
          <w:sz w:val="19"/>
          <w:szCs w:val="19"/>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9"/>
          <w:szCs w:val="19"/>
          <w:b w:val="1"/>
          <w:bCs w:val="1"/>
          <w:i w:val="1"/>
          <w:iCs w:val="1"/>
          <w:color w:val="auto"/>
        </w:rPr>
        <w:t>U.S. Tax Compliance Certificate</w:t>
      </w:r>
      <w:r>
        <w:rPr>
          <w:rFonts w:ascii="Times New Roman" w:cs="Times New Roman" w:eastAsia="Times New Roman" w:hAnsi="Times New Roman"/>
          <w:sz w:val="19"/>
          <w:szCs w:val="19"/>
          <w:color w:val="auto"/>
        </w:rPr>
        <w:t>”) and (y) executed copies of IRS Form W-8BEN or IRS Form W-8BEN-E, as applicable (or any successor form); or</w:t>
      </w:r>
    </w:p>
    <w:p>
      <w:pPr>
        <w:spacing w:after="0" w:line="157" w:lineRule="exact"/>
        <w:rPr>
          <w:rFonts w:ascii="Times New Roman" w:cs="Times New Roman" w:eastAsia="Times New Roman" w:hAnsi="Times New Roman"/>
          <w:sz w:val="19"/>
          <w:szCs w:val="19"/>
          <w:color w:val="auto"/>
        </w:rPr>
      </w:pPr>
    </w:p>
    <w:p>
      <w:pPr>
        <w:jc w:val="both"/>
        <w:ind w:firstLine="3130"/>
        <w:spacing w:after="0" w:line="220" w:lineRule="auto"/>
        <w:tabs>
          <w:tab w:leader="none" w:pos="3739" w:val="left"/>
        </w:tabs>
        <w:numPr>
          <w:ilvl w:val="3"/>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a Foreign Lender is not the beneficial owner, executed copies of IRS Form W-8IMY, accompanied by IRS Form W-8ECI, IRS Form W-8BEN or IRS Form W-8BEN-E, as applicable (or any successor form), a U.S. Tax Compliance Certificate substantially in the form of </w:t>
      </w:r>
      <w:r>
        <w:rPr>
          <w:rFonts w:ascii="Times New Roman" w:cs="Times New Roman" w:eastAsia="Times New Roman" w:hAnsi="Times New Roman"/>
          <w:sz w:val="19"/>
          <w:szCs w:val="19"/>
          <w:u w:val="single" w:color="auto"/>
          <w:color w:val="auto"/>
        </w:rPr>
        <w:t>Exhibit F-2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F-3</w:t>
      </w:r>
      <w:r>
        <w:rPr>
          <w:rFonts w:ascii="Times New Roman" w:cs="Times New Roman" w:eastAsia="Times New Roman" w:hAnsi="Times New Roman"/>
          <w:sz w:val="19"/>
          <w:szCs w:val="19"/>
          <w:color w:val="auto"/>
        </w:rPr>
        <w:t xml:space="preserve">, IRS Form W-9,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Foreign Lender is a partnership and one or more direct or indirect partners of such Foreign Lender are claiming the portfolio interest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1900" w:h="16838" w:orient="portrait"/>
          <w:cols w:equalWidth="0" w:num="1">
            <w:col w:w="11240"/>
          </w:cols>
          <w:pgMar w:left="320" w:top="1354" w:right="339" w:bottom="1440" w:gutter="0" w:footer="0" w:header="0"/>
        </w:sectPr>
      </w:pPr>
    </w:p>
    <w:bookmarkStart w:id="189" w:name="page190"/>
    <w:bookmarkEnd w:id="189"/>
    <w:p>
      <w:pPr>
        <w:spacing w:after="0" w:line="249" w:lineRule="auto"/>
        <w:rPr>
          <w:sz w:val="20"/>
          <w:szCs w:val="20"/>
          <w:color w:val="auto"/>
        </w:rPr>
      </w:pPr>
      <w:r>
        <w:rPr>
          <w:rFonts w:ascii="Times New Roman" w:cs="Times New Roman" w:eastAsia="Times New Roman" w:hAnsi="Times New Roman"/>
          <w:sz w:val="19"/>
          <w:szCs w:val="19"/>
          <w:color w:val="auto"/>
        </w:rPr>
        <w:t xml:space="preserve">exemption, such Foreign Lender may provide a U.S. Tax Compliance Certificate substantially in the form of </w:t>
      </w:r>
      <w:r>
        <w:rPr>
          <w:rFonts w:ascii="Times New Roman" w:cs="Times New Roman" w:eastAsia="Times New Roman" w:hAnsi="Times New Roman"/>
          <w:sz w:val="19"/>
          <w:szCs w:val="19"/>
          <w:u w:val="single" w:color="auto"/>
          <w:color w:val="auto"/>
        </w:rPr>
        <w:t>Exhibit F-4</w:t>
      </w:r>
      <w:r>
        <w:rPr>
          <w:rFonts w:ascii="Times New Roman" w:cs="Times New Roman" w:eastAsia="Times New Roman" w:hAnsi="Times New Roman"/>
          <w:sz w:val="19"/>
          <w:szCs w:val="19"/>
          <w:color w:val="auto"/>
        </w:rPr>
        <w:t xml:space="preserve"> on behalf of each such direct and indirect partner;</w:t>
      </w:r>
    </w:p>
    <w:p>
      <w:pPr>
        <w:spacing w:after="0" w:line="133" w:lineRule="exact"/>
        <w:rPr>
          <w:sz w:val="20"/>
          <w:szCs w:val="20"/>
          <w:color w:val="auto"/>
        </w:rPr>
      </w:pPr>
    </w:p>
    <w:p>
      <w:pPr>
        <w:jc w:val="both"/>
        <w:ind w:firstLine="2505"/>
        <w:spacing w:after="0" w:line="222" w:lineRule="auto"/>
        <w:tabs>
          <w:tab w:leader="none" w:pos="3120" w:val="left"/>
        </w:tabs>
        <w:numPr>
          <w:ilvl w:val="2"/>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41" w:lineRule="exact"/>
        <w:rPr>
          <w:rFonts w:ascii="Times New Roman" w:cs="Times New Roman" w:eastAsia="Times New Roman" w:hAnsi="Times New Roman"/>
          <w:sz w:val="19"/>
          <w:szCs w:val="19"/>
          <w:color w:val="auto"/>
        </w:rPr>
      </w:pPr>
    </w:p>
    <w:p>
      <w:pPr>
        <w:jc w:val="both"/>
        <w:ind w:firstLine="2505"/>
        <w:spacing w:after="0" w:line="218" w:lineRule="auto"/>
        <w:tabs>
          <w:tab w:leader="none" w:pos="3117" w:val="left"/>
        </w:tabs>
        <w:numPr>
          <w:ilvl w:val="2"/>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“FATCA” shall include any amendments made to FATCA after the date of this Agreement.</w:t>
      </w:r>
    </w:p>
    <w:p>
      <w:pPr>
        <w:spacing w:after="0" w:line="141" w:lineRule="exact"/>
        <w:rPr>
          <w:rFonts w:ascii="Times New Roman" w:cs="Times New Roman" w:eastAsia="Times New Roman" w:hAnsi="Times New Roman"/>
          <w:sz w:val="19"/>
          <w:szCs w:val="19"/>
          <w:color w:val="auto"/>
        </w:rPr>
      </w:pPr>
    </w:p>
    <w:p>
      <w:pPr>
        <w:jc w:val="both"/>
        <w:ind w:firstLine="1880"/>
        <w:spacing w:after="0" w:line="219" w:lineRule="auto"/>
        <w:tabs>
          <w:tab w:leader="none" w:pos="2500"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Foreign Lender shall not be required to deliver any form pursuant to this paragraph that such Foreign Lender is not legally able to deliver.</w:t>
      </w:r>
    </w:p>
    <w:p>
      <w:pPr>
        <w:spacing w:after="0" w:line="158" w:lineRule="exact"/>
        <w:rPr>
          <w:rFonts w:ascii="Times New Roman" w:cs="Times New Roman" w:eastAsia="Times New Roman" w:hAnsi="Times New Roman"/>
          <w:sz w:val="19"/>
          <w:szCs w:val="19"/>
          <w:color w:val="auto"/>
        </w:rPr>
      </w:pPr>
    </w:p>
    <w:p>
      <w:pPr>
        <w:jc w:val="both"/>
        <w:ind w:firstLine="1254"/>
        <w:spacing w:after="0" w:line="214" w:lineRule="auto"/>
        <w:tabs>
          <w:tab w:leader="none" w:pos="1863"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(including by the payment of additional amounts pursuant to this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9"/>
          <w:szCs w:val="19"/>
          <w:u w:val="single" w:color="auto"/>
          <w:color w:val="auto"/>
        </w:rPr>
        <w:t>Section 2.20(g)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9"/>
          <w:szCs w:val="19"/>
          <w:u w:val="single" w:color="auto"/>
          <w:color w:val="auto"/>
        </w:rPr>
        <w:t>Section 2.20(g)</w:t>
      </w:r>
      <w:r>
        <w:rPr>
          <w:rFonts w:ascii="Times New Roman" w:cs="Times New Roman" w:eastAsia="Times New Roman" w:hAnsi="Times New Roman"/>
          <w:sz w:val="19"/>
          <w:szCs w:val="19"/>
          <w:color w:val="auto"/>
        </w:rPr>
        <w:t xml:space="preserve">, in no event will the indemnified party be required to pay any amount to an indemnifying party pursuant to this </w:t>
      </w:r>
      <w:r>
        <w:rPr>
          <w:rFonts w:ascii="Times New Roman" w:cs="Times New Roman" w:eastAsia="Times New Roman" w:hAnsi="Times New Roman"/>
          <w:sz w:val="19"/>
          <w:szCs w:val="19"/>
          <w:u w:val="single" w:color="auto"/>
          <w:color w:val="auto"/>
        </w:rPr>
        <w:t>Section 2.20(g)</w:t>
      </w:r>
      <w:r>
        <w:rPr>
          <w:rFonts w:ascii="Times New Roman" w:cs="Times New Roman" w:eastAsia="Times New Roman" w:hAnsi="Times New Roman"/>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3" w:lineRule="exact"/>
        <w:rPr>
          <w:rFonts w:ascii="Times New Roman" w:cs="Times New Roman" w:eastAsia="Times New Roman" w:hAnsi="Times New Roman"/>
          <w:sz w:val="19"/>
          <w:szCs w:val="19"/>
          <w:color w:val="auto"/>
        </w:rPr>
      </w:pPr>
    </w:p>
    <w:p>
      <w:pPr>
        <w:ind w:firstLine="1254"/>
        <w:spacing w:after="0" w:line="237" w:lineRule="auto"/>
        <w:tabs>
          <w:tab w:leader="none" w:pos="1863"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xml:space="preserve">. Each party’s obligations under this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shall survive the resignation or replacement of the Administrative Agent or any assignment of rights by, or the replacement of, a Lender and the Discharge of Obligations.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1900" w:h="16838" w:orient="portrait"/>
          <w:cols w:equalWidth="0" w:num="1">
            <w:col w:w="11240"/>
          </w:cols>
          <w:pgMar w:left="320" w:top="1354" w:right="339" w:bottom="1440" w:gutter="0" w:footer="0" w:header="0"/>
        </w:sectPr>
      </w:pPr>
    </w:p>
    <w:bookmarkStart w:id="190" w:name="page191"/>
    <w:bookmarkEnd w:id="190"/>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2.21</w:t>
        <w:tab/>
        <w:t>Indemnity</w:t>
      </w:r>
      <w:r>
        <w:rPr>
          <w:rFonts w:ascii="Times New Roman" w:cs="Times New Roman" w:eastAsia="Times New Roman" w:hAnsi="Times New Roman"/>
          <w:sz w:val="19"/>
          <w:szCs w:val="19"/>
          <w:color w:val="auto"/>
        </w:rPr>
        <w:t>. In the event of (a) the payment of any principal of any SOFR Loan other than on the Interest Payment Date therefor</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(including as a result of an Event of Default), (b) the conversion of any SOFR Loan other than on the Interest Payment Date therefor (including as a result of an Event of Default), (c) the failure to borrow, convert, continue or prepay any SOFR Loan on the date specified in any notice delivered</w:t>
      </w:r>
    </w:p>
    <w:p>
      <w:pPr>
        <w:spacing w:after="0" w:line="215" w:lineRule="auto"/>
        <w:rPr>
          <w:sz w:val="20"/>
          <w:szCs w:val="20"/>
          <w:color w:val="auto"/>
        </w:rPr>
      </w:pPr>
      <w:r>
        <w:rPr>
          <w:rFonts w:ascii="Times New Roman" w:cs="Times New Roman" w:eastAsia="Times New Roman" w:hAnsi="Times New Roman"/>
          <w:sz w:val="19"/>
          <w:szCs w:val="19"/>
          <w:color w:val="auto"/>
        </w:rPr>
        <w:t>pursuant hereto, or (d) the assignment of any SOFR Loan other than on the Interest Payment Date therefor, as a result of a request by the Borrower</w:t>
      </w:r>
    </w:p>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then, in any such event, the Borrower shall compensate each Lender for any loss, cost and expense attributable to such event, including any loss, cost or expense arising from the liquidation or redeployment of funds or from any fees payable. A certificate (in</w:t>
      </w:r>
    </w:p>
    <w:p>
      <w:pPr>
        <w:spacing w:after="0" w:line="215" w:lineRule="auto"/>
        <w:rPr>
          <w:sz w:val="20"/>
          <w:szCs w:val="20"/>
          <w:color w:val="auto"/>
        </w:rPr>
      </w:pPr>
      <w:r>
        <w:rPr>
          <w:rFonts w:ascii="Times New Roman" w:cs="Times New Roman" w:eastAsia="Times New Roman" w:hAnsi="Times New Roman"/>
          <w:sz w:val="19"/>
          <w:szCs w:val="19"/>
          <w:color w:val="auto"/>
        </w:rPr>
        <w:t>reasonable detail) of any Lender setting forth any amount or amounts that such Lender is entitled to receive pursuant to this Section shall be</w:t>
      </w:r>
    </w:p>
    <w:p>
      <w:pPr>
        <w:jc w:val="both"/>
        <w:spacing w:after="0" w:line="225" w:lineRule="auto"/>
        <w:rPr>
          <w:sz w:val="20"/>
          <w:szCs w:val="20"/>
          <w:color w:val="auto"/>
        </w:rPr>
      </w:pPr>
      <w:r>
        <w:rPr>
          <w:rFonts w:ascii="Times New Roman" w:cs="Times New Roman" w:eastAsia="Times New Roman" w:hAnsi="Times New Roman"/>
          <w:sz w:val="19"/>
          <w:szCs w:val="19"/>
          <w:color w:val="auto"/>
        </w:rPr>
        <w:t>delivered to the Borrower and shall be conclusive absent manifest error. The Borrower shall pay such Lender the amount shown as due on any such certificate within 10 days after receipt thereof.</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2.22</w:t>
        <w:tab/>
        <w:t>Change of Lending Office</w:t>
      </w:r>
      <w:r>
        <w:rPr>
          <w:rFonts w:ascii="Times New Roman" w:cs="Times New Roman" w:eastAsia="Times New Roman" w:hAnsi="Times New Roman"/>
          <w:sz w:val="19"/>
          <w:szCs w:val="19"/>
          <w:color w:val="auto"/>
        </w:rPr>
        <w:t>. Each Lender agrees that, upon the occurrence of any event giving rise to the operation of</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u w:val="single" w:color="auto"/>
          <w:color w:val="auto"/>
        </w:rPr>
        <w:t>Section 2.19(b)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2.19(c)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2.20(a)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2.20(b)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2.20(d)</w:t>
      </w:r>
      <w:r>
        <w:rPr>
          <w:rFonts w:ascii="Times New Roman" w:cs="Times New Roman" w:eastAsia="Times New Roman" w:hAnsi="Times New Roman"/>
          <w:sz w:val="19"/>
          <w:szCs w:val="19"/>
          <w:color w:val="auto"/>
        </w:rPr>
        <w:t xml:space="preserve"> with respect to such Lender, it will, if requested by the Borrower, use reasonable efforts (subject to overall policy considerations of such Lender) to designate a different lending office for funding or</w:t>
      </w:r>
    </w:p>
    <w:p>
      <w:pPr>
        <w:spacing w:after="0" w:line="215" w:lineRule="auto"/>
        <w:rPr>
          <w:sz w:val="20"/>
          <w:szCs w:val="20"/>
          <w:color w:val="auto"/>
        </w:rPr>
      </w:pPr>
      <w:r>
        <w:rPr>
          <w:rFonts w:ascii="Times New Roman" w:cs="Times New Roman" w:eastAsia="Times New Roman" w:hAnsi="Times New Roman"/>
          <w:sz w:val="19"/>
          <w:szCs w:val="19"/>
          <w:color w:val="auto"/>
        </w:rPr>
        <w:t>booking its Loans affected by such event or to assign its rights and obligations hereunder to another of its offices, branches or affiliates, if, in the</w:t>
      </w:r>
    </w:p>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judgment of such Lender, such designation or assignment (i) would eliminate or reduce amounts payable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as the case may be, in the future, and (ii) would not subject such Lender to any unreimbursed cost or expense and would not otherwise be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disadvantageous to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Section shall affect or postpone any of the obligations of the Borrower or the rights</w:t>
      </w:r>
    </w:p>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of any Lender pursuant to </w:t>
      </w:r>
      <w:r>
        <w:rPr>
          <w:rFonts w:ascii="Times New Roman" w:cs="Times New Roman" w:eastAsia="Times New Roman" w:hAnsi="Times New Roman"/>
          <w:sz w:val="19"/>
          <w:szCs w:val="19"/>
          <w:u w:val="single" w:color="auto"/>
          <w:color w:val="auto"/>
        </w:rPr>
        <w:t>Section 2.19(b)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2.19(c)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2.20(a)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2.20(b)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2.20(d)</w:t>
      </w:r>
      <w:r>
        <w:rPr>
          <w:rFonts w:ascii="Times New Roman" w:cs="Times New Roman" w:eastAsia="Times New Roman" w:hAnsi="Times New Roman"/>
          <w:sz w:val="19"/>
          <w:szCs w:val="19"/>
          <w:color w:val="auto"/>
        </w:rPr>
        <w:t>. The Borrower hereby agrees to pay all reasonable and documented out-of-pocket costs and expenses incurred by any Lender in connection with any such designation or assignment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made at the request of the Borrower.</w:t>
      </w:r>
    </w:p>
    <w:p>
      <w:pPr>
        <w:spacing w:after="0" w:line="148" w:lineRule="exact"/>
        <w:rPr>
          <w:sz w:val="20"/>
          <w:szCs w:val="20"/>
          <w:color w:val="auto"/>
        </w:rPr>
      </w:pPr>
    </w:p>
    <w:p>
      <w:pPr>
        <w:jc w:val="both"/>
        <w:ind w:firstLine="625"/>
        <w:spacing w:after="0" w:line="235" w:lineRule="auto"/>
        <w:rPr>
          <w:sz w:val="20"/>
          <w:szCs w:val="20"/>
          <w:color w:val="auto"/>
        </w:rPr>
      </w:pPr>
      <w:r>
        <w:rPr>
          <w:rFonts w:ascii="Times New Roman" w:cs="Times New Roman" w:eastAsia="Times New Roman" w:hAnsi="Times New Roman"/>
          <w:sz w:val="19"/>
          <w:szCs w:val="19"/>
          <w:b w:val="1"/>
          <w:bCs w:val="1"/>
          <w:color w:val="auto"/>
        </w:rPr>
        <w:t xml:space="preserve">2.23 Substitution of Lenders. </w:t>
      </w:r>
      <w:r>
        <w:rPr>
          <w:rFonts w:ascii="Times New Roman" w:cs="Times New Roman" w:eastAsia="Times New Roman" w:hAnsi="Times New Roman"/>
          <w:sz w:val="19"/>
          <w:szCs w:val="19"/>
          <w:color w:val="auto"/>
        </w:rPr>
        <w:t>Upon the receipt by the Borrower of any of the following (or in the case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below, if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Borrower is required to pay any such amount), with respect to any Lender (any such Lender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below being referred to as an “</w:t>
      </w:r>
      <w:r>
        <w:rPr>
          <w:rFonts w:ascii="Times New Roman" w:cs="Times New Roman" w:eastAsia="Times New Roman" w:hAnsi="Times New Roman"/>
          <w:sz w:val="19"/>
          <w:szCs w:val="19"/>
          <w:b w:val="1"/>
          <w:bCs w:val="1"/>
          <w:i w:val="1"/>
          <w:iCs w:val="1"/>
          <w:color w:val="auto"/>
        </w:rPr>
        <w:t>Affected Lender</w:t>
      </w:r>
      <w:r>
        <w:rPr>
          <w:rFonts w:ascii="Times New Roman" w:cs="Times New Roman" w:eastAsia="Times New Roman" w:hAnsi="Times New Roman"/>
          <w:sz w:val="19"/>
          <w:szCs w:val="19"/>
          <w:color w:val="auto"/>
        </w:rPr>
        <w:t>” hereunder):</w:t>
      </w:r>
    </w:p>
    <w:p>
      <w:pPr>
        <w:spacing w:after="0" w:line="142" w:lineRule="exact"/>
        <w:rPr>
          <w:sz w:val="20"/>
          <w:szCs w:val="20"/>
          <w:color w:val="auto"/>
        </w:rPr>
      </w:pPr>
    </w:p>
    <w:p>
      <w:pPr>
        <w:jc w:val="both"/>
        <w:ind w:firstLine="1254"/>
        <w:spacing w:after="0" w:line="234" w:lineRule="auto"/>
        <w:tabs>
          <w:tab w:leader="none" w:pos="1866"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request from a Lender for payment of Indemnified Taxes or additional amounts under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or of increased costs pursuant to </w:t>
      </w:r>
      <w:r>
        <w:rPr>
          <w:rFonts w:ascii="Times New Roman" w:cs="Times New Roman" w:eastAsia="Times New Roman" w:hAnsi="Times New Roman"/>
          <w:sz w:val="19"/>
          <w:szCs w:val="19"/>
          <w:u w:val="single" w:color="auto"/>
          <w:color w:val="auto"/>
        </w:rPr>
        <w:t>Section 2.19(c)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2.19(d)</w:t>
      </w:r>
      <w:r>
        <w:rPr>
          <w:rFonts w:ascii="Times New Roman" w:cs="Times New Roman" w:eastAsia="Times New Roman" w:hAnsi="Times New Roman"/>
          <w:sz w:val="19"/>
          <w:szCs w:val="19"/>
          <w:color w:val="auto"/>
        </w:rPr>
        <w:t xml:space="preserve"> (and, in any such case, such Lender has declined or is unable to designate a different lending office in accordance with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or is a Non-Consenting Lender);</w:t>
      </w:r>
    </w:p>
    <w:p>
      <w:pPr>
        <w:spacing w:after="0" w:line="142"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notice from the Administrative Agent under </w:t>
      </w:r>
      <w:r>
        <w:rPr>
          <w:rFonts w:ascii="Times New Roman" w:cs="Times New Roman" w:eastAsia="Times New Roman" w:hAnsi="Times New Roman"/>
          <w:sz w:val="19"/>
          <w:szCs w:val="19"/>
          <w:u w:val="single" w:color="auto"/>
          <w:color w:val="auto"/>
        </w:rPr>
        <w:t>Section 10.1(b)</w:t>
      </w:r>
      <w:r>
        <w:rPr>
          <w:rFonts w:ascii="Times New Roman" w:cs="Times New Roman" w:eastAsia="Times New Roman" w:hAnsi="Times New Roman"/>
          <w:sz w:val="19"/>
          <w:szCs w:val="19"/>
          <w:color w:val="auto"/>
        </w:rPr>
        <w:t xml:space="preserve"> that one or more Minority Lenders are unwilling to agree to an amendment or other modification approved by the Required Lenders and the Administrative Agent; or</w:t>
      </w:r>
    </w:p>
    <w:p>
      <w:pPr>
        <w:spacing w:after="0" w:line="145"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notice from the Administrative Agent that a Lender is a Defaulting Lender;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then the Borrower may, at its sole expense and effort, upon notice to such Lender and the Administrative Agent and such Affected Lender:</w:t>
      </w:r>
    </w:p>
    <w:p>
      <w:pPr>
        <w:spacing w:after="0" w:line="32" w:lineRule="exact"/>
        <w:rPr>
          <w:sz w:val="20"/>
          <w:szCs w:val="20"/>
          <w:color w:val="auto"/>
        </w:rPr>
      </w:pPr>
    </w:p>
    <w:p>
      <w:pPr>
        <w:ind w:left="280" w:hanging="276"/>
        <w:spacing w:after="0"/>
        <w:tabs>
          <w:tab w:leader="none" w:pos="28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request that one or more of the other Lenders acquire and assume all or part of such Affected Lender’s Loans and Commitment; or</w:t>
      </w:r>
    </w:p>
    <w:p>
      <w:pPr>
        <w:spacing w:after="0" w:line="15" w:lineRule="exact"/>
        <w:rPr>
          <w:rFonts w:ascii="Times New Roman" w:cs="Times New Roman" w:eastAsia="Times New Roman" w:hAnsi="Times New Roman"/>
          <w:sz w:val="19"/>
          <w:szCs w:val="19"/>
          <w:color w:val="auto"/>
        </w:rPr>
      </w:pPr>
    </w:p>
    <w:p>
      <w:pPr>
        <w:jc w:val="both"/>
        <w:ind w:firstLine="4"/>
        <w:spacing w:after="0" w:line="253" w:lineRule="auto"/>
        <w:tabs>
          <w:tab w:leader="none" w:pos="291"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designate a replacement lending institution (which shall be an Eligible Assignee) to acquire and assume all or a ratable part of such Affected Lender’s Loans and Commitment (the replacing Lender or lender in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being a “</w:t>
      </w:r>
      <w:r>
        <w:rPr>
          <w:rFonts w:ascii="Times New Roman" w:cs="Times New Roman" w:eastAsia="Times New Roman" w:hAnsi="Times New Roman"/>
          <w:sz w:val="19"/>
          <w:szCs w:val="19"/>
          <w:b w:val="1"/>
          <w:bCs w:val="1"/>
          <w:i w:val="1"/>
          <w:iCs w:val="1"/>
          <w:color w:val="auto"/>
        </w:rPr>
        <w:t>Replacement 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Borrower shall be liable for the payment upon demand of all costs and other amounts arising under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that result from the acquisition of any Affected Lender’s Loan and/or Commitment (or any portion thereof) by a Lender or Replacement Lender, as the case may be, on a date other than the Interest Payment Date therefor, with respect to any SOFR Loans then outstanding;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the Borrower elects to exercise such right with respect to any Affected Lender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then the Borrower shall be obligated to replace all Affected Lenders under such clauses. The Affected Lender replaced pursuant to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shall be required to assign and delegate, without recourse, all of its interests, rights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900" w:h="16838" w:orient="portrait"/>
          <w:cols w:equalWidth="0" w:num="1">
            <w:col w:w="11240"/>
          </w:cols>
          <w:pgMar w:left="320" w:top="1352" w:right="339" w:bottom="1440" w:gutter="0" w:footer="0" w:header="0"/>
        </w:sectPr>
      </w:pPr>
    </w:p>
    <w:bookmarkStart w:id="191" w:name="page192"/>
    <w:bookmarkEnd w:id="191"/>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hereof). Any such designation of a Replacement Lender shall be effected in accordance with, and subject to the terms and conditions of, the assignment provisions contained in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(with the assignment fee to be paid by the Borrower in such instance), and, if such Replacement Lender is not already a Lender hereunder or an Affiliate of a Lender or an Approved Fund, shall be subject to the prior written consent of the Administrative Agent (which consent shall not be unreasonably withheld, delayed or conditioned). Notwithstanding the foregoing, with respect to any assignment pursuant to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(x) in the case of any such assignment resulting from a claim for compensation under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such assignment shall result in a reduction in such compensation or payments thereafter; (y) such assignment shall not conflict with applicable law and (z) in the case of any assignment resulting from a Lender being a Minority Lender referred to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w:t>
      </w:r>
    </w:p>
    <w:p>
      <w:pPr>
        <w:spacing w:after="0" w:line="192" w:lineRule="exact"/>
        <w:rPr>
          <w:sz w:val="20"/>
          <w:szCs w:val="20"/>
          <w:color w:val="auto"/>
        </w:rPr>
      </w:pPr>
    </w:p>
    <w:p>
      <w:pPr>
        <w:jc w:val="both"/>
        <w:ind w:firstLine="625"/>
        <w:spacing w:after="0" w:line="258" w:lineRule="auto"/>
        <w:rPr>
          <w:sz w:val="20"/>
          <w:szCs w:val="20"/>
          <w:color w:val="auto"/>
        </w:rPr>
      </w:pPr>
      <w:r>
        <w:rPr>
          <w:rFonts w:ascii="Times New Roman" w:cs="Times New Roman" w:eastAsia="Times New Roman" w:hAnsi="Times New Roman"/>
          <w:sz w:val="19"/>
          <w:szCs w:val="19"/>
          <w:color w:val="auto"/>
        </w:rPr>
        <w:t xml:space="preserve">Notwithstanding anything in this Section to the contrary, (i) any Lender that acts as an Issuing Lender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Issuing Lender or the depositing of cash collateral into a cash collateral account in amounts and pursuant to arrangements reasonably satisfactory to such Issuing Lender)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19"/>
          <w:szCs w:val="19"/>
          <w:u w:val="single" w:color="auto"/>
          <w:color w:val="auto"/>
        </w:rPr>
        <w:t>Section 9.9</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2.24</w:t>
        <w:tab/>
        <w:t>Defaulting Lenders.</w:t>
      </w:r>
    </w:p>
    <w:p>
      <w:pPr>
        <w:spacing w:after="0" w:line="187" w:lineRule="exact"/>
        <w:rPr>
          <w:sz w:val="20"/>
          <w:szCs w:val="20"/>
          <w:color w:val="auto"/>
        </w:rPr>
      </w:pPr>
    </w:p>
    <w:p>
      <w:pPr>
        <w:ind w:firstLine="1254"/>
        <w:spacing w:after="0" w:line="249" w:lineRule="auto"/>
        <w:tabs>
          <w:tab w:leader="none" w:pos="1866"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Adjustments</w:t>
      </w:r>
      <w:r>
        <w:rPr>
          <w:rFonts w:ascii="Times New Roman" w:cs="Times New Roman" w:eastAsia="Times New Roman" w:hAnsi="Times New Roman"/>
          <w:sz w:val="19"/>
          <w:szCs w:val="19"/>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32" w:lineRule="exact"/>
        <w:rPr>
          <w:rFonts w:ascii="Times New Roman" w:cs="Times New Roman" w:eastAsia="Times New Roman" w:hAnsi="Times New Roman"/>
          <w:sz w:val="19"/>
          <w:szCs w:val="19"/>
          <w:color w:val="auto"/>
        </w:rPr>
      </w:pPr>
    </w:p>
    <w:p>
      <w:pPr>
        <w:jc w:val="both"/>
        <w:ind w:firstLine="1880"/>
        <w:spacing w:after="0" w:line="234" w:lineRule="auto"/>
        <w:tabs>
          <w:tab w:leader="none" w:pos="2498"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Waivers and Amendments</w:t>
      </w:r>
      <w:r>
        <w:rPr>
          <w:rFonts w:ascii="Times New Roman" w:cs="Times New Roman" w:eastAsia="Times New Roman" w:hAnsi="Times New Roman"/>
          <w:sz w:val="19"/>
          <w:szCs w:val="19"/>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and in the definitions of Majority Revolving Lenders, Majority Term Lenders and Required Lenders.</w:t>
      </w:r>
    </w:p>
    <w:p>
      <w:pPr>
        <w:spacing w:after="0" w:line="142" w:lineRule="exact"/>
        <w:rPr>
          <w:rFonts w:ascii="Times New Roman" w:cs="Times New Roman" w:eastAsia="Times New Roman" w:hAnsi="Times New Roman"/>
          <w:sz w:val="19"/>
          <w:szCs w:val="19"/>
          <w:color w:val="auto"/>
        </w:rPr>
      </w:pPr>
    </w:p>
    <w:p>
      <w:pPr>
        <w:jc w:val="both"/>
        <w:ind w:firstLine="1880"/>
        <w:spacing w:after="0" w:line="218" w:lineRule="auto"/>
        <w:tabs>
          <w:tab w:leader="none" w:pos="2499"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or otherwise, and including any amounts made available to the Administrative Agent by such Defaulting Lender pursuant to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xml:space="preserve">), shall be applied at such time or times as may be determined by the Administrative Agent as follows: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hereunder;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the payment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of any amounts owing by such Defaulting Lender to the Issuing Lender or to the Swingline Lender hereunder;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be held as Cash Collateral for the funding obligations of such Defaulting Lender of any participation in any Letter of Credit;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as the Borrower may request (so long as no Default or Event of Default exists), to the funding of any Loan in respect of</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1900" w:h="16838" w:orient="portrait"/>
          <w:cols w:equalWidth="0" w:num="1">
            <w:col w:w="11240"/>
          </w:cols>
          <w:pgMar w:left="320" w:top="1367"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9"/>
          <w:szCs w:val="19"/>
          <w:color w:val="auto"/>
        </w:rPr>
        <w:t>which such Defaulting Lender has failed to fund its portion thereof as required by this Agreement, as determined by the Administrative Agent;</w:t>
      </w:r>
    </w:p>
    <w:p>
      <w:pPr>
        <w:spacing w:after="0" w:line="207" w:lineRule="auto"/>
        <w:rPr>
          <w:sz w:val="20"/>
          <w:szCs w:val="20"/>
          <w:color w:val="auto"/>
        </w:rPr>
      </w:pP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if so determined by the Administrative Agent and the Borrower, to be held in a Deposit Account and released pro rata to (x) satisfy such Defaulting Lender’s potential future funding obligations with respect to Loans under this Agreement, and (y) be held as Cash Collateral for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future funding obligations of such Defaulting Lender of any participation in any future Letter of Credit; </w:t>
      </w: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to the payment of any amounts</w:t>
      </w:r>
    </w:p>
    <w:p>
      <w:pPr>
        <w:spacing w:after="0" w:line="207" w:lineRule="auto"/>
        <w:rPr>
          <w:sz w:val="20"/>
          <w:szCs w:val="20"/>
          <w:color w:val="auto"/>
        </w:rPr>
      </w:pPr>
      <w:r>
        <w:rPr>
          <w:rFonts w:ascii="Times New Roman" w:cs="Times New Roman" w:eastAsia="Times New Roman" w:hAnsi="Times New Roman"/>
          <w:sz w:val="19"/>
          <w:szCs w:val="19"/>
          <w:color w:val="auto"/>
        </w:rPr>
        <w:t>owing to any L/C Lender, Issuing Lender or Swingline Lender as a result of any judgment of a court of competent jurisdiction obtained by any L/C Lender, Issuing Lender or Swingline Lender against such Defaulting Lender as a result of such Defaulting Lender’s breach of its obligations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under this Agreement; </w:t>
      </w:r>
      <w:r>
        <w:rPr>
          <w:rFonts w:ascii="Times New Roman" w:cs="Times New Roman" w:eastAsia="Times New Roman" w:hAnsi="Times New Roman"/>
          <w:sz w:val="19"/>
          <w:szCs w:val="19"/>
          <w:u w:val="single" w:color="auto"/>
          <w:color w:val="auto"/>
        </w:rPr>
        <w:t>seventh</w:t>
      </w:r>
      <w:r>
        <w:rPr>
          <w:rFonts w:ascii="Times New Roman" w:cs="Times New Roman" w:eastAsia="Times New Roman" w:hAnsi="Times New Roman"/>
          <w:sz w:val="19"/>
          <w:szCs w:val="19"/>
          <w:color w:val="auto"/>
        </w:rPr>
        <w:t>, so long as no Default or Event of Default has occurred and is continuing, to the payment of any amounts owing to</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9"/>
          <w:szCs w:val="19"/>
          <w:u w:val="single" w:color="auto"/>
          <w:color w:val="auto"/>
        </w:rPr>
        <w:t>eighth</w:t>
      </w:r>
      <w:r>
        <w:rPr>
          <w:rFonts w:ascii="Times New Roman" w:cs="Times New Roman" w:eastAsia="Times New Roman" w:hAnsi="Times New Roman"/>
          <w:sz w:val="19"/>
          <w:szCs w:val="19"/>
          <w:color w:val="auto"/>
        </w:rPr>
        <w:t>, to such Defaulting Lender or as otherwise directed by a</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such payment is a payment of the principal amount of any Loans or L/C Advances in respect</w:t>
      </w:r>
    </w:p>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of which such Defaulting Lender has not fully funded its appropriate share and (B) such Loans or L/C Advances were made at a time when the conditions set forth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were satisfied or waived, such payment shall be applied solely to pay the Loans of, and L/C Advances owed to,</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all Non-Defaulting Lenders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prior to being applied to the payment of any Loans of, or L/C Advances owed to, such Defaulting</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Lender until such time as all Loans and funded and unfunded participations in L/C Advances and Swingline Loans are held by the Lenders pro rata in accordance with the Commitments under the applicable Facility without giving effect to </w:t>
      </w:r>
      <w:r>
        <w:rPr>
          <w:rFonts w:ascii="Times New Roman" w:cs="Times New Roman" w:eastAsia="Times New Roman" w:hAnsi="Times New Roman"/>
          <w:sz w:val="19"/>
          <w:szCs w:val="19"/>
          <w:u w:val="single" w:color="auto"/>
          <w:color w:val="auto"/>
        </w:rPr>
        <w:t>Section 2.24(a)(iv)</w:t>
      </w:r>
      <w:r>
        <w:rPr>
          <w:rFonts w:ascii="Times New Roman" w:cs="Times New Roman" w:eastAsia="Times New Roman" w:hAnsi="Times New Roman"/>
          <w:sz w:val="19"/>
          <w:szCs w:val="19"/>
          <w:color w:val="auto"/>
        </w:rPr>
        <w:t>. Any payments, prepayments or</w:t>
      </w:r>
    </w:p>
    <w:p>
      <w:pPr>
        <w:spacing w:after="0" w:line="215" w:lineRule="auto"/>
        <w:rPr>
          <w:sz w:val="20"/>
          <w:szCs w:val="20"/>
          <w:color w:val="auto"/>
        </w:rPr>
      </w:pPr>
      <w:r>
        <w:rPr>
          <w:rFonts w:ascii="Times New Roman" w:cs="Times New Roman" w:eastAsia="Times New Roman" w:hAnsi="Times New Roman"/>
          <w:sz w:val="19"/>
          <w:szCs w:val="19"/>
          <w:color w:val="auto"/>
        </w:rPr>
        <w:t>other amounts paid or payable to a Defaulting Lender that are applied (or held) to pay amounts owed by a Defaulting Lender or to post Cash</w:t>
      </w:r>
    </w:p>
    <w:p>
      <w:pPr>
        <w:spacing w:after="0" w:line="225" w:lineRule="auto"/>
        <w:rPr>
          <w:sz w:val="20"/>
          <w:szCs w:val="20"/>
          <w:color w:val="auto"/>
        </w:rPr>
      </w:pPr>
      <w:r>
        <w:rPr>
          <w:rFonts w:ascii="Times New Roman" w:cs="Times New Roman" w:eastAsia="Times New Roman" w:hAnsi="Times New Roman"/>
          <w:sz w:val="19"/>
          <w:szCs w:val="19"/>
          <w:color w:val="auto"/>
        </w:rPr>
        <w:t xml:space="preserve">Collateral pursuant to this </w:t>
      </w:r>
      <w:r>
        <w:rPr>
          <w:rFonts w:ascii="Times New Roman" w:cs="Times New Roman" w:eastAsia="Times New Roman" w:hAnsi="Times New Roman"/>
          <w:sz w:val="19"/>
          <w:szCs w:val="19"/>
          <w:u w:val="single" w:color="auto"/>
          <w:color w:val="auto"/>
        </w:rPr>
        <w:t>Section 2.24(a)(ii)</w:t>
      </w:r>
      <w:r>
        <w:rPr>
          <w:rFonts w:ascii="Times New Roman" w:cs="Times New Roman" w:eastAsia="Times New Roman" w:hAnsi="Times New Roman"/>
          <w:sz w:val="19"/>
          <w:szCs w:val="19"/>
          <w:color w:val="auto"/>
        </w:rPr>
        <w:t xml:space="preserve"> shall be deemed paid to and redirected by such Defaulting Lender, and each Lender irrevocably consents hereto.</w:t>
      </w:r>
    </w:p>
    <w:p>
      <w:pPr>
        <w:spacing w:after="0" w:line="154" w:lineRule="exact"/>
        <w:rPr>
          <w:sz w:val="20"/>
          <w:szCs w:val="20"/>
          <w:color w:val="auto"/>
        </w:rPr>
      </w:pPr>
    </w:p>
    <w:p>
      <w:pPr>
        <w:ind w:left="2500" w:hanging="620"/>
        <w:spacing w:after="0"/>
        <w:tabs>
          <w:tab w:leader="none" w:pos="2500"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Fees</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color w:val="auto"/>
        </w:rPr>
      </w:pPr>
    </w:p>
    <w:p>
      <w:pPr>
        <w:jc w:val="both"/>
        <w:ind w:firstLine="2505"/>
        <w:spacing w:after="0" w:line="234" w:lineRule="auto"/>
        <w:tabs>
          <w:tab w:leader="none" w:pos="3117" w:val="left"/>
        </w:tabs>
        <w:numPr>
          <w:ilvl w:val="2"/>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Defaulting Lender shall be entitled to receive any fee pursuant to </w:t>
      </w:r>
      <w:r>
        <w:rPr>
          <w:rFonts w:ascii="Times New Roman" w:cs="Times New Roman" w:eastAsia="Times New Roman" w:hAnsi="Times New Roman"/>
          <w:sz w:val="19"/>
          <w:szCs w:val="19"/>
          <w:u w:val="single" w:color="auto"/>
          <w:color w:val="auto"/>
        </w:rPr>
        <w:t>Section 2.9(b)</w:t>
      </w:r>
      <w:r>
        <w:rPr>
          <w:rFonts w:ascii="Times New Roman" w:cs="Times New Roman" w:eastAsia="Times New Roman" w:hAnsi="Times New Roman"/>
          <w:sz w:val="19"/>
          <w:szCs w:val="19"/>
          <w:color w:val="auto"/>
        </w:rPr>
        <w:t xml:space="preserve"> for any period during which such Lender is a Defaulting Lender (and the Borrower shall not be required to pay any such fee that otherwise would have been required to have been paid to such Defaulting Lender).</w:t>
      </w:r>
    </w:p>
    <w:p>
      <w:pPr>
        <w:spacing w:after="0" w:line="141" w:lineRule="exact"/>
        <w:rPr>
          <w:rFonts w:ascii="Times New Roman" w:cs="Times New Roman" w:eastAsia="Times New Roman" w:hAnsi="Times New Roman"/>
          <w:sz w:val="19"/>
          <w:szCs w:val="19"/>
          <w:color w:val="auto"/>
        </w:rPr>
      </w:pPr>
    </w:p>
    <w:p>
      <w:pPr>
        <w:ind w:left="3120" w:hanging="615"/>
        <w:spacing w:after="0"/>
        <w:tabs>
          <w:tab w:leader="none" w:pos="3120" w:val="left"/>
        </w:tabs>
        <w:numPr>
          <w:ilvl w:val="2"/>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Defaulting Lender shall be limited in its right to receive letter of credit fees as provided in</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3.3(d)</w:t>
      </w:r>
      <w:r>
        <w:rPr>
          <w:rFonts w:ascii="Times New Roman" w:cs="Times New Roman" w:eastAsia="Times New Roman" w:hAnsi="Times New Roman"/>
          <w:sz w:val="19"/>
          <w:szCs w:val="19"/>
          <w:color w:val="auto"/>
        </w:rPr>
        <w:t>.</w:t>
      </w:r>
    </w:p>
    <w:p>
      <w:pPr>
        <w:spacing w:after="0" w:line="149" w:lineRule="exact"/>
        <w:rPr>
          <w:rFonts w:ascii="Times New Roman" w:cs="Times New Roman" w:eastAsia="Times New Roman" w:hAnsi="Times New Roman"/>
          <w:sz w:val="19"/>
          <w:szCs w:val="19"/>
          <w:color w:val="auto"/>
        </w:rPr>
      </w:pPr>
    </w:p>
    <w:p>
      <w:pPr>
        <w:ind w:left="3120" w:hanging="615"/>
        <w:spacing w:after="0"/>
        <w:tabs>
          <w:tab w:leader="none" w:pos="3120" w:val="left"/>
        </w:tabs>
        <w:numPr>
          <w:ilvl w:val="2"/>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letter of credit fee not required to be paid to any Defaulting Lender pursuant to </w:t>
      </w:r>
      <w:r>
        <w:rPr>
          <w:rFonts w:ascii="Times New Roman" w:cs="Times New Roman" w:eastAsia="Times New Roman" w:hAnsi="Times New Roman"/>
          <w:sz w:val="19"/>
          <w:szCs w:val="19"/>
          <w:u w:val="single" w:color="auto"/>
          <w:color w:val="auto"/>
        </w:rPr>
        <w:t>clause</w:t>
      </w:r>
    </w:p>
    <w:p>
      <w:pPr>
        <w:ind w:left="320" w:hanging="316"/>
        <w:spacing w:after="0" w:line="214" w:lineRule="auto"/>
        <w:tabs>
          <w:tab w:leader="none" w:pos="320" w:val="left"/>
        </w:tabs>
        <w:numPr>
          <w:ilvl w:val="0"/>
          <w:numId w:val="14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the Borrower shall (x) pay to each Non-Defaulting Lender that portion of any such fee otherwise payable to such Defaulting</w:t>
      </w:r>
    </w:p>
    <w:p>
      <w:pPr>
        <w:spacing w:after="0" w:line="215" w:lineRule="auto"/>
        <w:rPr>
          <w:sz w:val="20"/>
          <w:szCs w:val="20"/>
          <w:color w:val="auto"/>
        </w:rPr>
      </w:pPr>
      <w:r>
        <w:rPr>
          <w:rFonts w:ascii="Times New Roman" w:cs="Times New Roman" w:eastAsia="Times New Roman" w:hAnsi="Times New Roman"/>
          <w:sz w:val="19"/>
          <w:szCs w:val="19"/>
          <w:color w:val="auto"/>
        </w:rPr>
        <w:t>Lender with respect to such Defaulting Lender’s participation in Letters of Credit or Swingline Loans that has been reallocated to such Non-</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Defaulting Lender pursuant to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xml:space="preserve"> below, (y) pay to the Issuing Lender and the Swingline Lender, as applicable, the amount of any such fee otherwise payable to such Defaulting Lender to the extent allocable to the Issuing Lender’s or the Swingline Lender’s Fronting Exposure to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Defaulting Lender, and (z) not be required to pay the remaining amount of any such fee.</w:t>
      </w:r>
    </w:p>
    <w:p>
      <w:pPr>
        <w:spacing w:after="0" w:line="163" w:lineRule="exact"/>
        <w:rPr>
          <w:sz w:val="20"/>
          <w:szCs w:val="20"/>
          <w:color w:val="auto"/>
        </w:rPr>
      </w:pPr>
    </w:p>
    <w:p>
      <w:pPr>
        <w:jc w:val="both"/>
        <w:ind w:firstLine="1880"/>
        <w:spacing w:after="0" w:line="214" w:lineRule="auto"/>
        <w:tabs>
          <w:tab w:leader="none" w:pos="2490"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 of Pro Rata Share to Reduce Fronting Exposure</w:t>
      </w:r>
      <w:r>
        <w:rPr>
          <w:rFonts w:ascii="Times New Roman" w:cs="Times New Roman" w:eastAsia="Times New Roman" w:hAnsi="Times New Roman"/>
          <w:sz w:val="19"/>
          <w:szCs w:val="19"/>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or in Swingline Loans pursuant to </w:t>
      </w:r>
      <w:r>
        <w:rPr>
          <w:rFonts w:ascii="Times New Roman" w:cs="Times New Roman" w:eastAsia="Times New Roman" w:hAnsi="Times New Roman"/>
          <w:sz w:val="19"/>
          <w:szCs w:val="19"/>
          <w:u w:val="single" w:color="auto"/>
          <w:color w:val="auto"/>
        </w:rPr>
        <w:t>Section 2.7(c)</w:t>
      </w:r>
      <w:r>
        <w:rPr>
          <w:rFonts w:ascii="Times New Roman" w:cs="Times New Roman" w:eastAsia="Times New Roman" w:hAnsi="Times New Roman"/>
          <w:sz w:val="19"/>
          <w:szCs w:val="19"/>
          <w:color w:val="auto"/>
        </w:rPr>
        <w:t xml:space="preserve">, the L/C Percentage of each Non-Defaulting Lender of any such Letter of Credit and the Revolving Percentage of each Non-Defaulting Lender of any such Swingline Loan, as the case may be, shall be computed without giving effect to the Revolving Commitment of such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each such reallocation shall be given effect only if, at the date the applicable Lender becomes a Defaulting Lender, no Event of Default has occurred and is continuing; and (B) the aggregate obligations of each Non-Defaulting Lender to acquire, refinance or fund participations in Letters of Credit and Swingline Loans shall not exceed the positive difference, if any, of (1) the Revolving Commitment of that Non-Defaulting Lender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(2) the aggregate outstanding amount of the Revolving Loans of that Lender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aggregate amount of that Lender’s L/C Percentage of then outstanding Letters of Credit. No reallocation hereunder shall constitute a waiver or release of any claim of any party hereunder against a Defaulting Lender arising from that Lender having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1900" w:h="16838" w:orient="portrait"/>
          <w:cols w:equalWidth="0" w:num="1">
            <w:col w:w="11240"/>
          </w:cols>
          <w:pgMar w:left="320" w:top="1353" w:right="339" w:bottom="1440" w:gutter="0" w:footer="0" w:header="0"/>
        </w:sectPr>
      </w:pPr>
    </w:p>
    <w:bookmarkStart w:id="193" w:name="page194"/>
    <w:bookmarkEnd w:id="193"/>
    <w:p>
      <w:pPr>
        <w:spacing w:after="0" w:line="249" w:lineRule="auto"/>
        <w:rPr>
          <w:sz w:val="20"/>
          <w:szCs w:val="20"/>
          <w:color w:val="auto"/>
        </w:rPr>
      </w:pPr>
      <w:r>
        <w:rPr>
          <w:rFonts w:ascii="Times New Roman" w:cs="Times New Roman" w:eastAsia="Times New Roman" w:hAnsi="Times New Roman"/>
          <w:sz w:val="19"/>
          <w:szCs w:val="19"/>
          <w:color w:val="auto"/>
        </w:rPr>
        <w:t>become a Defaulting Lender, including any claim of a Non-Defaulting Lender as a result of such Non-Defaulting Lender’s increased exposure following such reallocation.</w:t>
      </w:r>
    </w:p>
    <w:p>
      <w:pPr>
        <w:spacing w:after="0" w:line="133" w:lineRule="exact"/>
        <w:rPr>
          <w:sz w:val="20"/>
          <w:szCs w:val="20"/>
          <w:color w:val="auto"/>
        </w:rPr>
      </w:pPr>
    </w:p>
    <w:p>
      <w:pPr>
        <w:jc w:val="both"/>
        <w:ind w:firstLine="1880"/>
        <w:spacing w:after="0" w:line="226" w:lineRule="auto"/>
        <w:tabs>
          <w:tab w:leader="none" w:pos="2489"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Collateral, Repayment of Swingline Loans</w:t>
      </w:r>
      <w:r>
        <w:rPr>
          <w:rFonts w:ascii="Times New Roman" w:cs="Times New Roman" w:eastAsia="Times New Roman" w:hAnsi="Times New Roman"/>
          <w:sz w:val="19"/>
          <w:szCs w:val="19"/>
          <w:color w:val="auto"/>
        </w:rPr>
        <w:t xml:space="preserve">. If the reallocation described in </w:t>
      </w:r>
      <w:r>
        <w:rPr>
          <w:rFonts w:ascii="Times New Roman" w:cs="Times New Roman" w:eastAsia="Times New Roman" w:hAnsi="Times New Roman"/>
          <w:sz w:val="19"/>
          <w:szCs w:val="19"/>
          <w:u w:val="single" w:color="auto"/>
          <w:color w:val="auto"/>
        </w:rPr>
        <w:t>clause (iv)</w:t>
      </w:r>
      <w:r>
        <w:rPr>
          <w:rFonts w:ascii="Times New Roman" w:cs="Times New Roman" w:eastAsia="Times New Roman" w:hAnsi="Times New Roman"/>
          <w:sz w:val="19"/>
          <w:szCs w:val="19"/>
          <w:color w:val="auto"/>
        </w:rPr>
        <w:t xml:space="preserve"> above cannot, or can only partially, be effected, the Borrower shall, without prejudice to any right or remedy available to it hereunder or under law, (x)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prepay Swingline Loans in an amount equal to the Swingline Lender’s Fronting Exposure and (y)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Cash Collateralize the Issuing Lender’s Fronting Exposure in accordance with the procedures set forth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3"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Cure</w:t>
      </w:r>
      <w:r>
        <w:rPr>
          <w:rFonts w:ascii="Times New Roman" w:cs="Times New Roman" w:eastAsia="Times New Roman" w:hAnsi="Times New Roman"/>
          <w:sz w:val="19"/>
          <w:szCs w:val="19"/>
          <w:color w:val="auto"/>
        </w:rPr>
        <w:t xml:space="preserv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by the Lenders in accordance with their respective Revolving Percentages, L/C Percentages, and Term Percentages, as applicable (without giving effect to </w:t>
      </w:r>
      <w:r>
        <w:rPr>
          <w:rFonts w:ascii="Times New Roman" w:cs="Times New Roman" w:eastAsia="Times New Roman" w:hAnsi="Times New Roman"/>
          <w:sz w:val="19"/>
          <w:szCs w:val="19"/>
          <w:u w:val="single" w:color="auto"/>
          <w:color w:val="auto"/>
        </w:rPr>
        <w:t>Section 2.24(a)(iv)</w:t>
      </w:r>
      <w:r>
        <w:rPr>
          <w:rFonts w:ascii="Times New Roman" w:cs="Times New Roman" w:eastAsia="Times New Roman" w:hAnsi="Times New Roman"/>
          <w:sz w:val="19"/>
          <w:szCs w:val="19"/>
          <w:color w:val="auto"/>
        </w:rPr>
        <w:t xml:space="preserve">),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 while such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42"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6"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New Swingline Loans/Letters of Credit</w:t>
      </w:r>
      <w:r>
        <w:rPr>
          <w:rFonts w:ascii="Times New Roman" w:cs="Times New Roman" w:eastAsia="Times New Roman" w:hAnsi="Times New Roman"/>
          <w:sz w:val="19"/>
          <w:szCs w:val="19"/>
          <w:color w:val="auto"/>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in respect of Letters of Credit after giving effect thereto.</w:t>
      </w:r>
    </w:p>
    <w:p>
      <w:pPr>
        <w:spacing w:after="0" w:line="153"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3"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Defaulting Lender</w:t>
      </w:r>
      <w:r>
        <w:rPr>
          <w:rFonts w:ascii="Times New Roman" w:cs="Times New Roman" w:eastAsia="Times New Roman" w:hAnsi="Times New Roman"/>
          <w:sz w:val="19"/>
          <w:szCs w:val="19"/>
          <w:color w:val="auto"/>
        </w:rPr>
        <w:t xml:space="preserve">. The Borrower may terminate the unused amount of the Revolving Commitment of any Revolving Lender that is a Defaulting Lender upon not less than 10 Business Days’ prior notice to the Administrative Agent (which shall promptly notify the Lenders thereof), and in such event the provisions of </w:t>
      </w:r>
      <w:r>
        <w:rPr>
          <w:rFonts w:ascii="Times New Roman" w:cs="Times New Roman" w:eastAsia="Times New Roman" w:hAnsi="Times New Roman"/>
          <w:sz w:val="19"/>
          <w:szCs w:val="19"/>
          <w:u w:val="single" w:color="auto"/>
          <w:color w:val="auto"/>
        </w:rPr>
        <w:t>Section 2.24(a)(ii)</w:t>
      </w:r>
      <w:r>
        <w:rPr>
          <w:rFonts w:ascii="Times New Roman" w:cs="Times New Roman" w:eastAsia="Times New Roman" w:hAnsi="Times New Roman"/>
          <w:sz w:val="19"/>
          <w:szCs w:val="19"/>
          <w:color w:val="auto"/>
        </w:rPr>
        <w:t xml:space="preserve">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w:t>
      </w:r>
    </w:p>
    <w:p>
      <w:pPr>
        <w:spacing w:after="0" w:line="139" w:lineRule="exact"/>
        <w:rPr>
          <w:sz w:val="20"/>
          <w:szCs w:val="20"/>
          <w:color w:val="auto"/>
        </w:rPr>
      </w:pPr>
    </w:p>
    <w:p>
      <w:pPr>
        <w:jc w:val="both"/>
        <w:ind w:firstLine="625"/>
        <w:spacing w:after="0" w:line="235" w:lineRule="auto"/>
        <w:rPr>
          <w:sz w:val="20"/>
          <w:szCs w:val="20"/>
          <w:color w:val="auto"/>
        </w:rPr>
      </w:pPr>
      <w:r>
        <w:rPr>
          <w:rFonts w:ascii="Times New Roman" w:cs="Times New Roman" w:eastAsia="Times New Roman" w:hAnsi="Times New Roman"/>
          <w:sz w:val="19"/>
          <w:szCs w:val="19"/>
          <w:b w:val="1"/>
          <w:bCs w:val="1"/>
          <w:color w:val="auto"/>
        </w:rPr>
        <w:t>2.25 Notes</w:t>
      </w:r>
      <w:r>
        <w:rPr>
          <w:rFonts w:ascii="Times New Roman" w:cs="Times New Roman" w:eastAsia="Times New Roman" w:hAnsi="Times New Roman"/>
          <w:sz w:val="19"/>
          <w:szCs w:val="19"/>
          <w:color w:val="auto"/>
        </w:rPr>
        <w:t>. If so requested by any Lender by written notice to the Borrower (with a copy to the Administrative Agent), the 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shall execute and deliver to such Lender (and/or, if applicable and if so specified in such notice, to any Person who is an assignee of such Lender pursuant to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(promptly after the Borrower’s receipt of such notice) a Note or Notes to evidence such Lender’s Loans.</w:t>
      </w:r>
    </w:p>
    <w:p>
      <w:pPr>
        <w:spacing w:after="0" w:line="14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2.26</w:t>
        <w:tab/>
        <w:t>Incremental Credit Extensions.</w:t>
      </w:r>
    </w:p>
    <w:p>
      <w:pPr>
        <w:spacing w:after="0" w:line="187" w:lineRule="exact"/>
        <w:rPr>
          <w:sz w:val="20"/>
          <w:szCs w:val="20"/>
          <w:color w:val="auto"/>
        </w:rPr>
      </w:pPr>
    </w:p>
    <w:p>
      <w:pPr>
        <w:jc w:val="both"/>
        <w:ind w:firstLine="1254"/>
        <w:spacing w:after="0" w:line="219" w:lineRule="auto"/>
        <w:tabs>
          <w:tab w:leader="none" w:pos="1866"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at any time, on one or more occasions pursuant to an Incremental Facility Amendment, (i) increase the aggregate amount of the Term Commitments (any such increase, an “</w:t>
      </w:r>
      <w:r>
        <w:rPr>
          <w:rFonts w:ascii="Times New Roman" w:cs="Times New Roman" w:eastAsia="Times New Roman" w:hAnsi="Times New Roman"/>
          <w:sz w:val="19"/>
          <w:szCs w:val="19"/>
          <w:u w:val="single" w:color="auto"/>
          <w:color w:val="auto"/>
        </w:rPr>
        <w:t>Incremental Term Facility</w:t>
      </w:r>
      <w:r>
        <w:rPr>
          <w:rFonts w:ascii="Times New Roman" w:cs="Times New Roman" w:eastAsia="Times New Roman" w:hAnsi="Times New Roman"/>
          <w:sz w:val="19"/>
          <w:szCs w:val="19"/>
          <w:color w:val="auto"/>
        </w:rPr>
        <w:t>” and any loan made pursuant to an Incremental Term Facility, “</w:t>
      </w:r>
      <w:r>
        <w:rPr>
          <w:rFonts w:ascii="Times New Roman" w:cs="Times New Roman" w:eastAsia="Times New Roman" w:hAnsi="Times New Roman"/>
          <w:sz w:val="19"/>
          <w:szCs w:val="19"/>
          <w:u w:val="single" w:color="auto"/>
          <w:color w:val="auto"/>
        </w:rPr>
        <w:t>Incremental Term Loans</w:t>
      </w:r>
      <w:r>
        <w:rPr>
          <w:rFonts w:ascii="Times New Roman" w:cs="Times New Roman" w:eastAsia="Times New Roman" w:hAnsi="Times New Roman"/>
          <w:sz w:val="19"/>
          <w:szCs w:val="19"/>
          <w:color w:val="auto"/>
        </w:rPr>
        <w:t>”) and/or (ii) increase the aggregate amount of the Revolving Commitments (any such increase, an “</w:t>
      </w:r>
      <w:r>
        <w:rPr>
          <w:rFonts w:ascii="Times New Roman" w:cs="Times New Roman" w:eastAsia="Times New Roman" w:hAnsi="Times New Roman"/>
          <w:sz w:val="19"/>
          <w:szCs w:val="19"/>
          <w:u w:val="single" w:color="auto"/>
          <w:color w:val="auto"/>
        </w:rPr>
        <w:t>Incremental Revolving Facility</w:t>
      </w:r>
      <w:r>
        <w:rPr>
          <w:rFonts w:ascii="Times New Roman" w:cs="Times New Roman" w:eastAsia="Times New Roman" w:hAnsi="Times New Roman"/>
          <w:sz w:val="19"/>
          <w:szCs w:val="19"/>
          <w:color w:val="auto"/>
        </w:rPr>
        <w:t>” and, together with any Incremental Term Facility, “</w:t>
      </w:r>
      <w:r>
        <w:rPr>
          <w:rFonts w:ascii="Times New Roman" w:cs="Times New Roman" w:eastAsia="Times New Roman" w:hAnsi="Times New Roman"/>
          <w:sz w:val="19"/>
          <w:szCs w:val="19"/>
          <w:u w:val="single" w:color="auto"/>
          <w:color w:val="auto"/>
        </w:rPr>
        <w:t>Incremental Facilities</w:t>
      </w:r>
      <w:r>
        <w:rPr>
          <w:rFonts w:ascii="Times New Roman" w:cs="Times New Roman" w:eastAsia="Times New Roman" w:hAnsi="Times New Roman"/>
          <w:sz w:val="19"/>
          <w:szCs w:val="19"/>
          <w:color w:val="auto"/>
        </w:rPr>
        <w:t>”; and the loans thereunder, “</w:t>
      </w:r>
      <w:r>
        <w:rPr>
          <w:rFonts w:ascii="Times New Roman" w:cs="Times New Roman" w:eastAsia="Times New Roman" w:hAnsi="Times New Roman"/>
          <w:sz w:val="19"/>
          <w:szCs w:val="19"/>
          <w:u w:val="single" w:color="auto"/>
          <w:color w:val="auto"/>
        </w:rPr>
        <w:t>Incremental Revolving Loans</w:t>
      </w:r>
      <w:r>
        <w:rPr>
          <w:rFonts w:ascii="Times New Roman" w:cs="Times New Roman" w:eastAsia="Times New Roman" w:hAnsi="Times New Roman"/>
          <w:sz w:val="19"/>
          <w:szCs w:val="19"/>
          <w:color w:val="auto"/>
        </w:rPr>
        <w:t>” and any Incremental Revolving Loans, together with any Incremental Term Loans, “</w:t>
      </w:r>
      <w:r>
        <w:rPr>
          <w:rFonts w:ascii="Times New Roman" w:cs="Times New Roman" w:eastAsia="Times New Roman" w:hAnsi="Times New Roman"/>
          <w:sz w:val="19"/>
          <w:szCs w:val="19"/>
          <w:u w:val="single" w:color="auto"/>
          <w:color w:val="auto"/>
        </w:rPr>
        <w:t>Incremental Loans</w:t>
      </w:r>
      <w:r>
        <w:rPr>
          <w:rFonts w:ascii="Times New Roman" w:cs="Times New Roman" w:eastAsia="Times New Roman" w:hAnsi="Times New Roman"/>
          <w:sz w:val="19"/>
          <w:szCs w:val="19"/>
          <w:color w:val="auto"/>
        </w:rPr>
        <w:t xml:space="preserve">”) in an aggregate principal amount not to exceed $25,000,000;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1900" w:h="16838" w:orient="portrait"/>
          <w:cols w:equalWidth="0" w:num="1">
            <w:col w:w="11240"/>
          </w:cols>
          <w:pgMar w:left="320" w:top="1354" w:right="339" w:bottom="1440" w:gutter="0" w:footer="0" w:header="0"/>
        </w:sectPr>
      </w:pPr>
    </w:p>
    <w:bookmarkStart w:id="194" w:name="page195"/>
    <w:bookmarkEnd w:id="194"/>
    <w:p>
      <w:pPr>
        <w:ind w:firstLine="1880"/>
        <w:spacing w:after="0" w:line="249" w:lineRule="auto"/>
        <w:tabs>
          <w:tab w:leader="none" w:pos="2498"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Incremental Commitment may be in an amount that is less than $5,000,000 (or such lesser amount to which the Administrative Agent may reasonably agree);</w:t>
      </w:r>
    </w:p>
    <w:p>
      <w:pPr>
        <w:spacing w:after="0" w:line="132" w:lineRule="exact"/>
        <w:rPr>
          <w:rFonts w:ascii="Times New Roman" w:cs="Times New Roman" w:eastAsia="Times New Roman" w:hAnsi="Times New Roman"/>
          <w:sz w:val="19"/>
          <w:szCs w:val="19"/>
          <w:color w:val="auto"/>
        </w:rPr>
      </w:pPr>
    </w:p>
    <w:p>
      <w:pPr>
        <w:jc w:val="both"/>
        <w:ind w:firstLine="1880"/>
        <w:spacing w:after="0" w:line="226" w:lineRule="auto"/>
        <w:tabs>
          <w:tab w:leader="none" w:pos="2499"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Lender shall be obligated to provide any Incremental Commitment, and the determination to provide such commitments shall be within the sole and absolute discretion of such Lender (it being agreed that the Borrower shall be obligated to offer the opportunity to all existing Lenders to participate in any Incremental Facility in accordance with each Lender’s pro rata share of the Facilities (which any Lender will be deemed to have declined if it does not respond to the Borrower within 15 Business Days));</w:t>
      </w:r>
    </w:p>
    <w:p>
      <w:pPr>
        <w:spacing w:after="0" w:line="153" w:lineRule="exact"/>
        <w:rPr>
          <w:rFonts w:ascii="Times New Roman" w:cs="Times New Roman" w:eastAsia="Times New Roman" w:hAnsi="Times New Roman"/>
          <w:sz w:val="19"/>
          <w:szCs w:val="19"/>
          <w:color w:val="auto"/>
        </w:rPr>
      </w:pPr>
    </w:p>
    <w:p>
      <w:pPr>
        <w:jc w:val="both"/>
        <w:ind w:firstLine="1880"/>
        <w:spacing w:after="0" w:line="229" w:lineRule="auto"/>
        <w:tabs>
          <w:tab w:leader="none" w:pos="250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spacing w:after="0" w:line="156" w:lineRule="exact"/>
        <w:rPr>
          <w:rFonts w:ascii="Times New Roman" w:cs="Times New Roman" w:eastAsia="Times New Roman" w:hAnsi="Times New Roman"/>
          <w:sz w:val="19"/>
          <w:szCs w:val="19"/>
          <w:color w:val="auto"/>
        </w:rPr>
      </w:pPr>
    </w:p>
    <w:p>
      <w:pPr>
        <w:ind w:firstLine="1880"/>
        <w:spacing w:after="0" w:line="249" w:lineRule="auto"/>
        <w:tabs>
          <w:tab w:leader="none" w:pos="249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clause (v)</w:t>
      </w:r>
      <w:r>
        <w:rPr>
          <w:rFonts w:ascii="Times New Roman" w:cs="Times New Roman" w:eastAsia="Times New Roman" w:hAnsi="Times New Roman"/>
          <w:sz w:val="19"/>
          <w:szCs w:val="19"/>
          <w:color w:val="auto"/>
        </w:rPr>
        <w:t xml:space="preserve"> below, the terms of any Incremental Facility shall be identical to those applicable to any applicable then-existing Facility;</w:t>
      </w:r>
    </w:p>
    <w:p>
      <w:pPr>
        <w:spacing w:after="0" w:line="132" w:lineRule="exact"/>
        <w:rPr>
          <w:rFonts w:ascii="Times New Roman" w:cs="Times New Roman" w:eastAsia="Times New Roman" w:hAnsi="Times New Roman"/>
          <w:sz w:val="19"/>
          <w:szCs w:val="19"/>
          <w:color w:val="auto"/>
        </w:rPr>
      </w:pPr>
    </w:p>
    <w:p>
      <w:pPr>
        <w:jc w:val="both"/>
        <w:ind w:firstLine="1880"/>
        <w:spacing w:after="0" w:line="222" w:lineRule="auto"/>
        <w:tabs>
          <w:tab w:leader="none" w:pos="2489"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pricing shall be determined by the Borrower and the lender or lenders providing such Incremental Facility;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Incremental Term Facility that is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the Term Loans in right of payment and with respect to security, the Effective Yield applicable thereto may not be more than 0.50% higher than the Effective Yield applicable to the then-existing Term Loans unless the Applicable Margin (and/or the Floor) with respect to the Term Loans is adjusted, or fees are paid to the relevant then-existing Term Lenders, in each case, such that the Effective Yield in respect of such existing Term Loans is not more than 0.50% per annum less than the Effective Yield with respect to such Incremental Term Facility;</w:t>
      </w:r>
    </w:p>
    <w:p>
      <w:pPr>
        <w:spacing w:after="0" w:line="141" w:lineRule="exact"/>
        <w:rPr>
          <w:rFonts w:ascii="Times New Roman" w:cs="Times New Roman" w:eastAsia="Times New Roman" w:hAnsi="Times New Roman"/>
          <w:sz w:val="19"/>
          <w:szCs w:val="19"/>
          <w:color w:val="auto"/>
        </w:rPr>
      </w:pPr>
    </w:p>
    <w:p>
      <w:pPr>
        <w:ind w:firstLine="1880"/>
        <w:spacing w:after="0" w:line="249" w:lineRule="auto"/>
        <w:tabs>
          <w:tab w:leader="none" w:pos="249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clause (v)</w:t>
      </w:r>
      <w:r>
        <w:rPr>
          <w:rFonts w:ascii="Times New Roman" w:cs="Times New Roman" w:eastAsia="Times New Roman" w:hAnsi="Times New Roman"/>
          <w:sz w:val="19"/>
          <w:szCs w:val="19"/>
          <w:color w:val="auto"/>
        </w:rPr>
        <w:t xml:space="preserve"> above, to the extent applicable, any fees payable in connection with any Incremental Facility shall be determined by the Borrower and the arrangers and/or lenders providing such Incremental Facility;</w:t>
      </w:r>
    </w:p>
    <w:p>
      <w:pPr>
        <w:spacing w:after="0" w:line="132"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final maturity date with respect to any Incremental Facility shall be the Maturity Date;</w:t>
      </w:r>
    </w:p>
    <w:p>
      <w:pPr>
        <w:spacing w:after="0" w:line="185" w:lineRule="exact"/>
        <w:rPr>
          <w:rFonts w:ascii="Times New Roman" w:cs="Times New Roman" w:eastAsia="Times New Roman" w:hAnsi="Times New Roman"/>
          <w:sz w:val="19"/>
          <w:szCs w:val="19"/>
          <w:color w:val="auto"/>
        </w:rPr>
      </w:pPr>
    </w:p>
    <w:p>
      <w:pPr>
        <w:ind w:firstLine="1880"/>
        <w:spacing w:after="0" w:line="249" w:lineRule="auto"/>
        <w:tabs>
          <w:tab w:leader="none" w:pos="2491"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Weighted Average Life to Maturity of any Incremental Facility shall be no shorter than the remaining Weighted Average Life to Maturity of the Facilities (without giving effect to any prepayment thereof);</w:t>
      </w:r>
    </w:p>
    <w:p>
      <w:pPr>
        <w:spacing w:after="0" w:line="131"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Incremental Facility may be (A) guaranteed by any Person that is not a Loan Party or (B) secured by any asset</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than the Collateral;</w:t>
      </w:r>
    </w:p>
    <w:p>
      <w:pPr>
        <w:spacing w:after="0" w:line="163" w:lineRule="exact"/>
        <w:rPr>
          <w:rFonts w:ascii="Times New Roman" w:cs="Times New Roman" w:eastAsia="Times New Roman" w:hAnsi="Times New Roman"/>
          <w:sz w:val="19"/>
          <w:szCs w:val="19"/>
          <w:color w:val="auto"/>
        </w:rPr>
      </w:pPr>
    </w:p>
    <w:p>
      <w:pPr>
        <w:jc w:val="both"/>
        <w:ind w:firstLine="1880"/>
        <w:spacing w:after="0" w:line="226" w:lineRule="auto"/>
        <w:tabs>
          <w:tab w:leader="none" w:pos="2489"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Incremental Term Facility may participate (A) in any voluntary prepayment of Term Loans as set forth in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on a pro rata basis (but not greater than pro rata basis) and (B) in any mandatory prepayment of Term Loans as set forth in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xml:space="preserve"> on a pro rata basis (but not greater than pro rata basis) with the then-existing Term Loans, in each case, to the extent provided in such Sections;</w:t>
      </w:r>
    </w:p>
    <w:p>
      <w:pPr>
        <w:spacing w:after="0" w:line="140" w:lineRule="exact"/>
        <w:rPr>
          <w:rFonts w:ascii="Times New Roman" w:cs="Times New Roman" w:eastAsia="Times New Roman" w:hAnsi="Times New Roman"/>
          <w:sz w:val="19"/>
          <w:szCs w:val="19"/>
          <w:color w:val="auto"/>
        </w:rPr>
      </w:pPr>
    </w:p>
    <w:p>
      <w:pPr>
        <w:ind w:firstLine="1880"/>
        <w:spacing w:after="0" w:line="249" w:lineRule="auto"/>
        <w:tabs>
          <w:tab w:leader="none" w:pos="249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conditions set forth in </w:t>
      </w:r>
      <w:r>
        <w:rPr>
          <w:rFonts w:ascii="Times New Roman" w:cs="Times New Roman" w:eastAsia="Times New Roman" w:hAnsi="Times New Roman"/>
          <w:sz w:val="19"/>
          <w:szCs w:val="19"/>
          <w:u w:val="single" w:color="auto"/>
          <w:color w:val="auto"/>
        </w:rPr>
        <w:t>Section 5.2(a)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hereof shall be satisfied after giving effect to the incurrence or implementation of the relevant Incremental Facility as if such incurrence or implementation constituted a “Credit Extension”;</w:t>
      </w:r>
    </w:p>
    <w:p>
      <w:pPr>
        <w:spacing w:after="0" w:line="145" w:lineRule="exact"/>
        <w:rPr>
          <w:rFonts w:ascii="Times New Roman" w:cs="Times New Roman" w:eastAsia="Times New Roman" w:hAnsi="Times New Roman"/>
          <w:sz w:val="19"/>
          <w:szCs w:val="19"/>
          <w:color w:val="auto"/>
        </w:rPr>
      </w:pPr>
    </w:p>
    <w:p>
      <w:pPr>
        <w:ind w:firstLine="1880"/>
        <w:spacing w:after="0" w:line="237" w:lineRule="auto"/>
        <w:tabs>
          <w:tab w:leader="none" w:pos="249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be in compliance with each of the financial covenants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after giving effect to the incurrence or implementation of the relevant Incremental Facility;</w:t>
      </w:r>
    </w:p>
    <w:p>
      <w:pPr>
        <w:spacing w:after="0" w:line="154" w:lineRule="exact"/>
        <w:rPr>
          <w:rFonts w:ascii="Times New Roman" w:cs="Times New Roman" w:eastAsia="Times New Roman" w:hAnsi="Times New Roman"/>
          <w:sz w:val="19"/>
          <w:szCs w:val="19"/>
          <w:color w:val="auto"/>
        </w:rPr>
      </w:pPr>
    </w:p>
    <w:p>
      <w:pPr>
        <w:jc w:val="both"/>
        <w:ind w:firstLine="1880"/>
        <w:spacing w:after="0" w:line="229" w:lineRule="auto"/>
        <w:tabs>
          <w:tab w:leader="none" w:pos="2491"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Consolidated Leverage Ratio of Holdings and its Subsidiaries shall be less than or equal to 1.75:1.00 (it being agreed that the Consolidated Leverage Ratio shall be calculated without netting the proceeds of such Incremental Facility and treating any Incremental Revolving Facility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1900" w:h="16838" w:orient="portrait"/>
          <w:cols w:equalWidth="0" w:num="1">
            <w:col w:w="11240"/>
          </w:cols>
          <w:pgMar w:left="320" w:top="1354"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9"/>
          <w:szCs w:val="19"/>
          <w:color w:val="auto"/>
        </w:rPr>
        <w:t>as being fully drawn), after giving effect to the incurrence or implementation of the relevant Incremental Facility;</w:t>
      </w:r>
    </w:p>
    <w:p>
      <w:pPr>
        <w:spacing w:after="0" w:line="171" w:lineRule="exact"/>
        <w:rPr>
          <w:sz w:val="20"/>
          <w:szCs w:val="20"/>
          <w:color w:val="auto"/>
        </w:rPr>
      </w:pPr>
    </w:p>
    <w:p>
      <w:pPr>
        <w:ind w:left="2500" w:hanging="620"/>
        <w:spacing w:after="0"/>
        <w:tabs>
          <w:tab w:leader="none" w:pos="2500" w:val="left"/>
        </w:tabs>
        <w:numPr>
          <w:ilvl w:val="2"/>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proceeds of any Incremental Facility may be used for general corporate purposes and any other use not</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prohibited by this Agreement;</w:t>
      </w:r>
    </w:p>
    <w:p>
      <w:pPr>
        <w:spacing w:after="0" w:line="163" w:lineRule="exact"/>
        <w:rPr>
          <w:rFonts w:ascii="Times New Roman" w:cs="Times New Roman" w:eastAsia="Times New Roman" w:hAnsi="Times New Roman"/>
          <w:sz w:val="19"/>
          <w:szCs w:val="19"/>
          <w:color w:val="auto"/>
        </w:rPr>
      </w:pPr>
    </w:p>
    <w:p>
      <w:pPr>
        <w:jc w:val="both"/>
        <w:ind w:firstLine="1880"/>
        <w:spacing w:after="0" w:line="226" w:lineRule="auto"/>
        <w:tabs>
          <w:tab w:leader="none" w:pos="2493" w:val="left"/>
        </w:tabs>
        <w:numPr>
          <w:ilvl w:val="2"/>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date of the Borrowing of any Incremental Term Loans, such Incremental Term Loans shall be added to (and constitute a part of, be of the same Type as and, at the election of the Borrower, have the same Interest Period as) each Borrowing of outstanding Term Loans on a pro rata basis (based on the relative sizes of such Borrowings), so that each Term Lender providing such Incremental Term Loans will participate proportionately in each then-outstanding Borrowing of Term Loans; and</w:t>
      </w:r>
    </w:p>
    <w:p>
      <w:pPr>
        <w:spacing w:after="0" w:line="153"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2"/>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principal amount of Incremental Revolving Facilities shall not exceed $5,000,000.</w:t>
      </w:r>
    </w:p>
    <w:p>
      <w:pPr>
        <w:spacing w:after="0" w:line="172"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3"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Incremental Commitments may be provided by any existing Lender, or by any other Eligible Assignee (any such other lender being called an “</w:t>
      </w:r>
      <w:r>
        <w:rPr>
          <w:rFonts w:ascii="Times New Roman" w:cs="Times New Roman" w:eastAsia="Times New Roman" w:hAnsi="Times New Roman"/>
          <w:sz w:val="19"/>
          <w:szCs w:val="19"/>
          <w:u w:val="single" w:color="auto"/>
          <w:color w:val="auto"/>
        </w:rPr>
        <w:t>Incremental 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(and, in the case of any Incremental Revolving Facility, any Issuing Lender and any Swingline Lender) shall have a right to consent (such consent not to be unreasonably withheld, conditioned or delayed) to the relevant Incremental Lender’s provision of Incremental Commitments if such consent would be required under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for an assignment of Loans to such Incremental Lender.</w:t>
      </w:r>
    </w:p>
    <w:p>
      <w:pPr>
        <w:spacing w:after="0" w:line="157"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6"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or Incremental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the relevant Incremental Commitment, each Incremental Lender shall become a Lender for all purposes in connection with this Agreement.</w:t>
      </w:r>
    </w:p>
    <w:p>
      <w:pPr>
        <w:spacing w:after="0" w:line="140"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3"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conditions precedent to the effectiveness of any Incremental Facility or the making of any Incremental Loans, (i) upon its request, the Administrative Agent shall be entitled to receive customary written opinions of counsel, as well as such reaffirmation agreements, supplements and/or amendments as it shall reasonably require, (ii) the Administrative Agent shall be entitled to receive, from each Incremental Lender, an administrative questionnaire and such other documents as it shall reasonably require from such Incremental Lender, (iii) the Administrative Agent and the Incremental Lenders shall be entitled to receive all fees required to be paid in respect of such Incremental Facility or Incremental Loans, (iv) the Administrative Agent shall have received a Notice of Borrowing as if the relevant Incremental Loans were subject to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and (v) the Administrative Agent shall be entitled to receive a certificate of the Borrower signed by a Responsible Officer thereof certifying and attaching a copy of the resolutions adopted by the governing body of the Borrower approving or consenting to such Incremental Facility or Incremental Loans.</w:t>
      </w:r>
    </w:p>
    <w:p>
      <w:pPr>
        <w:spacing w:after="0" w:line="157"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6"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this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 xml:space="preserve"> or in any other provision of any Loan Document, the conditions to availability or funding of any Incremental Facility shall be determined by the relevant Incremental Lenders providing such Incremental Facility and the Borrower.</w:t>
      </w:r>
    </w:p>
    <w:p>
      <w:pPr>
        <w:spacing w:after="0" w:line="156" w:lineRule="exact"/>
        <w:rPr>
          <w:rFonts w:ascii="Times New Roman" w:cs="Times New Roman" w:eastAsia="Times New Roman" w:hAnsi="Times New Roman"/>
          <w:sz w:val="19"/>
          <w:szCs w:val="19"/>
          <w:color w:val="auto"/>
        </w:rPr>
      </w:pPr>
    </w:p>
    <w:p>
      <w:pPr>
        <w:jc w:val="both"/>
        <w:ind w:firstLine="1254"/>
        <w:spacing w:after="0" w:line="213" w:lineRule="auto"/>
        <w:tabs>
          <w:tab w:leader="none" w:pos="1871" w:val="left"/>
        </w:tabs>
        <w:numPr>
          <w:ilvl w:val="1"/>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implementation of any Incremental Revolving Facility pursuant to this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 (i)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and Swingline Loans such that, after giving effect to each deemed assignment and assumption of participations, all of the Revolving Lenders’ (including each Incremental Revolving Facility Lender)</w:t>
      </w:r>
    </w:p>
    <w:p>
      <w:pPr>
        <w:spacing w:after="0" w:line="3" w:lineRule="exact"/>
        <w:rPr>
          <w:rFonts w:ascii="Times New Roman" w:cs="Times New Roman" w:eastAsia="Times New Roman" w:hAnsi="Times New Roman"/>
          <w:sz w:val="19"/>
          <w:szCs w:val="19"/>
          <w:color w:val="auto"/>
        </w:rPr>
      </w:pPr>
    </w:p>
    <w:p>
      <w:pPr>
        <w:ind w:left="320" w:hanging="316"/>
        <w:spacing w:after="0" w:line="214" w:lineRule="auto"/>
        <w:tabs>
          <w:tab w:leader="none" w:pos="32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participations hereunder in Letters of Credit and (B) participations hereunder in Swingline Loans shall be held on a pro rata basis on the basis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their respective Revolving Commitments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1900" w:h="16838" w:orient="portrait"/>
          <w:cols w:equalWidth="0" w:num="1">
            <w:col w:w="11240"/>
          </w:cols>
          <w:pgMar w:left="320" w:top="1354"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9"/>
          <w:szCs w:val="19"/>
          <w:color w:val="auto"/>
        </w:rPr>
        <w:t xml:space="preserve">(after giving effect to any increase in the Revolving Commitment pursuant to this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 and (ii) the existing Revolving Lenders shall</w:t>
      </w:r>
    </w:p>
    <w:p>
      <w:pPr>
        <w:spacing w:after="0" w:line="207" w:lineRule="auto"/>
        <w:rPr>
          <w:sz w:val="20"/>
          <w:szCs w:val="20"/>
          <w:color w:val="auto"/>
        </w:rPr>
      </w:pPr>
      <w:r>
        <w:rPr>
          <w:rFonts w:ascii="Times New Roman" w:cs="Times New Roman" w:eastAsia="Times New Roman" w:hAnsi="Times New Roman"/>
          <w:sz w:val="19"/>
          <w:szCs w:val="19"/>
          <w:color w:val="auto"/>
        </w:rPr>
        <w:t>assign Revolving Loans to certain other Revolving Lenders (including the Revolving Lenders providing the relevant Incremental Revolving Facility), and such other Revolving Lenders (including the Revolving Lenders providing the relevant Incremental Revolving Facility) shall</w:t>
      </w:r>
    </w:p>
    <w:p>
      <w:pPr>
        <w:spacing w:after="0" w:line="215" w:lineRule="auto"/>
        <w:rPr>
          <w:sz w:val="20"/>
          <w:szCs w:val="20"/>
          <w:color w:val="auto"/>
        </w:rPr>
      </w:pPr>
      <w:r>
        <w:rPr>
          <w:rFonts w:ascii="Times New Roman" w:cs="Times New Roman" w:eastAsia="Times New Roman" w:hAnsi="Times New Roman"/>
          <w:sz w:val="19"/>
          <w:szCs w:val="19"/>
          <w:color w:val="auto"/>
        </w:rPr>
        <w:t>purchase such Revolving Loans, in each case to the extent necessary so that all of the Revolving Lenders participate in each outstanding</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Borrowing of Revolving Loans pro rata on the basis of their respective Revolving Commitments (after giving effect to any increase in the Revolving Commitment pursuant to this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 it being understood and agreed that the minimum borrowing, pro rata borrowing and pro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rata payment requirements contained elsewhere in this Agreement shall not apply to the transactions effected pursuant to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ind w:firstLine="1254"/>
        <w:spacing w:after="0" w:line="219" w:lineRule="auto"/>
        <w:tabs>
          <w:tab w:leader="none" w:pos="1863"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Lenders hereby irrevocably authorize the Administrative Agent to, and the Administrative Agent shall (without the consent of any Lenders (other than those providing the applicable Incremental Facility)), enter into any Incremental Facility Amendment and/or any amendment to any other Loan Document as may be necessary, appropriate or advisable in the reasonable opinion of the Administrative Agent. In addition, the Incremental Facility Amendment with respect to any Incremental Term Facility may, without the consent of any Lenders (other than those providing such Incremental Term Loans) or the Administrative Agent, include such amendments to this Agreement as may be necessary, appropriate or advisable as reasonably determined by the Administrative Agent and the Borrower to make the applicable Incremental Term Loans “fungible” with the relevant existing Term Loans (including by modifying the amortization schedule).</w:t>
      </w:r>
    </w:p>
    <w:p>
      <w:pPr>
        <w:spacing w:after="0" w:line="141"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2.26</w:t>
      </w:r>
      <w:r>
        <w:rPr>
          <w:rFonts w:ascii="Times New Roman" w:cs="Times New Roman" w:eastAsia="Times New Roman" w:hAnsi="Times New Roman"/>
          <w:sz w:val="19"/>
          <w:szCs w:val="19"/>
          <w:color w:val="auto"/>
        </w:rPr>
        <w:t xml:space="preserve"> shall supersede any provision in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to the contrary.</w:t>
      </w:r>
    </w:p>
    <w:p>
      <w:pPr>
        <w:spacing w:after="0" w:line="18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Section 3</w:t>
      </w:r>
    </w:p>
    <w:p>
      <w:pPr>
        <w:spacing w:after="0" w:line="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b w:val="1"/>
          <w:bCs w:val="1"/>
          <w:color w:val="auto"/>
        </w:rPr>
        <w:t>LETTERS OF CREDIT</w:t>
      </w:r>
    </w:p>
    <w:p>
      <w:pPr>
        <w:spacing w:after="0" w:line="14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L/C Commitment.</w:t>
      </w:r>
    </w:p>
    <w:p>
      <w:pPr>
        <w:spacing w:after="0" w:line="183" w:lineRule="exact"/>
        <w:rPr>
          <w:sz w:val="20"/>
          <w:szCs w:val="20"/>
          <w:color w:val="auto"/>
        </w:rPr>
      </w:pPr>
    </w:p>
    <w:p>
      <w:pPr>
        <w:jc w:val="both"/>
        <w:ind w:firstLine="1254"/>
        <w:spacing w:after="0" w:line="214" w:lineRule="auto"/>
        <w:tabs>
          <w:tab w:leader="none" w:pos="1866" w:val="left"/>
        </w:tabs>
        <w:numPr>
          <w:ilvl w:val="1"/>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hereof, the Issuing Lender agrees to issue letters of credit (“</w:t>
      </w:r>
      <w:r>
        <w:rPr>
          <w:rFonts w:ascii="Times New Roman" w:cs="Times New Roman" w:eastAsia="Times New Roman" w:hAnsi="Times New Roman"/>
          <w:sz w:val="19"/>
          <w:szCs w:val="19"/>
          <w:b w:val="1"/>
          <w:bCs w:val="1"/>
          <w:i w:val="1"/>
          <w:iCs w:val="1"/>
          <w:color w:val="auto"/>
        </w:rPr>
        <w:t>Letters of Credit</w:t>
      </w:r>
      <w:r>
        <w:rPr>
          <w:rFonts w:ascii="Times New Roman" w:cs="Times New Roman" w:eastAsia="Times New Roman" w:hAnsi="Times New Roman"/>
          <w:sz w:val="19"/>
          <w:szCs w:val="19"/>
          <w:color w:val="auto"/>
        </w:rPr>
        <w:t xml:space="preserve">”) for the account of the Borrower on any Business Day during the Letter of Credit Availability Period in such form as may reasonably be approved from time to time by the Issuing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Issuing Lender shall have no obligation to issue any Letter of Credit if, after giving effect to such issuance, the L/C Exposure would exceed either the Total L/C Commitments or the Available Revolving Commitment at such time. Each Letter of Credit shall (i) be denominated in Dollars and (ii) expire no later than the earlier of (x) the first anniversary of its date of issuance and</w:t>
      </w:r>
    </w:p>
    <w:p>
      <w:pPr>
        <w:spacing w:after="0" w:line="2" w:lineRule="exact"/>
        <w:rPr>
          <w:rFonts w:ascii="Times New Roman" w:cs="Times New Roman" w:eastAsia="Times New Roman" w:hAnsi="Times New Roman"/>
          <w:sz w:val="19"/>
          <w:szCs w:val="19"/>
          <w:color w:val="auto"/>
        </w:rPr>
      </w:pPr>
    </w:p>
    <w:p>
      <w:pPr>
        <w:ind w:firstLine="4"/>
        <w:spacing w:after="0" w:line="232" w:lineRule="auto"/>
        <w:tabs>
          <w:tab w:leader="none" w:pos="278"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Letter of Credit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Letter of Credit with a one-year term may provide for the renewal thereof for additional one-year periods (which shall in no event extend beyond the date referred to in </w:t>
      </w:r>
      <w:r>
        <w:rPr>
          <w:rFonts w:ascii="Times New Roman" w:cs="Times New Roman" w:eastAsia="Times New Roman" w:hAnsi="Times New Roman"/>
          <w:sz w:val="19"/>
          <w:szCs w:val="19"/>
          <w:u w:val="single" w:color="auto"/>
          <w:color w:val="auto"/>
        </w:rPr>
        <w:t>clause (y)</w:t>
      </w:r>
      <w:r>
        <w:rPr>
          <w:rFonts w:ascii="Times New Roman" w:cs="Times New Roman" w:eastAsia="Times New Roman" w:hAnsi="Times New Roman"/>
          <w:sz w:val="19"/>
          <w:szCs w:val="19"/>
          <w:color w:val="auto"/>
        </w:rPr>
        <w:t xml:space="preserve"> above).</w:t>
      </w:r>
    </w:p>
    <w:p>
      <w:pPr>
        <w:spacing w:after="0" w:line="141"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1"/>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Issuing Lender shall not at any time be obligated to issue any Letter of Credit if:</w:t>
      </w:r>
    </w:p>
    <w:p>
      <w:pPr>
        <w:spacing w:after="0" w:line="185" w:lineRule="exact"/>
        <w:rPr>
          <w:rFonts w:ascii="Times New Roman" w:cs="Times New Roman" w:eastAsia="Times New Roman" w:hAnsi="Times New Roman"/>
          <w:sz w:val="19"/>
          <w:szCs w:val="19"/>
          <w:color w:val="auto"/>
        </w:rPr>
      </w:pPr>
    </w:p>
    <w:p>
      <w:pPr>
        <w:ind w:firstLine="1880"/>
        <w:spacing w:after="0" w:line="249" w:lineRule="auto"/>
        <w:tabs>
          <w:tab w:leader="none" w:pos="2498" w:val="left"/>
        </w:tabs>
        <w:numPr>
          <w:ilvl w:val="2"/>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issuance would conflict with, or cause the Issuing Lender or any L/C Lender to exceed any limits imposed by, any applicable Requirement of Law;</w:t>
      </w:r>
    </w:p>
    <w:p>
      <w:pPr>
        <w:spacing w:after="0" w:line="132" w:lineRule="exact"/>
        <w:rPr>
          <w:rFonts w:ascii="Times New Roman" w:cs="Times New Roman" w:eastAsia="Times New Roman" w:hAnsi="Times New Roman"/>
          <w:sz w:val="19"/>
          <w:szCs w:val="19"/>
          <w:color w:val="auto"/>
        </w:rPr>
      </w:pPr>
    </w:p>
    <w:p>
      <w:pPr>
        <w:jc w:val="both"/>
        <w:ind w:firstLine="1880"/>
        <w:spacing w:after="0" w:line="218" w:lineRule="auto"/>
        <w:tabs>
          <w:tab w:leader="none" w:pos="2499" w:val="left"/>
        </w:tabs>
        <w:numPr>
          <w:ilvl w:val="2"/>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renewal or reinstatement of letters of credit generally or such Letter of Credit in particular or shall impose upon the Issuing Lender with respect to such Letter of Credit any restriction, reserve or capital requirement (for which the Issuing Lender is not otherwise compensated) not in effect on the Closing Date, or shall impose upon the Issuing Lender any unreimbursed loss, cost or expense which was not applicable on the Closing Date and which the Issuing Lender in good faith deems material to it;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1900" w:h="16838" w:orient="portrait"/>
          <w:cols w:equalWidth="0" w:num="1">
            <w:col w:w="11240"/>
          </w:cols>
          <w:pgMar w:left="320" w:top="1353" w:right="339" w:bottom="1440" w:gutter="0" w:footer="0" w:header="0"/>
        </w:sectPr>
      </w:pPr>
    </w:p>
    <w:bookmarkStart w:id="197" w:name="page198"/>
    <w:bookmarkEnd w:id="197"/>
    <w:p>
      <w:pPr>
        <w:jc w:val="both"/>
        <w:ind w:firstLine="1880"/>
        <w:spacing w:after="0" w:line="229" w:lineRule="auto"/>
        <w:tabs>
          <w:tab w:leader="none" w:pos="250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Issuing Lender has received written notice from any Lender, the Administrative Agent or the Borrower, at least one Business Day prior to the requested date of issuance, amendment, renewal or reinstatement of such Letter of Credit, that one or more of the applicable conditions contained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shall not then be satisfied;</w:t>
      </w:r>
    </w:p>
    <w:p>
      <w:pPr>
        <w:spacing w:after="0" w:line="156" w:lineRule="exact"/>
        <w:rPr>
          <w:rFonts w:ascii="Times New Roman" w:cs="Times New Roman" w:eastAsia="Times New Roman" w:hAnsi="Times New Roman"/>
          <w:sz w:val="19"/>
          <w:szCs w:val="19"/>
          <w:color w:val="auto"/>
        </w:rPr>
      </w:pPr>
    </w:p>
    <w:p>
      <w:pPr>
        <w:ind w:firstLine="1880"/>
        <w:spacing w:after="0" w:line="249" w:lineRule="auto"/>
        <w:tabs>
          <w:tab w:leader="none" w:pos="249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requested Letter of Credit is not in form and substance acceptable to the Issuing Lender, or the issuance, amendment or renewal of a Letter of Credit shall violate any applicable laws or regulations or any applicable policies of the Issuing Lender;</w:t>
      </w:r>
    </w:p>
    <w:p>
      <w:pPr>
        <w:spacing w:after="0" w:line="131"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Letter of Credit contains any provisions providing for automatic reinstatement of the stated amount after any</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drawing thereunder;</w:t>
      </w:r>
    </w:p>
    <w:p>
      <w:pPr>
        <w:spacing w:after="0" w:line="163"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or</w:t>
      </w:r>
    </w:p>
    <w:p>
      <w:pPr>
        <w:spacing w:after="0" w:line="172" w:lineRule="exact"/>
        <w:rPr>
          <w:rFonts w:ascii="Times New Roman" w:cs="Times New Roman" w:eastAsia="Times New Roman" w:hAnsi="Times New Roman"/>
          <w:sz w:val="19"/>
          <w:szCs w:val="19"/>
          <w:color w:val="auto"/>
        </w:rPr>
      </w:pPr>
    </w:p>
    <w:p>
      <w:pPr>
        <w:jc w:val="both"/>
        <w:ind w:firstLine="1880"/>
        <w:spacing w:after="0" w:line="223" w:lineRule="auto"/>
        <w:tabs>
          <w:tab w:leader="none" w:pos="249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is at that time a Defaulting Lender, unless the Issuing Lender has entered into arrangements, including the delivery of Cash Collateral pursuant to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satisfactory to the Issuing Lender (in its sole discretion) with the Borrower or such Defaulting Lender to eliminate the Issuing Lender’s actual or potential Fronting Exposure (after giving effect to </w:t>
      </w:r>
      <w:r>
        <w:rPr>
          <w:rFonts w:ascii="Times New Roman" w:cs="Times New Roman" w:eastAsia="Times New Roman" w:hAnsi="Times New Roman"/>
          <w:sz w:val="19"/>
          <w:szCs w:val="19"/>
          <w:u w:val="single" w:color="auto"/>
          <w:color w:val="auto"/>
        </w:rPr>
        <w:t>Section 2.24(a)(iv)</w:t>
      </w:r>
      <w:r>
        <w:rPr>
          <w:rFonts w:ascii="Times New Roman" w:cs="Times New Roman" w:eastAsia="Times New Roman" w:hAnsi="Times New Roman"/>
          <w:sz w:val="19"/>
          <w:szCs w:val="19"/>
          <w:color w:val="auto"/>
        </w:rPr>
        <w:t>) with respect to the Defaulting Lender arising from either the Letter of Credit then proposed to be issued or such Letter of Credit and all other L/C Exposure as to which the Issuing Lender has actual or potential Fronting Exposure, as it may elect in its sole discretion.</w:t>
      </w:r>
    </w:p>
    <w:p>
      <w:pPr>
        <w:spacing w:after="0" w:line="155" w:lineRule="exact"/>
        <w:rPr>
          <w:sz w:val="20"/>
          <w:szCs w:val="20"/>
          <w:color w:val="auto"/>
        </w:rPr>
      </w:pPr>
    </w:p>
    <w:p>
      <w:pPr>
        <w:jc w:val="both"/>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3.2 Procedure for Issuance of Letters of Credit</w:t>
      </w:r>
      <w:r>
        <w:rPr>
          <w:rFonts w:ascii="Times New Roman" w:cs="Times New Roman" w:eastAsia="Times New Roman" w:hAnsi="Times New Roman"/>
          <w:sz w:val="19"/>
          <w:szCs w:val="19"/>
          <w:color w:val="auto"/>
        </w:rPr>
        <w:t>. The Borrower may from time to time request that the Issuing Lender issue a Letter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Credit for the account of the Borrower by delivering to the Issuing Lender at its address for notices specified herein an Application therefor,</w:t>
      </w:r>
    </w:p>
    <w:p>
      <w:pPr>
        <w:spacing w:after="0" w:line="215" w:lineRule="auto"/>
        <w:rPr>
          <w:sz w:val="20"/>
          <w:szCs w:val="20"/>
          <w:color w:val="auto"/>
        </w:rPr>
      </w:pPr>
      <w:r>
        <w:rPr>
          <w:rFonts w:ascii="Times New Roman" w:cs="Times New Roman" w:eastAsia="Times New Roman" w:hAnsi="Times New Roman"/>
          <w:sz w:val="19"/>
          <w:szCs w:val="19"/>
          <w:color w:val="auto"/>
        </w:rPr>
        <w:t>completed to the satisfaction of the Issuing Lender, and such other certificates, documents and other papers and information as the Issuing Lender</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may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requested thereby (but in no event shall the Issuing Lender be required to issue any Letter of Credit earlier than three Business Days after its receipt of the Application therefor and all such other certificates, documents and other papers and information relating thereto) by issuing the</w:t>
      </w:r>
    </w:p>
    <w:p>
      <w:pPr>
        <w:spacing w:after="0" w:line="215" w:lineRule="auto"/>
        <w:rPr>
          <w:sz w:val="20"/>
          <w:szCs w:val="20"/>
          <w:color w:val="auto"/>
        </w:rPr>
      </w:pPr>
      <w:r>
        <w:rPr>
          <w:rFonts w:ascii="Times New Roman" w:cs="Times New Roman" w:eastAsia="Times New Roman" w:hAnsi="Times New Roman"/>
          <w:sz w:val="19"/>
          <w:szCs w:val="19"/>
          <w:color w:val="auto"/>
        </w:rPr>
        <w:t>original of such Letter of Credit to the beneficiary thereof or as otherwise may be agreed to by the Issuing Lender and the Borrower. The Issuing</w:t>
      </w:r>
    </w:p>
    <w:p>
      <w:pPr>
        <w:spacing w:after="0" w:line="207" w:lineRule="auto"/>
        <w:rPr>
          <w:sz w:val="20"/>
          <w:szCs w:val="20"/>
          <w:color w:val="auto"/>
        </w:rPr>
      </w:pPr>
      <w:r>
        <w:rPr>
          <w:rFonts w:ascii="Times New Roman" w:cs="Times New Roman" w:eastAsia="Times New Roman" w:hAnsi="Times New Roman"/>
          <w:sz w:val="19"/>
          <w:szCs w:val="19"/>
          <w:color w:val="auto"/>
        </w:rPr>
        <w:t>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amount thereof).</w:t>
      </w:r>
    </w:p>
    <w:p>
      <w:pPr>
        <w:spacing w:after="0" w:line="16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3.3</w:t>
      </w:r>
      <w:r>
        <w:rPr>
          <w:sz w:val="20"/>
          <w:szCs w:val="20"/>
          <w:color w:val="auto"/>
        </w:rPr>
        <w:tab/>
      </w:r>
      <w:r>
        <w:rPr>
          <w:rFonts w:ascii="Times New Roman" w:cs="Times New Roman" w:eastAsia="Times New Roman" w:hAnsi="Times New Roman"/>
          <w:sz w:val="19"/>
          <w:szCs w:val="19"/>
          <w:b w:val="1"/>
          <w:bCs w:val="1"/>
          <w:color w:val="auto"/>
        </w:rPr>
        <w:t>Fees and Other Charges.</w:t>
      </w:r>
    </w:p>
    <w:p>
      <w:pPr>
        <w:spacing w:after="0" w:line="174" w:lineRule="exact"/>
        <w:rPr>
          <w:sz w:val="20"/>
          <w:szCs w:val="20"/>
          <w:color w:val="auto"/>
        </w:rPr>
      </w:pPr>
    </w:p>
    <w:p>
      <w:pPr>
        <w:jc w:val="both"/>
        <w:ind w:firstLine="1254"/>
        <w:spacing w:after="0" w:line="237" w:lineRule="auto"/>
        <w:tabs>
          <w:tab w:leader="none" w:pos="1866"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to pay, with respect to each outstanding Letter of Credit issued for the account of (or at the request of) the Borrower, (i) a fronting fee of 0.125% per annum on the daily amount available to be drawn under each such Letter of Credit to the Issuing Lender for its own account (a “</w:t>
      </w:r>
      <w:r>
        <w:rPr>
          <w:rFonts w:ascii="Times New Roman" w:cs="Times New Roman" w:eastAsia="Times New Roman" w:hAnsi="Times New Roman"/>
          <w:sz w:val="19"/>
          <w:szCs w:val="19"/>
          <w:b w:val="1"/>
          <w:bCs w:val="1"/>
          <w:i w:val="1"/>
          <w:iCs w:val="1"/>
          <w:color w:val="auto"/>
        </w:rPr>
        <w:t>Letter of Credit Fronting Fee</w:t>
      </w:r>
      <w:r>
        <w:rPr>
          <w:rFonts w:ascii="Times New Roman" w:cs="Times New Roman" w:eastAsia="Times New Roman" w:hAnsi="Times New Roman"/>
          <w:sz w:val="19"/>
          <w:szCs w:val="19"/>
          <w:color w:val="auto"/>
        </w:rPr>
        <w:t xml:space="preserve">”), and (ii) a letter of credit fee equal to the Applicable Margin relating to Letters of Credit </w:t>
      </w:r>
      <w:r>
        <w:rPr>
          <w:rFonts w:ascii="Times New Roman" w:cs="Times New Roman" w:eastAsia="Times New Roman" w:hAnsi="Times New Roman"/>
          <w:sz w:val="19"/>
          <w:szCs w:val="19"/>
          <w:u w:val="single" w:color="auto"/>
          <w:color w:val="auto"/>
        </w:rPr>
        <w:t>multiplied</w:t>
      </w:r>
      <w:r>
        <w:rPr>
          <w:rFonts w:ascii="Times New Roman" w:cs="Times New Roman" w:eastAsia="Times New Roman" w:hAnsi="Times New Roman"/>
          <w:sz w:val="19"/>
          <w:szCs w:val="19"/>
          <w:color w:val="auto"/>
        </w:rPr>
        <w:t xml:space="preserve"> by the daily amount available to be drawn under each such Letter of Credit on the drawable amount of such Letter of Credit to the Administrative Agent for the ratable account of the L/C Lenders (determined in accordance with their respective L/C Percentages) (a “</w:t>
      </w:r>
      <w:r>
        <w:rPr>
          <w:rFonts w:ascii="Times New Roman" w:cs="Times New Roman" w:eastAsia="Times New Roman" w:hAnsi="Times New Roman"/>
          <w:sz w:val="19"/>
          <w:szCs w:val="19"/>
          <w:b w:val="1"/>
          <w:bCs w:val="1"/>
          <w:i w:val="1"/>
          <w:iCs w:val="1"/>
          <w:color w:val="auto"/>
        </w:rPr>
        <w:t>Letter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of Credit Fee</w:t>
      </w:r>
      <w:r>
        <w:rPr>
          <w:rFonts w:ascii="Times New Roman" w:cs="Times New Roman" w:eastAsia="Times New Roman" w:hAnsi="Times New Roman"/>
          <w:sz w:val="19"/>
          <w:szCs w:val="19"/>
          <w:color w:val="auto"/>
        </w:rPr>
        <w:t>”), in each case payable quarterly in arrears on the last Business Day of March, June, September and December of each year and 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Letter of Credit Maturity Date (each, an “</w:t>
      </w:r>
      <w:r>
        <w:rPr>
          <w:rFonts w:ascii="Times New Roman" w:cs="Times New Roman" w:eastAsia="Times New Roman" w:hAnsi="Times New Roman"/>
          <w:sz w:val="19"/>
          <w:szCs w:val="19"/>
          <w:b w:val="1"/>
          <w:bCs w:val="1"/>
          <w:i w:val="1"/>
          <w:iCs w:val="1"/>
          <w:color w:val="auto"/>
        </w:rPr>
        <w:t>L/C Fee Payment Date</w:t>
      </w:r>
      <w:r>
        <w:rPr>
          <w:rFonts w:ascii="Times New Roman" w:cs="Times New Roman" w:eastAsia="Times New Roman" w:hAnsi="Times New Roman"/>
          <w:sz w:val="19"/>
          <w:szCs w:val="19"/>
          <w:color w:val="auto"/>
        </w:rPr>
        <w:t xml:space="preserve">”) after the issuance date of such Letter of Credit, and (iii) the Issuing Lender’s standard and reasonable fees with respect to the issuance, amendment, renewal or extension of any Letter of Credit issued for the account of (or at the request of) the Borrower or processing of drawings thereunder (the fees in this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collectively, the “</w:t>
      </w:r>
      <w:r>
        <w:rPr>
          <w:rFonts w:ascii="Times New Roman" w:cs="Times New Roman" w:eastAsia="Times New Roman" w:hAnsi="Times New Roman"/>
          <w:sz w:val="19"/>
          <w:szCs w:val="19"/>
          <w:b w:val="1"/>
          <w:bCs w:val="1"/>
          <w:i w:val="1"/>
          <w:iCs w:val="1"/>
          <w:color w:val="auto"/>
        </w:rPr>
        <w:t>Issuing Lender Fees</w:t>
      </w:r>
      <w:r>
        <w:rPr>
          <w:rFonts w:ascii="Times New Roman" w:cs="Times New Roman" w:eastAsia="Times New Roman" w:hAnsi="Times New Roman"/>
          <w:sz w:val="19"/>
          <w:szCs w:val="19"/>
          <w:color w:val="auto"/>
        </w:rPr>
        <w:t>”). All Letter of Credit Fronting Fees and Letter of Credit Fees shall be computed on the basis of the actual number of days elapsed in a year of 360 days.</w:t>
      </w:r>
    </w:p>
    <w:p>
      <w:pPr>
        <w:spacing w:after="0" w:line="160" w:lineRule="exact"/>
        <w:rPr>
          <w:rFonts w:ascii="Times New Roman" w:cs="Times New Roman" w:eastAsia="Times New Roman" w:hAnsi="Times New Roman"/>
          <w:sz w:val="19"/>
          <w:szCs w:val="19"/>
          <w:color w:val="auto"/>
        </w:rPr>
      </w:pPr>
    </w:p>
    <w:p>
      <w:pPr>
        <w:ind w:firstLine="1254"/>
        <w:spacing w:after="0" w:line="237" w:lineRule="auto"/>
        <w:tabs>
          <w:tab w:leader="none" w:pos="1863"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foregoing fees, the Borrower shall pay or reimburse the Issuing Lender for such normal and customary costs and expenses as are incurred or charged by the Issuing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1900" w:h="16838" w:orient="portrait"/>
          <w:cols w:equalWidth="0" w:num="1">
            <w:col w:w="11240"/>
          </w:cols>
          <w:pgMar w:left="320" w:top="1354"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9"/>
          <w:szCs w:val="19"/>
          <w:color w:val="auto"/>
        </w:rPr>
        <w:t>Lender in issuing, negotiating, effecting payment under, amending or otherwise administering any Letter of Credit.</w:t>
      </w:r>
    </w:p>
    <w:p>
      <w:pPr>
        <w:spacing w:after="0" w:line="185" w:lineRule="exact"/>
        <w:rPr>
          <w:sz w:val="20"/>
          <w:szCs w:val="20"/>
          <w:color w:val="auto"/>
        </w:rPr>
      </w:pPr>
    </w:p>
    <w:p>
      <w:pPr>
        <w:jc w:val="both"/>
        <w:ind w:firstLine="1254"/>
        <w:spacing w:after="0" w:line="226" w:lineRule="auto"/>
        <w:tabs>
          <w:tab w:leader="none" w:pos="1866"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furnish to the Issuing Lender and the Administrative Agent such other documents and information pertaining to any requested Letter of Credit issuance, amendment or renewal, including any L/C-Related Documents, as the Issuing Lender or the Administrative Agent may require. This Agreement shall control in the event of any conflict with any L/C-Related Document (other than any Letter of Credit).</w:t>
      </w:r>
    </w:p>
    <w:p>
      <w:pPr>
        <w:spacing w:after="0" w:line="140"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3"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letter of credit fees otherwise payable for the account of a Defaulting Lender with respect to any Letter of Credit as to which such Defaulting Lender has not provided Cash Collateral satisfactory to the Issuing Lender pursuant to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shall be payable, to the maximum extent permitted by applicable law, to the other Issuing Lenders in accordance with the upward adjustments in their respective L/C Percentages allocable to such Letter of Credit pursuant to </w:t>
      </w:r>
      <w:r>
        <w:rPr>
          <w:rFonts w:ascii="Times New Roman" w:cs="Times New Roman" w:eastAsia="Times New Roman" w:hAnsi="Times New Roman"/>
          <w:sz w:val="19"/>
          <w:szCs w:val="19"/>
          <w:u w:val="single" w:color="auto"/>
          <w:color w:val="auto"/>
        </w:rPr>
        <w:t>Section 2.24(a)(iv)</w:t>
      </w:r>
      <w:r>
        <w:rPr>
          <w:rFonts w:ascii="Times New Roman" w:cs="Times New Roman" w:eastAsia="Times New Roman" w:hAnsi="Times New Roman"/>
          <w:sz w:val="19"/>
          <w:szCs w:val="19"/>
          <w:color w:val="auto"/>
        </w:rPr>
        <w:t>, with the balance of such fee, if any, payable to the Issuing Lender for its own account.</w:t>
      </w:r>
    </w:p>
    <w:p>
      <w:pPr>
        <w:spacing w:after="0" w:line="157"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fees payable under this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xml:space="preserve"> shall be fully earned on the date paid and nonrefundable.</w:t>
      </w:r>
    </w:p>
    <w:p>
      <w:pPr>
        <w:spacing w:after="0" w:line="17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3.4</w:t>
      </w:r>
      <w:r>
        <w:rPr>
          <w:sz w:val="20"/>
          <w:szCs w:val="20"/>
          <w:color w:val="auto"/>
        </w:rPr>
        <w:tab/>
      </w:r>
      <w:r>
        <w:rPr>
          <w:rFonts w:ascii="Times New Roman" w:cs="Times New Roman" w:eastAsia="Times New Roman" w:hAnsi="Times New Roman"/>
          <w:sz w:val="19"/>
          <w:szCs w:val="19"/>
          <w:b w:val="1"/>
          <w:bCs w:val="1"/>
          <w:color w:val="auto"/>
        </w:rPr>
        <w:t>L/C Participations.</w:t>
      </w:r>
    </w:p>
    <w:p>
      <w:pPr>
        <w:spacing w:after="0" w:line="185" w:lineRule="exact"/>
        <w:rPr>
          <w:sz w:val="20"/>
          <w:szCs w:val="20"/>
          <w:color w:val="auto"/>
        </w:rPr>
      </w:pPr>
    </w:p>
    <w:p>
      <w:pPr>
        <w:jc w:val="both"/>
        <w:ind w:firstLine="1254"/>
        <w:spacing w:after="0" w:line="214" w:lineRule="auto"/>
        <w:tabs>
          <w:tab w:leader="none" w:pos="1866"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L/C Participations. </w:t>
      </w:r>
      <w:r>
        <w:rPr>
          <w:rFonts w:ascii="Times New Roman" w:cs="Times New Roman" w:eastAsia="Times New Roman" w:hAnsi="Times New Roman"/>
          <w:sz w:val="19"/>
          <w:szCs w:val="19"/>
          <w:color w:val="auto"/>
        </w:rPr>
        <w:t>The Issuing Lender irrevocably agrees to grant and hereby grants to each L/C Lender, and, to induce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Issuing Lender to issue Letters of Credit, 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 and in respect of each Letter of Credit and the amount of each draft paid by the Issuing Lender thereunder. Each L/C Lender agrees with the Issuing Lender that, if a draft is paid under any Letter of Credit for which the Issuing Lender is not reimbursed in full by the Borrower pursuant to </w:t>
      </w:r>
      <w:r>
        <w:rPr>
          <w:rFonts w:ascii="Times New Roman" w:cs="Times New Roman" w:eastAsia="Times New Roman" w:hAnsi="Times New Roman"/>
          <w:sz w:val="19"/>
          <w:szCs w:val="19"/>
          <w:u w:val="single" w:color="auto"/>
          <w:color w:val="auto"/>
        </w:rPr>
        <w:t>Section 3.5(a)</w:t>
      </w:r>
      <w:r>
        <w:rPr>
          <w:rFonts w:ascii="Times New Roman" w:cs="Times New Roman" w:eastAsia="Times New Roman" w:hAnsi="Times New Roman"/>
          <w:sz w:val="19"/>
          <w:szCs w:val="19"/>
          <w:color w:val="auto"/>
        </w:rPr>
        <w:t xml:space="preserve">, such L/C Lender shall pay to the Issuing Lender upon demand at the Issuing Lender’s address for notices 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the Issuing Lender, the Borrower or any other Person for any reason whatsoever, (ii) the occurrence of a Default or an Event of Default or the failure to satisfy any of the other conditions specified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(iii) any adverse change in the condition (financial or otherwise) of the Borrower, (iv) any breach of this Agreement or any other Loan Document by the Borrower, any other Loan Party or any other L/C Lender, or (v) any other circumstance, happening or event whatsoever, whether or not similar to any of the foregoing.</w:t>
      </w:r>
    </w:p>
    <w:p>
      <w:pPr>
        <w:spacing w:after="0" w:line="150"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[Reserved].</w:t>
      </w:r>
    </w:p>
    <w:p>
      <w:pPr>
        <w:spacing w:after="0" w:line="18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3.5</w:t>
      </w:r>
      <w:r>
        <w:rPr>
          <w:sz w:val="20"/>
          <w:szCs w:val="20"/>
          <w:color w:val="auto"/>
        </w:rPr>
        <w:tab/>
      </w:r>
      <w:r>
        <w:rPr>
          <w:rFonts w:ascii="Times New Roman" w:cs="Times New Roman" w:eastAsia="Times New Roman" w:hAnsi="Times New Roman"/>
          <w:sz w:val="19"/>
          <w:szCs w:val="19"/>
          <w:b w:val="1"/>
          <w:bCs w:val="1"/>
          <w:color w:val="auto"/>
        </w:rPr>
        <w:t>Reimbursement.</w:t>
      </w:r>
    </w:p>
    <w:p>
      <w:pPr>
        <w:spacing w:after="0" w:line="187" w:lineRule="exact"/>
        <w:rPr>
          <w:sz w:val="20"/>
          <w:szCs w:val="20"/>
          <w:color w:val="auto"/>
        </w:rPr>
      </w:pPr>
    </w:p>
    <w:p>
      <w:pPr>
        <w:jc w:val="both"/>
        <w:ind w:firstLine="1254"/>
        <w:spacing w:after="0" w:line="219" w:lineRule="auto"/>
        <w:tabs>
          <w:tab w:leader="none" w:pos="1866"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Issuing Lender shall make any L/C Disbursement in respect of a Letter of Credit, the Issuing Lender shall notify the Borrower and the Administrative Agent thereof and the Borrower shall pay or cause to be paid to the Issuing Lender an amount equal to the entire amount of such L/C Disbursement not later than the immediately following Business Day. Each such payment shall be made to the Issuing Lender at its address for notices referred to herein in Dollars and in immediately available funds;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may, subject to the satisfaction of the conditions to borrowing set forth herein, request in accordance with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2.7(a)</w:t>
      </w:r>
      <w:r>
        <w:rPr>
          <w:rFonts w:ascii="Times New Roman" w:cs="Times New Roman" w:eastAsia="Times New Roman" w:hAnsi="Times New Roman"/>
          <w:sz w:val="19"/>
          <w:szCs w:val="19"/>
          <w:color w:val="auto"/>
        </w:rPr>
        <w:t xml:space="preserve"> that such payment be financed with a Revolving Loan or a Swingline Loan, as applicable, in an equivalent amount and, to the extent so financed, the Borrower’s obligations to make such payment shall be discharged and replaced by the resulting Revolving Loan or Swingline Loan.</w:t>
      </w:r>
    </w:p>
    <w:p>
      <w:pPr>
        <w:spacing w:after="0" w:line="141"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Issuing Lender shall not have received from the Borrower the payment that it is required to make pursuant to </w:t>
      </w:r>
      <w:r>
        <w:rPr>
          <w:rFonts w:ascii="Times New Roman" w:cs="Times New Roman" w:eastAsia="Times New Roman" w:hAnsi="Times New Roman"/>
          <w:sz w:val="19"/>
          <w:szCs w:val="19"/>
          <w:u w:val="single" w:color="auto"/>
          <w:color w:val="auto"/>
        </w:rPr>
        <w:t>Section 3.5(a)</w:t>
      </w:r>
      <w:r>
        <w:rPr>
          <w:rFonts w:ascii="Times New Roman" w:cs="Times New Roman" w:eastAsia="Times New Roman" w:hAnsi="Times New Roman"/>
          <w:sz w:val="19"/>
          <w:szCs w:val="19"/>
          <w:color w:val="auto"/>
        </w:rPr>
        <w:t xml:space="preserve"> with respect to a Letter of Credit within the time specified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1900" w:h="16838" w:orient="portrait"/>
          <w:cols w:equalWidth="0" w:num="1">
            <w:col w:w="11240"/>
          </w:cols>
          <w:pgMar w:left="320" w:top="1354"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9"/>
          <w:szCs w:val="19"/>
          <w:color w:val="auto"/>
        </w:rPr>
        <w:t>in such Section, the Issuing Lender will promptly notify the Administrative Agent of the L/C Disbursement and the Administrative Agent will</w:t>
      </w:r>
    </w:p>
    <w:p>
      <w:pPr>
        <w:jc w:val="both"/>
        <w:spacing w:after="0" w:line="207" w:lineRule="auto"/>
        <w:rPr>
          <w:sz w:val="20"/>
          <w:szCs w:val="20"/>
          <w:color w:val="auto"/>
        </w:rPr>
      </w:pPr>
      <w:r>
        <w:rPr>
          <w:rFonts w:ascii="Times New Roman" w:cs="Times New Roman" w:eastAsia="Times New Roman" w:hAnsi="Times New Roman"/>
          <w:sz w:val="19"/>
          <w:szCs w:val="19"/>
          <w:color w:val="auto"/>
        </w:rPr>
        <w:t>promptly notify each L/C Lender of such L/C Disbursement and its L/C Percentage thereof, and each L/C Lender shall pay to the Issuing Lender upon demand at the Issuing Lender’s address for notices specified herein an amount equal to such L/C Lender’s L/C Percentage of such L/C</w:t>
      </w:r>
    </w:p>
    <w:p>
      <w:pPr>
        <w:spacing w:after="0" w:line="215" w:lineRule="auto"/>
        <w:rPr>
          <w:sz w:val="20"/>
          <w:szCs w:val="20"/>
          <w:color w:val="auto"/>
        </w:rPr>
      </w:pPr>
      <w:r>
        <w:rPr>
          <w:rFonts w:ascii="Times New Roman" w:cs="Times New Roman" w:eastAsia="Times New Roman" w:hAnsi="Times New Roman"/>
          <w:sz w:val="19"/>
          <w:szCs w:val="19"/>
          <w:color w:val="auto"/>
        </w:rPr>
        <w:t>Disbursement (and the Administrative Agent may apply Cash Collateral provided for this purpose); upon such payment pursuant to this paragraph</w:t>
      </w:r>
    </w:p>
    <w:p>
      <w:pPr>
        <w:jc w:val="both"/>
        <w:spacing w:after="0" w:line="207" w:lineRule="auto"/>
        <w:rPr>
          <w:sz w:val="20"/>
          <w:szCs w:val="20"/>
          <w:color w:val="auto"/>
        </w:rPr>
      </w:pPr>
      <w:r>
        <w:rPr>
          <w:rFonts w:ascii="Times New Roman" w:cs="Times New Roman" w:eastAsia="Times New Roman" w:hAnsi="Times New Roman"/>
          <w:sz w:val="19"/>
          <w:szCs w:val="19"/>
          <w:color w:val="auto"/>
        </w:rPr>
        <w:t>to reimburse the Issuing Lender for any L/C Disbursement, the Borrower shall be required to reimburse the L/C Lenders for such payments (including interest accrued thereon from the date of such payment until the date of such reimbursement at the rate applicable to Revolving Loans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that are ABR Loans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2.00% per annum) on demand;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at the time of and after giving effect to such payment by the L/C Lenders,</w:t>
      </w:r>
    </w:p>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the conditions to borrowings and Revolving Loan Conversions set forth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are satisfied, the Borrower may, by written notice to the Administrative Agent certifying that such conditions are satisfied and that all interest owing under this paragraph has been paid, request that such</w:t>
      </w:r>
    </w:p>
    <w:p>
      <w:pPr>
        <w:spacing w:after="0" w:line="215" w:lineRule="auto"/>
        <w:rPr>
          <w:sz w:val="20"/>
          <w:szCs w:val="20"/>
          <w:color w:val="auto"/>
        </w:rPr>
      </w:pPr>
      <w:r>
        <w:rPr>
          <w:rFonts w:ascii="Times New Roman" w:cs="Times New Roman" w:eastAsia="Times New Roman" w:hAnsi="Times New Roman"/>
          <w:sz w:val="19"/>
          <w:szCs w:val="19"/>
          <w:color w:val="auto"/>
        </w:rPr>
        <w:t>payments by the L/C Lenders be converted into Revolving Loans (a “</w:t>
      </w:r>
      <w:r>
        <w:rPr>
          <w:rFonts w:ascii="Times New Roman" w:cs="Times New Roman" w:eastAsia="Times New Roman" w:hAnsi="Times New Roman"/>
          <w:sz w:val="19"/>
          <w:szCs w:val="19"/>
          <w:b w:val="1"/>
          <w:bCs w:val="1"/>
          <w:i w:val="1"/>
          <w:iCs w:val="1"/>
          <w:color w:val="auto"/>
        </w:rPr>
        <w:t>Revolving Loan Conversion</w:t>
      </w:r>
      <w:r>
        <w:rPr>
          <w:rFonts w:ascii="Times New Roman" w:cs="Times New Roman" w:eastAsia="Times New Roman" w:hAnsi="Times New Roman"/>
          <w:sz w:val="19"/>
          <w:szCs w:val="19"/>
          <w:color w:val="auto"/>
        </w:rPr>
        <w:t>”), in which case, if such conditions are in fact</w:t>
      </w:r>
    </w:p>
    <w:p>
      <w:pPr>
        <w:jc w:val="both"/>
        <w:spacing w:after="0" w:line="207" w:lineRule="auto"/>
        <w:rPr>
          <w:sz w:val="20"/>
          <w:szCs w:val="20"/>
          <w:color w:val="auto"/>
        </w:rPr>
      </w:pPr>
      <w:r>
        <w:rPr>
          <w:rFonts w:ascii="Times New Roman" w:cs="Times New Roman" w:eastAsia="Times New Roman" w:hAnsi="Times New Roman"/>
          <w:sz w:val="19"/>
          <w:szCs w:val="19"/>
          <w:color w:val="auto"/>
        </w:rPr>
        <w:t>satisfied, the L/C Lenders shall be deemed to have extended, and the Borrower shall be deemed to have accepted, a Revolving Loan in the aggregate principal amount of such payment without further action on the part of any party, and the Total L/C Commitments shall be permanently</w:t>
      </w:r>
    </w:p>
    <w:p>
      <w:pPr>
        <w:spacing w:after="0" w:line="215" w:lineRule="auto"/>
        <w:rPr>
          <w:sz w:val="20"/>
          <w:szCs w:val="20"/>
          <w:color w:val="auto"/>
        </w:rPr>
      </w:pPr>
      <w:r>
        <w:rPr>
          <w:rFonts w:ascii="Times New Roman" w:cs="Times New Roman" w:eastAsia="Times New Roman" w:hAnsi="Times New Roman"/>
          <w:sz w:val="19"/>
          <w:szCs w:val="19"/>
          <w:color w:val="auto"/>
        </w:rPr>
        <w:t>reduced by such amount; any amount so paid pursuant to this paragraph shall, on and after the payment date thereof, be deemed to be Revolving</w:t>
      </w:r>
    </w:p>
    <w:p>
      <w:pPr>
        <w:jc w:val="both"/>
        <w:spacing w:after="0" w:line="225" w:lineRule="auto"/>
        <w:rPr>
          <w:sz w:val="20"/>
          <w:szCs w:val="20"/>
          <w:color w:val="auto"/>
        </w:rPr>
      </w:pPr>
      <w:r>
        <w:rPr>
          <w:rFonts w:ascii="Times New Roman" w:cs="Times New Roman" w:eastAsia="Times New Roman" w:hAnsi="Times New Roman"/>
          <w:sz w:val="19"/>
          <w:szCs w:val="19"/>
          <w:color w:val="auto"/>
        </w:rPr>
        <w:t xml:space="preserve">Loans for all purposes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Issuing Lender, at its option, may effectuate a Revolving Loan Conversion regardless of whether the conditions to borrowings and Revolving Loan Conversions set forth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are satisfied.</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3.6</w:t>
      </w:r>
      <w:r>
        <w:rPr>
          <w:sz w:val="20"/>
          <w:szCs w:val="20"/>
          <w:color w:val="auto"/>
        </w:rPr>
        <w:tab/>
      </w:r>
      <w:r>
        <w:rPr>
          <w:rFonts w:ascii="Times New Roman" w:cs="Times New Roman" w:eastAsia="Times New Roman" w:hAnsi="Times New Roman"/>
          <w:sz w:val="19"/>
          <w:szCs w:val="19"/>
          <w:b w:val="1"/>
          <w:bCs w:val="1"/>
          <w:color w:val="auto"/>
        </w:rPr>
        <w:t>Obligations Absolute</w:t>
      </w:r>
      <w:r>
        <w:rPr>
          <w:rFonts w:ascii="Times New Roman" w:cs="Times New Roman" w:eastAsia="Times New Roman" w:hAnsi="Times New Roman"/>
          <w:sz w:val="19"/>
          <w:szCs w:val="19"/>
          <w:color w:val="auto"/>
        </w:rPr>
        <w:t>. The Borrower’s obligations under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absolute and unconditional under any and all</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circumstances and irrespective of any setoff, counterclaim or defense to payment that the Borrower may have or have had against the Issuing Lender, any beneficiary of a Letter of Credit or any other Person. The Borrower also agrees with the Issuing Lender that the Issuing Lender shall</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not be responsible for, and the Borrower’s obligations hereunder shall not be affected by, among other things, the validity or genuineness of documents or of any endorsements thereon, even though such documents shall in fact prove to be invalid, fraudulent or forged, or any dispute</w:t>
      </w:r>
    </w:p>
    <w:p>
      <w:pPr>
        <w:spacing w:after="0" w:line="215" w:lineRule="auto"/>
        <w:rPr>
          <w:sz w:val="20"/>
          <w:szCs w:val="20"/>
          <w:color w:val="auto"/>
        </w:rPr>
      </w:pPr>
      <w:r>
        <w:rPr>
          <w:rFonts w:ascii="Times New Roman" w:cs="Times New Roman" w:eastAsia="Times New Roman" w:hAnsi="Times New Roman"/>
          <w:sz w:val="19"/>
          <w:szCs w:val="19"/>
          <w:color w:val="auto"/>
        </w:rPr>
        <w:t>between or among the Borrower and any beneficiary of any Letter of Credit or any other party to which such Letter of Credit may be transferred or</w:t>
      </w:r>
    </w:p>
    <w:p>
      <w:pPr>
        <w:jc w:val="both"/>
        <w:spacing w:after="0" w:line="207" w:lineRule="auto"/>
        <w:rPr>
          <w:sz w:val="20"/>
          <w:szCs w:val="20"/>
          <w:color w:val="auto"/>
        </w:rPr>
      </w:pPr>
      <w:r>
        <w:rPr>
          <w:rFonts w:ascii="Times New Roman" w:cs="Times New Roman" w:eastAsia="Times New Roman" w:hAnsi="Times New Roman"/>
          <w:sz w:val="19"/>
          <w:szCs w:val="19"/>
          <w:color w:val="auto"/>
        </w:rPr>
        <w:t>any claims whatsoever of the Borrower against any beneficiary of such Letter of Credit or any such transferee. The Issuing Lender shall not be liable for any error, omission, interruption or delay in transmission, dispatch or delivery of any message or advice, however transmitted, in</w:t>
      </w:r>
    </w:p>
    <w:p>
      <w:pPr>
        <w:spacing w:after="0" w:line="215" w:lineRule="auto"/>
        <w:rPr>
          <w:sz w:val="20"/>
          <w:szCs w:val="20"/>
          <w:color w:val="auto"/>
        </w:rPr>
      </w:pPr>
      <w:r>
        <w:rPr>
          <w:rFonts w:ascii="Times New Roman" w:cs="Times New Roman" w:eastAsia="Times New Roman" w:hAnsi="Times New Roman"/>
          <w:sz w:val="19"/>
          <w:szCs w:val="19"/>
          <w:color w:val="auto"/>
        </w:rPr>
        <w:t>connection with any Letter of Credit, except for errors or omissions found by a final and nonappealable decision of a court of competent</w:t>
      </w:r>
    </w:p>
    <w:p>
      <w:pPr>
        <w:jc w:val="both"/>
        <w:spacing w:after="0" w:line="207" w:lineRule="auto"/>
        <w:rPr>
          <w:sz w:val="20"/>
          <w:szCs w:val="20"/>
          <w:color w:val="auto"/>
        </w:rPr>
      </w:pPr>
      <w:r>
        <w:rPr>
          <w:rFonts w:ascii="Times New Roman" w:cs="Times New Roman" w:eastAsia="Times New Roman" w:hAnsi="Times New Roman"/>
          <w:sz w:val="19"/>
          <w:szCs w:val="19"/>
          <w:color w:val="auto"/>
        </w:rPr>
        <w:t>jurisdiction to have resulted from the gross negligence or willful misconduct of the Issuing Lender. The Borrower agrees that any action taken or omitted by the Issuing Lender under or in connection with any Letter of Credit or the related drafts or documents, if done in the absence of gross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negligence or willful misconduct, shall be binding on the Borrower and shall not result in any liability of the Issuing Lender to the Borrower.</w:t>
      </w:r>
    </w:p>
    <w:p>
      <w:pPr>
        <w:spacing w:after="0" w:line="176" w:lineRule="exact"/>
        <w:rPr>
          <w:sz w:val="20"/>
          <w:szCs w:val="20"/>
          <w:color w:val="auto"/>
        </w:rPr>
      </w:pPr>
    </w:p>
    <w:p>
      <w:pPr>
        <w:jc w:val="both"/>
        <w:ind w:firstLine="1250"/>
        <w:spacing w:after="0" w:line="256" w:lineRule="auto"/>
        <w:rPr>
          <w:sz w:val="20"/>
          <w:szCs w:val="20"/>
          <w:color w:val="auto"/>
        </w:rPr>
      </w:pPr>
      <w:r>
        <w:rPr>
          <w:rFonts w:ascii="Times New Roman" w:cs="Times New Roman" w:eastAsia="Times New Roman" w:hAnsi="Times New Roman"/>
          <w:sz w:val="19"/>
          <w:szCs w:val="19"/>
          <w:color w:val="auto"/>
        </w:rPr>
        <w:t>In addition to amounts payable as elsewhere provided in the Agreement, the Borrower hereby agrees to pay and to protect, indemnify, and save Issuing Lender harmless from and against any and all claims, demands, liabilities, damages, losses, costs, charges and expenses (including reasonable attorneys’ fees and allocated costs of internal counsel) that the Issuing Lender may incur or be subject to as a consequence, direct or indirect, of (A) the issuance of any Letter of Credit, or (B) the failure of Issuing Lender or of any L/C Lender to honor a demand for payment under any Letter of Credit thereof as a result of any act or omission, whether rightful or wrongful, of any present or future de jure or de facto government or Governmental Authority, in each case other than to the extent solely as a result of the gross negligence or willful misconduct of Issuing Lender or such L/C Lender (as finally determined by a court of competent jurisdiction).</w:t>
      </w:r>
    </w:p>
    <w:p>
      <w:pPr>
        <w:spacing w:after="0" w:line="16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3.7</w:t>
      </w:r>
      <w:r>
        <w:rPr>
          <w:sz w:val="20"/>
          <w:szCs w:val="20"/>
          <w:color w:val="auto"/>
        </w:rPr>
        <w:tab/>
      </w:r>
      <w:r>
        <w:rPr>
          <w:rFonts w:ascii="Times New Roman" w:cs="Times New Roman" w:eastAsia="Times New Roman" w:hAnsi="Times New Roman"/>
          <w:sz w:val="19"/>
          <w:szCs w:val="19"/>
          <w:b w:val="1"/>
          <w:bCs w:val="1"/>
          <w:color w:val="auto"/>
        </w:rPr>
        <w:t>Letter of Credit Payments</w:t>
      </w:r>
      <w:r>
        <w:rPr>
          <w:rFonts w:ascii="Times New Roman" w:cs="Times New Roman" w:eastAsia="Times New Roman" w:hAnsi="Times New Roman"/>
          <w:sz w:val="19"/>
          <w:szCs w:val="19"/>
          <w:color w:val="auto"/>
        </w:rPr>
        <w:t>. If any draft shall be presented for payment under any Letter of Credit, the Issuing Lender shall</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promptly notify the Borrower and the Administrative Agent of the date and amount thereof. The responsibility of the Issuing Lender to the Borrower in connection with any draft presented for payment under any Letter of Credit shall, in addition to any payment obligation expressly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provided for in such Letter of Credit, be limited to determining that the documents (including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1900" w:h="16838" w:orient="portrait"/>
          <w:cols w:equalWidth="0" w:num="1">
            <w:col w:w="11240"/>
          </w:cols>
          <w:pgMar w:left="320" w:top="1353"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9"/>
          <w:szCs w:val="19"/>
          <w:color w:val="auto"/>
        </w:rPr>
        <w:t>each draft) delivered under such Letter of Credit in connection with such presentment are substantially in conformity with such Letter of Credit.</w:t>
      </w:r>
    </w:p>
    <w:p>
      <w:pPr>
        <w:spacing w:after="0" w:line="183" w:lineRule="exact"/>
        <w:rPr>
          <w:sz w:val="20"/>
          <w:szCs w:val="20"/>
          <w:color w:val="auto"/>
        </w:rPr>
      </w:pPr>
    </w:p>
    <w:p>
      <w:pPr>
        <w:ind w:firstLine="625"/>
        <w:spacing w:after="0" w:line="238" w:lineRule="auto"/>
        <w:rPr>
          <w:sz w:val="20"/>
          <w:szCs w:val="20"/>
          <w:color w:val="auto"/>
        </w:rPr>
      </w:pPr>
      <w:r>
        <w:rPr>
          <w:rFonts w:ascii="Times New Roman" w:cs="Times New Roman" w:eastAsia="Times New Roman" w:hAnsi="Times New Roman"/>
          <w:sz w:val="19"/>
          <w:szCs w:val="19"/>
          <w:b w:val="1"/>
          <w:bCs w:val="1"/>
          <w:color w:val="auto"/>
        </w:rPr>
        <w:t>3.8 Applications</w:t>
      </w:r>
      <w:r>
        <w:rPr>
          <w:rFonts w:ascii="Times New Roman" w:cs="Times New Roman" w:eastAsia="Times New Roman" w:hAnsi="Times New Roman"/>
          <w:sz w:val="19"/>
          <w:szCs w:val="19"/>
          <w:color w:val="auto"/>
        </w:rPr>
        <w:t>. To the extent that any provision of any Application related to any Letter of Credit is inconsistent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provisions of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the provisions of this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shall apply.</w:t>
      </w:r>
    </w:p>
    <w:p>
      <w:pPr>
        <w:spacing w:after="0" w:line="15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3.9</w:t>
      </w:r>
      <w:r>
        <w:rPr>
          <w:sz w:val="20"/>
          <w:szCs w:val="20"/>
          <w:color w:val="auto"/>
        </w:rPr>
        <w:tab/>
      </w:r>
      <w:r>
        <w:rPr>
          <w:rFonts w:ascii="Times New Roman" w:cs="Times New Roman" w:eastAsia="Times New Roman" w:hAnsi="Times New Roman"/>
          <w:sz w:val="19"/>
          <w:szCs w:val="19"/>
          <w:b w:val="1"/>
          <w:bCs w:val="1"/>
          <w:color w:val="auto"/>
        </w:rPr>
        <w:t>Interim Interest</w:t>
      </w:r>
      <w:r>
        <w:rPr>
          <w:rFonts w:ascii="Times New Roman" w:cs="Times New Roman" w:eastAsia="Times New Roman" w:hAnsi="Times New Roman"/>
          <w:sz w:val="19"/>
          <w:szCs w:val="19"/>
          <w:color w:val="auto"/>
        </w:rPr>
        <w:t>. If the Issuing Lender shall make any L/C Disbursement in respect of a Letter of Credit, then, unless either the</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Borrower shall have reimbursed such L/C Disbursement in full within the time period specified in </w:t>
      </w:r>
      <w:r>
        <w:rPr>
          <w:rFonts w:ascii="Times New Roman" w:cs="Times New Roman" w:eastAsia="Times New Roman" w:hAnsi="Times New Roman"/>
          <w:sz w:val="19"/>
          <w:szCs w:val="19"/>
          <w:u w:val="single" w:color="auto"/>
          <w:color w:val="auto"/>
        </w:rPr>
        <w:t>Section 3.5(a)</w:t>
      </w:r>
      <w:r>
        <w:rPr>
          <w:rFonts w:ascii="Times New Roman" w:cs="Times New Roman" w:eastAsia="Times New Roman" w:hAnsi="Times New Roman"/>
          <w:sz w:val="19"/>
          <w:szCs w:val="19"/>
          <w:color w:val="auto"/>
        </w:rPr>
        <w:t xml:space="preserve"> or the L/C Lenders shall have reimbursed such L/C Disbursement in full on such date as provided in </w:t>
      </w:r>
      <w:r>
        <w:rPr>
          <w:rFonts w:ascii="Times New Roman" w:cs="Times New Roman" w:eastAsia="Times New Roman" w:hAnsi="Times New Roman"/>
          <w:sz w:val="19"/>
          <w:szCs w:val="19"/>
          <w:u w:val="single" w:color="auto"/>
          <w:color w:val="auto"/>
        </w:rPr>
        <w:t>Section 3.5(b)</w:t>
      </w:r>
      <w:r>
        <w:rPr>
          <w:rFonts w:ascii="Times New Roman" w:cs="Times New Roman" w:eastAsia="Times New Roman" w:hAnsi="Times New Roman"/>
          <w:sz w:val="19"/>
          <w:szCs w:val="19"/>
          <w:color w:val="auto"/>
        </w:rPr>
        <w:t>, in each case the unpaid amount thereof shall bear interest for</w:t>
      </w:r>
    </w:p>
    <w:p>
      <w:pPr>
        <w:spacing w:after="0" w:line="215" w:lineRule="auto"/>
        <w:rPr>
          <w:sz w:val="20"/>
          <w:szCs w:val="20"/>
          <w:color w:val="auto"/>
        </w:rPr>
      </w:pPr>
      <w:r>
        <w:rPr>
          <w:rFonts w:ascii="Times New Roman" w:cs="Times New Roman" w:eastAsia="Times New Roman" w:hAnsi="Times New Roman"/>
          <w:sz w:val="19"/>
          <w:szCs w:val="19"/>
          <w:color w:val="auto"/>
        </w:rPr>
        <w:t>the account of the Issuing Lender, for each day from and including the date of such L/C Disbursement to but excluding the earlier of the date of</w:t>
      </w:r>
    </w:p>
    <w:p>
      <w:pPr>
        <w:spacing w:after="0" w:line="225" w:lineRule="auto"/>
        <w:rPr>
          <w:sz w:val="20"/>
          <w:szCs w:val="20"/>
          <w:color w:val="auto"/>
        </w:rPr>
      </w:pPr>
      <w:r>
        <w:rPr>
          <w:rFonts w:ascii="Times New Roman" w:cs="Times New Roman" w:eastAsia="Times New Roman" w:hAnsi="Times New Roman"/>
          <w:sz w:val="19"/>
          <w:szCs w:val="19"/>
          <w:color w:val="auto"/>
        </w:rPr>
        <w:t xml:space="preserve">payment by the Borrower, at the rate per annum that would apply to such amount if such amount were a Revolving Loan that is an ABR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provisions of </w:t>
      </w:r>
      <w:r>
        <w:rPr>
          <w:rFonts w:ascii="Times New Roman" w:cs="Times New Roman" w:eastAsia="Times New Roman" w:hAnsi="Times New Roman"/>
          <w:sz w:val="19"/>
          <w:szCs w:val="19"/>
          <w:u w:val="single" w:color="auto"/>
          <w:color w:val="auto"/>
        </w:rPr>
        <w:t>Section 2.15(c)</w:t>
      </w:r>
      <w:r>
        <w:rPr>
          <w:rFonts w:ascii="Times New Roman" w:cs="Times New Roman" w:eastAsia="Times New Roman" w:hAnsi="Times New Roman"/>
          <w:sz w:val="19"/>
          <w:szCs w:val="19"/>
          <w:color w:val="auto"/>
        </w:rPr>
        <w:t xml:space="preserve"> shall be applicable to any such amounts not paid when due.</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3.10</w:t>
        <w:tab/>
        <w:t>Cash Collateral.</w:t>
      </w:r>
    </w:p>
    <w:p>
      <w:pPr>
        <w:spacing w:after="0" w:line="187" w:lineRule="exact"/>
        <w:rPr>
          <w:sz w:val="20"/>
          <w:szCs w:val="20"/>
          <w:color w:val="auto"/>
        </w:rPr>
      </w:pPr>
    </w:p>
    <w:p>
      <w:pPr>
        <w:jc w:val="both"/>
        <w:ind w:firstLine="1254"/>
        <w:spacing w:after="0" w:line="220" w:lineRule="auto"/>
        <w:tabs>
          <w:tab w:leader="none" w:pos="1866"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Credit Support Events</w:t>
      </w:r>
      <w:r>
        <w:rPr>
          <w:rFonts w:ascii="Times New Roman" w:cs="Times New Roman" w:eastAsia="Times New Roman" w:hAnsi="Times New Roman"/>
          <w:sz w:val="19"/>
          <w:szCs w:val="19"/>
          <w:color w:val="auto"/>
        </w:rPr>
        <w:t xml:space="preserve">. Upon the request of the Administrative Agent or the Issuing Lender (i) if the Issuing Lender has honored any full or partial drawing request under any Letter of Credit and such drawing has resulted in an L/C Advance by all the L/C Lenders that is not reimbursed by the Borrower or converted into a Revolving Loan pursuant to </w:t>
      </w:r>
      <w:r>
        <w:rPr>
          <w:rFonts w:ascii="Times New Roman" w:cs="Times New Roman" w:eastAsia="Times New Roman" w:hAnsi="Times New Roman"/>
          <w:sz w:val="19"/>
          <w:szCs w:val="19"/>
          <w:u w:val="single" w:color="auto"/>
          <w:color w:val="auto"/>
        </w:rPr>
        <w:t>Section 3.5(b)</w:t>
      </w:r>
      <w:r>
        <w:rPr>
          <w:rFonts w:ascii="Times New Roman" w:cs="Times New Roman" w:eastAsia="Times New Roman" w:hAnsi="Times New Roman"/>
          <w:sz w:val="19"/>
          <w:szCs w:val="19"/>
          <w:color w:val="auto"/>
        </w:rPr>
        <w:t>, or (ii) if, as of the Letter of Credit Maturity Date, any L/C Exposure for any reason remains outstanding, the Borrower shall, in each case, immediately Cash Collateralize the then effective L/C Exposure in an amount equal to 103% of such L/C Exposure.</w:t>
      </w:r>
    </w:p>
    <w:p>
      <w:pPr>
        <w:spacing w:after="0" w:line="171" w:lineRule="exact"/>
        <w:rPr>
          <w:sz w:val="20"/>
          <w:szCs w:val="20"/>
          <w:color w:val="auto"/>
        </w:rPr>
      </w:pPr>
    </w:p>
    <w:p>
      <w:pPr>
        <w:jc w:val="both"/>
        <w:ind w:firstLine="1250"/>
        <w:spacing w:after="0" w:line="264" w:lineRule="auto"/>
        <w:rPr>
          <w:sz w:val="20"/>
          <w:szCs w:val="20"/>
          <w:color w:val="auto"/>
        </w:rPr>
      </w:pPr>
      <w:r>
        <w:rPr>
          <w:rFonts w:ascii="Times New Roman" w:cs="Times New Roman" w:eastAsia="Times New Roman" w:hAnsi="Times New Roman"/>
          <w:sz w:val="19"/>
          <w:szCs w:val="19"/>
          <w:color w:val="auto"/>
        </w:rPr>
        <w:t xml:space="preserve">At any time that there shall exist a Defaulting Lender, within one Business Day following the request of the Administrative Agent or the Issuing Lender (with a copy to the Administrative Agent), the Borrower shall deliver to the Administrative Agent Cash Collateral in an amount sufficient to cover 103% of the Fronting Exposure relating to Letters of Credit (after giving effect to </w:t>
      </w:r>
      <w:r>
        <w:rPr>
          <w:rFonts w:ascii="Times New Roman" w:cs="Times New Roman" w:eastAsia="Times New Roman" w:hAnsi="Times New Roman"/>
          <w:sz w:val="19"/>
          <w:szCs w:val="19"/>
          <w:u w:val="single" w:color="auto"/>
          <w:color w:val="auto"/>
        </w:rPr>
        <w:t>Section 2.24(a)(iv)</w:t>
      </w:r>
      <w:r>
        <w:rPr>
          <w:rFonts w:ascii="Times New Roman" w:cs="Times New Roman" w:eastAsia="Times New Roman" w:hAnsi="Times New Roman"/>
          <w:sz w:val="19"/>
          <w:szCs w:val="19"/>
          <w:color w:val="auto"/>
        </w:rPr>
        <w:t xml:space="preserve"> and any Cash Collateral provided by such Defaulting Lender).</w:t>
      </w:r>
    </w:p>
    <w:p>
      <w:pPr>
        <w:spacing w:after="0" w:line="146" w:lineRule="exact"/>
        <w:rPr>
          <w:sz w:val="20"/>
          <w:szCs w:val="20"/>
          <w:color w:val="auto"/>
        </w:rPr>
      </w:pPr>
    </w:p>
    <w:p>
      <w:pPr>
        <w:jc w:val="both"/>
        <w:ind w:firstLine="1254"/>
        <w:spacing w:after="0" w:line="216" w:lineRule="auto"/>
        <w:tabs>
          <w:tab w:leader="none" w:pos="1863"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Security Interest</w:t>
      </w:r>
      <w:r>
        <w:rPr>
          <w:rFonts w:ascii="Times New Roman" w:cs="Times New Roman" w:eastAsia="Times New Roman" w:hAnsi="Times New Roman"/>
          <w:sz w:val="19"/>
          <w:szCs w:val="19"/>
          <w:color w:val="auto"/>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w:t>
      </w:r>
      <w:r>
        <w:rPr>
          <w:rFonts w:ascii="Times New Roman" w:cs="Times New Roman" w:eastAsia="Times New Roman" w:hAnsi="Times New Roman"/>
          <w:sz w:val="19"/>
          <w:szCs w:val="19"/>
          <w:u w:val="single" w:color="auto"/>
          <w:color w:val="auto"/>
        </w:rPr>
        <w:t>Section 3.10(c)</w:t>
      </w:r>
      <w:r>
        <w:rPr>
          <w:rFonts w:ascii="Times New Roman" w:cs="Times New Roman" w:eastAsia="Times New Roman" w:hAnsi="Times New Roman"/>
          <w:sz w:val="19"/>
          <w:szCs w:val="19"/>
          <w:color w:val="auto"/>
        </w:rPr>
        <w:t>. If at any time the Administrative Agent determines that Cash Collateral is subject to any right or claim of any Person other than the Administrative Agent or any Issuing Lender as herein provided, or that the total amount of such Cash Collateral is less than 103%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spacing w:after="0" w:line="156" w:lineRule="exact"/>
        <w:rPr>
          <w:rFonts w:ascii="Times New Roman" w:cs="Times New Roman" w:eastAsia="Times New Roman" w:hAnsi="Times New Roman"/>
          <w:sz w:val="19"/>
          <w:szCs w:val="19"/>
          <w:color w:val="auto"/>
        </w:rPr>
      </w:pPr>
    </w:p>
    <w:p>
      <w:pPr>
        <w:jc w:val="both"/>
        <w:ind w:firstLine="1254"/>
        <w:spacing w:after="0" w:line="220" w:lineRule="auto"/>
        <w:tabs>
          <w:tab w:leader="none" w:pos="1866"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Application</w:t>
      </w:r>
      <w:r>
        <w:rPr>
          <w:rFonts w:ascii="Times New Roman" w:cs="Times New Roman" w:eastAsia="Times New Roman" w:hAnsi="Times New Roman"/>
          <w:sz w:val="19"/>
          <w:szCs w:val="19"/>
          <w:color w:val="auto"/>
        </w:rPr>
        <w:t xml:space="preserve">. Notwithstanding anything to the contrary contained in this Agreement, Cash Collateral provided under any of this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xml:space="preserve"> or otherwise in respect 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57"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3" w:val="left"/>
        </w:tabs>
        <w:numPr>
          <w:ilvl w:val="1"/>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Requirement</w:t>
      </w:r>
      <w:r>
        <w:rPr>
          <w:rFonts w:ascii="Times New Roman" w:cs="Times New Roman" w:eastAsia="Times New Roman" w:hAnsi="Times New Roman"/>
          <w:sz w:val="19"/>
          <w:szCs w:val="19"/>
          <w:color w:val="auto"/>
        </w:rPr>
        <w:t xml:space="preserve">. Cash Collateral (or the appropriate portion thereof) provided to reduce Fronting Exposure in respect of Letters of Credit or other Obligations shall no longer be required to be held as Cash Collateral pursuant to this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xml:space="preserve"> following</w:t>
      </w:r>
    </w:p>
    <w:p>
      <w:pPr>
        <w:ind w:left="240" w:hanging="236"/>
        <w:spacing w:after="0"/>
        <w:tabs>
          <w:tab w:leader="none" w:pos="24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elimination of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1900" w:h="16838" w:orient="portrait"/>
          <w:cols w:equalWidth="0" w:num="1">
            <w:col w:w="11240"/>
          </w:cols>
          <w:pgMar w:left="320" w:top="1354"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9"/>
          <w:szCs w:val="19"/>
          <w:color w:val="auto"/>
        </w:rPr>
        <w:t>applicable Fronting Exposure and other Obligations giving rise thereto (including by the termination of the Defaulting Lender status of the</w:t>
      </w:r>
    </w:p>
    <w:p>
      <w:pPr>
        <w:jc w:val="both"/>
        <w:spacing w:after="0" w:line="207" w:lineRule="auto"/>
        <w:rPr>
          <w:sz w:val="20"/>
          <w:szCs w:val="20"/>
          <w:color w:val="auto"/>
        </w:rPr>
      </w:pPr>
      <w:r>
        <w:rPr>
          <w:rFonts w:ascii="Times New Roman" w:cs="Times New Roman" w:eastAsia="Times New Roman" w:hAnsi="Times New Roman"/>
          <w:sz w:val="19"/>
          <w:szCs w:val="19"/>
          <w:color w:val="auto"/>
        </w:rPr>
        <w:t xml:space="preserve">applicable Lender), or (ii) a determination by the Administrative Agent and the Issuing Lender that there exists excess Cash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(A) that Cash Collateral furnished by or on behalf of a Loan Party shall not be released during the continuance of an Event of Default,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and (B) that, subject to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 the Person providing such Cash Collateral and the Issuing Lender may agree that such Cash Collateral shall</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not be released but instead shall be held to support future anticipated Fronting Exposure or other obligations,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to the extent that such Cash Collateral was provided by the Borrower or any other Loan Party, such Cash Collateral shall remain subject to any security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interest and Lien granted pursuant to the Loan Documents including any applicable Cash Management Agreement.</w:t>
      </w:r>
    </w:p>
    <w:p>
      <w:pPr>
        <w:spacing w:after="0" w:line="161"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3.11 Additional Issuing Lenders</w:t>
      </w:r>
      <w:r>
        <w:rPr>
          <w:rFonts w:ascii="Times New Roman" w:cs="Times New Roman" w:eastAsia="Times New Roman" w:hAnsi="Times New Roman"/>
          <w:sz w:val="19"/>
          <w:szCs w:val="19"/>
          <w:color w:val="auto"/>
        </w:rPr>
        <w:t>. The Borrower may, at any time and from time to time with the consent of the Administrative 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consent shall not be unreasonably withheld) and such Lender, designate one or more additional Lenders to act as an issuing bank under the</w:t>
      </w:r>
    </w:p>
    <w:p>
      <w:pPr>
        <w:spacing w:after="0" w:line="215" w:lineRule="auto"/>
        <w:rPr>
          <w:sz w:val="20"/>
          <w:szCs w:val="20"/>
          <w:color w:val="auto"/>
        </w:rPr>
      </w:pPr>
      <w:r>
        <w:rPr>
          <w:rFonts w:ascii="Times New Roman" w:cs="Times New Roman" w:eastAsia="Times New Roman" w:hAnsi="Times New Roman"/>
          <w:sz w:val="19"/>
          <w:szCs w:val="19"/>
          <w:color w:val="auto"/>
        </w:rPr>
        <w:t>terms of this Agreement. Any Lender designated as an issuing bank pursuant to this paragraph shall be deemed to be an “</w:t>
      </w:r>
      <w:r>
        <w:rPr>
          <w:rFonts w:ascii="Times New Roman" w:cs="Times New Roman" w:eastAsia="Times New Roman" w:hAnsi="Times New Roman"/>
          <w:sz w:val="19"/>
          <w:szCs w:val="19"/>
          <w:b w:val="1"/>
          <w:bCs w:val="1"/>
          <w:i w:val="1"/>
          <w:iCs w:val="1"/>
          <w:color w:val="auto"/>
        </w:rPr>
        <w:t>Issuing Lender</w:t>
      </w:r>
      <w:r>
        <w:rPr>
          <w:rFonts w:ascii="Times New Roman" w:cs="Times New Roman" w:eastAsia="Times New Roman" w:hAnsi="Times New Roman"/>
          <w:sz w:val="19"/>
          <w:szCs w:val="19"/>
          <w:color w:val="auto"/>
        </w:rPr>
        <w:t>” (in</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addition to being a Lender) in respect of Letters of Credit issued or to be issued by such Lender, and, with respect to such Letters of Credit, such term shall thereafter apply to the other Issuing Lender and such Lender.</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3.12</w:t>
        <w:tab/>
        <w:t>Resignation of the Issuing Lender</w:t>
      </w:r>
      <w:r>
        <w:rPr>
          <w:rFonts w:ascii="Times New Roman" w:cs="Times New Roman" w:eastAsia="Times New Roman" w:hAnsi="Times New Roman"/>
          <w:sz w:val="19"/>
          <w:szCs w:val="19"/>
          <w:color w:val="auto"/>
        </w:rPr>
        <w:t>. The Issuing Lender may resign at any time by giving at least 30 days’ prior written notice to</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the Administrative Agent, the Lenders and the Borrower. Subject to the next succeeding paragraph, upon the acceptance of any appointment as the Issuing Lender hereunder by a Lender that shall agree to serve as successor Issuing Lender, such successor shall succeed to and become vested</w:t>
      </w:r>
    </w:p>
    <w:p>
      <w:pPr>
        <w:spacing w:after="0" w:line="215" w:lineRule="auto"/>
        <w:rPr>
          <w:sz w:val="20"/>
          <w:szCs w:val="20"/>
          <w:color w:val="auto"/>
        </w:rPr>
      </w:pPr>
      <w:r>
        <w:rPr>
          <w:rFonts w:ascii="Times New Roman" w:cs="Times New Roman" w:eastAsia="Times New Roman" w:hAnsi="Times New Roman"/>
          <w:sz w:val="19"/>
          <w:szCs w:val="19"/>
          <w:color w:val="auto"/>
        </w:rPr>
        <w:t>with all the interests, rights and obligations of the retiring Issuing Lender and the retiring Issuing Lender shall be discharged from its obligations to</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issue additional Letters of Credit hereunder without affecting its rights and obligations with respect to Letters of Credit previously issued by it. At the time such resignation shall become effective, the Borrower shall pay all accrued and unpaid fees pursuant to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The acceptance of</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any appointment as the Issuing Lender hereunder by a successor Lender shall be evidenced by an agreement entered into by such successor, in a form satisfactory to the Borrower and the Administrative Agent, and, from and after the effective date of such agreement, (i) such successor</w:t>
      </w:r>
    </w:p>
    <w:p>
      <w:pPr>
        <w:spacing w:after="0" w:line="215" w:lineRule="auto"/>
        <w:rPr>
          <w:sz w:val="20"/>
          <w:szCs w:val="20"/>
          <w:color w:val="auto"/>
        </w:rPr>
      </w:pPr>
      <w:r>
        <w:rPr>
          <w:rFonts w:ascii="Times New Roman" w:cs="Times New Roman" w:eastAsia="Times New Roman" w:hAnsi="Times New Roman"/>
          <w:sz w:val="19"/>
          <w:szCs w:val="19"/>
          <w:color w:val="auto"/>
        </w:rPr>
        <w:t>Lender shall have all the rights and obligations of the previous Issuing Lender under this Agreement and the other Loan Documents and</w:t>
      </w:r>
    </w:p>
    <w:p>
      <w:pPr>
        <w:jc w:val="both"/>
        <w:ind w:firstLine="4"/>
        <w:spacing w:after="0" w:line="216" w:lineRule="auto"/>
        <w:tabs>
          <w:tab w:leader="none" w:pos="286"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references herein and in the other Loan Documents to the term “Issuing Lender” shall be deemed to refer to such successor or to any previous Issuing Lender, or to such successor and all previous Issuing Lenders, as the context shall require. After the resignation of the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any existing Letter of Credit.</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3.13</w:t>
        <w:tab/>
        <w:t>Applicability of ISP</w:t>
      </w:r>
      <w:r>
        <w:rPr>
          <w:rFonts w:ascii="Times New Roman" w:cs="Times New Roman" w:eastAsia="Times New Roman" w:hAnsi="Times New Roman"/>
          <w:sz w:val="19"/>
          <w:szCs w:val="19"/>
          <w:color w:val="auto"/>
        </w:rPr>
        <w:t>. Unless otherwise expressly agreed by the Issuing Lender and the Borrower when a Letter of Credit is issued</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and subject to applicable laws, the Letters of Credit shall be governed by and subject to with respect to standby Letters of Credit, the rules of the ISP.</w:t>
      </w:r>
    </w:p>
    <w:p>
      <w:pPr>
        <w:spacing w:after="0" w:line="1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Section 4</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REPRESENTATIONS AND WARRANTIES</w:t>
      </w:r>
    </w:p>
    <w:p>
      <w:pPr>
        <w:spacing w:after="0" w:line="163"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9"/>
          <w:szCs w:val="19"/>
          <w:color w:val="auto"/>
        </w:rPr>
        <w:t>To induce the Administrative Agent and the Lenders to enter into this Agreement and to make the Loans and issue the Letters of Credit, Holdings, Intermediate Holdings and the Borrower hereby jointly and severally represent and warrant to the Administrative Agent and each Lender, as to themselves and each of their respective Subsidiaries, that:</w:t>
      </w:r>
    </w:p>
    <w:p>
      <w:pPr>
        <w:spacing w:after="0" w:line="13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Financial Condition.</w:t>
      </w:r>
    </w:p>
    <w:p>
      <w:pPr>
        <w:spacing w:after="0" w:line="173" w:lineRule="exact"/>
        <w:rPr>
          <w:sz w:val="20"/>
          <w:szCs w:val="20"/>
          <w:color w:val="auto"/>
        </w:rPr>
      </w:pPr>
    </w:p>
    <w:p>
      <w:pPr>
        <w:ind w:left="1880" w:hanging="626"/>
        <w:spacing w:after="0"/>
        <w:tabs>
          <w:tab w:leader="none" w:pos="1880" w:val="left"/>
        </w:tabs>
        <w:numPr>
          <w:ilvl w:val="1"/>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 Forma Financial Statements have been prepared giving effect (as if such events had occurred on such date) to</w:t>
      </w:r>
    </w:p>
    <w:p>
      <w:pPr>
        <w:ind w:left="240" w:hanging="236"/>
        <w:spacing w:after="0" w:line="214" w:lineRule="auto"/>
        <w:tabs>
          <w:tab w:leader="none" w:pos="24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the Refinancing, (ii) the Loans to be made on the Closing Date and the use of proceeds thereof, and (iii) the payment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fees and expenses 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1900" w:h="16838" w:orient="portrait"/>
          <w:cols w:equalWidth="0" w:num="1">
            <w:col w:w="11240"/>
          </w:cols>
          <w:pgMar w:left="320" w:top="1353"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9"/>
          <w:szCs w:val="19"/>
          <w:color w:val="auto"/>
        </w:rPr>
        <w:t>connection with the foregoing. The Pro Forma Financial Statements have been prepared based on the best information available to the Borrower as</w:t>
      </w:r>
    </w:p>
    <w:p>
      <w:pPr>
        <w:spacing w:after="0" w:line="225" w:lineRule="auto"/>
        <w:rPr>
          <w:sz w:val="20"/>
          <w:szCs w:val="20"/>
          <w:color w:val="auto"/>
        </w:rPr>
      </w:pPr>
      <w:r>
        <w:rPr>
          <w:rFonts w:ascii="Times New Roman" w:cs="Times New Roman" w:eastAsia="Times New Roman" w:hAnsi="Times New Roman"/>
          <w:sz w:val="19"/>
          <w:szCs w:val="19"/>
          <w:color w:val="auto"/>
        </w:rPr>
        <w:t xml:space="preserve">of the date of delivery thereof, and present fairly in all material respects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the estimated financial position of Holdings and its Subsidiaries as of September 30, 2022 assuming that the events specified in the preceding sentence had actually occurred at such date.</w:t>
      </w:r>
    </w:p>
    <w:p>
      <w:pPr>
        <w:spacing w:after="0" w:line="154" w:lineRule="exact"/>
        <w:rPr>
          <w:sz w:val="20"/>
          <w:szCs w:val="20"/>
          <w:color w:val="auto"/>
        </w:rPr>
      </w:pPr>
    </w:p>
    <w:p>
      <w:pPr>
        <w:jc w:val="both"/>
        <w:ind w:firstLine="1254"/>
        <w:spacing w:after="0" w:line="214" w:lineRule="auto"/>
        <w:tabs>
          <w:tab w:leader="none" w:pos="1863"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audited consolidated balance sheets of Holdings and its Subsidiaries as of December 31, 2021 and December 31, 2020, and the related consolidated statements of income and of cash flows for the Fiscal Years ended on such dates, reported on by and accompanied by an unqualified report from Grant Thornton, present fairly in all material respects the consolidated financial condition of Holdings and its Subsidiaries as at such date, and the consolidated results of its operations and its consolidated cash flows for the respective Fiscal Years then ended. The unaudited consolidated balance sheet of Holdings and its Subsidiaries as at June 30, 2022, and the related unaudited consolidated statements of income and cash flows for the three-month period ended on such date, present fairly in all material respects the consolidated financial condition of Holdings and its Subsidiaries as at such date, and the consolidated results of its operations and its consolidated cash flows for the three-month period then ended (subject to normal year-end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No Group Member has, as of the Closing Date, any material Guarantee Obligations, contingent liabilities and liabilities for taxes, or any long-term leases or unusual forward or long-term commitments, including any interest rate or foreign currency swap or exchange transaction or other obligation in respect of derivatives, that are not reflected in the most recent financial statements referred to in this paragraph. During the period from December 31, 2021 to and including the date hereof, there has been no Disposition by any Group Member of any material part of its business or property.</w:t>
      </w:r>
    </w:p>
    <w:p>
      <w:pPr>
        <w:spacing w:after="0" w:line="149" w:lineRule="exact"/>
        <w:rPr>
          <w:sz w:val="20"/>
          <w:szCs w:val="20"/>
          <w:color w:val="auto"/>
        </w:rPr>
      </w:pPr>
    </w:p>
    <w:p>
      <w:pPr>
        <w:ind w:firstLine="625"/>
        <w:spacing w:after="0" w:line="251" w:lineRule="auto"/>
        <w:rPr>
          <w:sz w:val="20"/>
          <w:szCs w:val="20"/>
          <w:color w:val="auto"/>
        </w:rPr>
      </w:pPr>
      <w:r>
        <w:rPr>
          <w:rFonts w:ascii="Times New Roman" w:cs="Times New Roman" w:eastAsia="Times New Roman" w:hAnsi="Times New Roman"/>
          <w:sz w:val="19"/>
          <w:szCs w:val="19"/>
          <w:b w:val="1"/>
          <w:bCs w:val="1"/>
          <w:color w:val="auto"/>
        </w:rPr>
        <w:t>4.2 No Change</w:t>
      </w:r>
      <w:r>
        <w:rPr>
          <w:rFonts w:ascii="Times New Roman" w:cs="Times New Roman" w:eastAsia="Times New Roman" w:hAnsi="Times New Roman"/>
          <w:sz w:val="19"/>
          <w:szCs w:val="19"/>
          <w:color w:val="auto"/>
        </w:rPr>
        <w:t>. Since December 31, 2021, there has been no development or event that has had or could reasonably be expected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have a Material Adverse Effect.</w:t>
      </w:r>
    </w:p>
    <w:p>
      <w:pPr>
        <w:spacing w:after="0" w:line="129"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4.3 Existence; Compliance with Law</w:t>
      </w:r>
      <w:r>
        <w:rPr>
          <w:rFonts w:ascii="Times New Roman" w:cs="Times New Roman" w:eastAsia="Times New Roman" w:hAnsi="Times New Roman"/>
          <w:sz w:val="19"/>
          <w:szCs w:val="19"/>
          <w:color w:val="auto"/>
        </w:rPr>
        <w:t>. Each Group Member (a) is duly organized, validly existing and in good standing under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laws of the jurisdiction of its organization, (b) has the power and authority, and the legal right, to own and operate its property, to lease the</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property it operates as lessee and to conduct the business in which it is currently engaged, (c) is duly qualified as a foreign corporation or other organization and in good standing under the laws of each jurisdiction where the failure to be so qualified could reasonably be expected to have a</w:t>
      </w:r>
    </w:p>
    <w:p>
      <w:pPr>
        <w:spacing w:after="0" w:line="215" w:lineRule="auto"/>
        <w:rPr>
          <w:sz w:val="20"/>
          <w:szCs w:val="20"/>
          <w:color w:val="auto"/>
        </w:rPr>
      </w:pPr>
      <w:r>
        <w:rPr>
          <w:rFonts w:ascii="Times New Roman" w:cs="Times New Roman" w:eastAsia="Times New Roman" w:hAnsi="Times New Roman"/>
          <w:sz w:val="19"/>
          <w:szCs w:val="19"/>
          <w:color w:val="auto"/>
        </w:rPr>
        <w:t>Material Adverse Effect and (d) is in material compliance with all Requirements of Law except in such instances in which (i) such Requirement of</w:t>
      </w:r>
    </w:p>
    <w:p>
      <w:pPr>
        <w:spacing w:after="0" w:line="207" w:lineRule="auto"/>
        <w:rPr>
          <w:sz w:val="20"/>
          <w:szCs w:val="20"/>
          <w:color w:val="auto"/>
        </w:rPr>
      </w:pPr>
      <w:r>
        <w:rPr>
          <w:rFonts w:ascii="Times New Roman" w:cs="Times New Roman" w:eastAsia="Times New Roman" w:hAnsi="Times New Roman"/>
          <w:sz w:val="19"/>
          <w:szCs w:val="19"/>
          <w:color w:val="auto"/>
        </w:rPr>
        <w:t>Law is being contested in good faith by appropriate proceedings diligently conducted and the prosecution of such contest would not reasonably be expected to result in a Material Adverse Effect, or (ii) the failure to comply therewith, either individually or in the aggregate, would not reasonably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 expected to have a Material Adverse Effect.</w:t>
      </w:r>
    </w:p>
    <w:p>
      <w:pPr>
        <w:spacing w:after="0" w:line="161"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4.4 Power, Authorization; Enforceable Obligations</w:t>
      </w:r>
      <w:r>
        <w:rPr>
          <w:rFonts w:ascii="Times New Roman" w:cs="Times New Roman" w:eastAsia="Times New Roman" w:hAnsi="Times New Roman"/>
          <w:sz w:val="19"/>
          <w:szCs w:val="19"/>
          <w:color w:val="auto"/>
        </w:rPr>
        <w:t>. Each Loan Party has the power and authority, and the legal right, to make,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deliver and perform the Loan Documents to which it is a party and, in the case of the Borrower, to obtain Credit Extensions hereunder. Each Loan</w:t>
      </w:r>
    </w:p>
    <w:p>
      <w:pPr>
        <w:spacing w:after="0" w:line="215" w:lineRule="auto"/>
        <w:rPr>
          <w:sz w:val="20"/>
          <w:szCs w:val="20"/>
          <w:color w:val="auto"/>
        </w:rPr>
      </w:pPr>
      <w:r>
        <w:rPr>
          <w:rFonts w:ascii="Times New Roman" w:cs="Times New Roman" w:eastAsia="Times New Roman" w:hAnsi="Times New Roman"/>
          <w:sz w:val="19"/>
          <w:szCs w:val="19"/>
          <w:color w:val="auto"/>
        </w:rPr>
        <w:t>Party has taken all necessary organizational action to authorize the execution, delivery and performance of the Loan Documents to which it is a</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party and, in the case of the Borrower, to authorize the Credit Extensions on the terms and conditions of this Agreement. No Governmental Approval or consent or authorization of, filing with, notice to or other act by or in respect of, any other Person is required in connection with the</w:t>
      </w:r>
    </w:p>
    <w:p>
      <w:pPr>
        <w:spacing w:after="0" w:line="215" w:lineRule="auto"/>
        <w:rPr>
          <w:sz w:val="20"/>
          <w:szCs w:val="20"/>
          <w:color w:val="auto"/>
        </w:rPr>
      </w:pPr>
      <w:r>
        <w:rPr>
          <w:rFonts w:ascii="Times New Roman" w:cs="Times New Roman" w:eastAsia="Times New Roman" w:hAnsi="Times New Roman"/>
          <w:sz w:val="19"/>
          <w:szCs w:val="19"/>
          <w:color w:val="auto"/>
        </w:rPr>
        <w:t>Credit Extensions hereunder or with the execution, delivery, performance, validity or enforceability of this Agreement or any of the Loan</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Documents, except (i) Governmental Approvals, consents, authorizations, filings and notices described on </w:t>
      </w:r>
      <w:r>
        <w:rPr>
          <w:rFonts w:ascii="Times New Roman" w:cs="Times New Roman" w:eastAsia="Times New Roman" w:hAnsi="Times New Roman"/>
          <w:sz w:val="19"/>
          <w:szCs w:val="19"/>
          <w:u w:val="single" w:color="auto"/>
          <w:color w:val="auto"/>
        </w:rPr>
        <w:t>Schedule 4.4</w:t>
      </w:r>
      <w:r>
        <w:rPr>
          <w:rFonts w:ascii="Times New Roman" w:cs="Times New Roman" w:eastAsia="Times New Roman" w:hAnsi="Times New Roman"/>
          <w:sz w:val="19"/>
          <w:szCs w:val="19"/>
          <w:color w:val="auto"/>
        </w:rPr>
        <w:t>, which Governmental Approvals, consents, authorizations, filings and notices have been obtained or made and are in full force and effect, (ii) the filings referred to in</w:t>
      </w:r>
    </w:p>
    <w:p>
      <w:pPr>
        <w:spacing w:after="0" w:line="215" w:lineRule="auto"/>
        <w:rPr>
          <w:sz w:val="20"/>
          <w:szCs w:val="20"/>
          <w:color w:val="auto"/>
        </w:rPr>
      </w:pPr>
      <w:r>
        <w:rPr>
          <w:rFonts w:ascii="Times New Roman" w:cs="Times New Roman" w:eastAsia="Times New Roman" w:hAnsi="Times New Roman"/>
          <w:sz w:val="19"/>
          <w:szCs w:val="19"/>
          <w:u w:val="single" w:color="auto"/>
          <w:color w:val="auto"/>
        </w:rPr>
        <w:t>Section 4.19</w:t>
      </w:r>
      <w:r>
        <w:rPr>
          <w:rFonts w:ascii="Times New Roman" w:cs="Times New Roman" w:eastAsia="Times New Roman" w:hAnsi="Times New Roman"/>
          <w:sz w:val="19"/>
          <w:szCs w:val="19"/>
          <w:color w:val="auto"/>
        </w:rPr>
        <w:t xml:space="preserve"> and (iii) Governmental Approvals described on </w:t>
      </w:r>
      <w:r>
        <w:rPr>
          <w:rFonts w:ascii="Times New Roman" w:cs="Times New Roman" w:eastAsia="Times New Roman" w:hAnsi="Times New Roman"/>
          <w:sz w:val="19"/>
          <w:szCs w:val="19"/>
          <w:u w:val="single" w:color="auto"/>
          <w:color w:val="auto"/>
        </w:rPr>
        <w:t>Schedule 4.4</w:t>
      </w:r>
      <w:r>
        <w:rPr>
          <w:rFonts w:ascii="Times New Roman" w:cs="Times New Roman" w:eastAsia="Times New Roman" w:hAnsi="Times New Roman"/>
          <w:sz w:val="19"/>
          <w:szCs w:val="19"/>
          <w:color w:val="auto"/>
        </w:rPr>
        <w:t>. Each Loan Document has been duly executed and delivered on behalf</w:t>
      </w:r>
    </w:p>
    <w:p>
      <w:pPr>
        <w:spacing w:after="0" w:line="207" w:lineRule="auto"/>
        <w:rPr>
          <w:sz w:val="20"/>
          <w:szCs w:val="20"/>
          <w:color w:val="auto"/>
        </w:rPr>
      </w:pPr>
      <w:r>
        <w:rPr>
          <w:rFonts w:ascii="Times New Roman" w:cs="Times New Roman" w:eastAsia="Times New Roman" w:hAnsi="Times New Roman"/>
          <w:sz w:val="19"/>
          <w:szCs w:val="19"/>
          <w:color w:val="auto"/>
        </w:rPr>
        <w:t>of each Loan Party party thereto. This Agreement constitutes, and each other Loan Document upon execution will constitute, a legal, valid and binding obligation of each Loan Party party thereto, enforceable against each such Loan Party in accordance with its terms, except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enforceability may be limited by applicable bankruptcy, insolvency,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1900" w:h="16838" w:orient="portrait"/>
          <w:cols w:equalWidth="0" w:num="1">
            <w:col w:w="11240"/>
          </w:cols>
          <w:pgMar w:left="320" w:top="1353" w:right="339" w:bottom="1440" w:gutter="0" w:footer="0" w:header="0"/>
        </w:sectPr>
      </w:pPr>
    </w:p>
    <w:bookmarkStart w:id="203" w:name="page204"/>
    <w:bookmarkEnd w:id="203"/>
    <w:p>
      <w:pPr>
        <w:spacing w:after="0" w:line="249" w:lineRule="auto"/>
        <w:rPr>
          <w:sz w:val="20"/>
          <w:szCs w:val="20"/>
          <w:color w:val="auto"/>
        </w:rPr>
      </w:pPr>
      <w:r>
        <w:rPr>
          <w:rFonts w:ascii="Times New Roman" w:cs="Times New Roman" w:eastAsia="Times New Roman" w:hAnsi="Times New Roman"/>
          <w:sz w:val="19"/>
          <w:szCs w:val="19"/>
          <w:color w:val="auto"/>
        </w:rPr>
        <w:t>reorganization, moratorium or similar laws affecting the enforcement of creditors’ rights generally and by general equitable principles (whether enforcement is sought by proceedings in equity or at law).</w:t>
      </w:r>
    </w:p>
    <w:p>
      <w:pPr>
        <w:spacing w:after="0" w:line="131"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4.5 No Legal Bar</w:t>
      </w:r>
      <w:r>
        <w:rPr>
          <w:rFonts w:ascii="Times New Roman" w:cs="Times New Roman" w:eastAsia="Times New Roman" w:hAnsi="Times New Roman"/>
          <w:sz w:val="19"/>
          <w:szCs w:val="19"/>
          <w:color w:val="auto"/>
        </w:rPr>
        <w:t>. The execution, delivery and performance of this Agreement and the other Loan Documents, the issuance of Letters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Credit, the borrowings hereunder and the use of the proceeds thereof will not violate any Requirement of Law or any material Contractual</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Obligation of any Group Member and will not result in, or require, the creation or imposition of any Lien on any of their respective properties or revenues pursuant to any Requirement of Law or any such Contractual Obligation (other than the Liens created by the Security Documents). No</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Group Member has violated any Requirement of Law or violated or failed to comply with any Contractual Obligation applicable to Holdings or any of its Subsidiaries that could reasonably be expected to have a Material Adverse Effect.</w:t>
      </w:r>
    </w:p>
    <w:p>
      <w:pPr>
        <w:spacing w:after="0" w:line="140"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4.6 Litigation</w:t>
      </w:r>
      <w:r>
        <w:rPr>
          <w:rFonts w:ascii="Times New Roman" w:cs="Times New Roman" w:eastAsia="Times New Roman" w:hAnsi="Times New Roman"/>
          <w:sz w:val="19"/>
          <w:szCs w:val="19"/>
          <w:color w:val="auto"/>
        </w:rPr>
        <w:t>. No litigation, investigation or proceeding of or before any arbitrator or Governmental Authority is pending or,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knowledge of Holdings or the Borrower, threatened by or against any Group Member or against any of their respective properties or revenues</w:t>
      </w:r>
    </w:p>
    <w:p>
      <w:pPr>
        <w:spacing w:after="0" w:line="1" w:lineRule="exact"/>
        <w:rPr>
          <w:sz w:val="20"/>
          <w:szCs w:val="20"/>
          <w:color w:val="auto"/>
        </w:rPr>
      </w:pPr>
    </w:p>
    <w:p>
      <w:pPr>
        <w:ind w:firstLine="4"/>
        <w:spacing w:after="0" w:line="225" w:lineRule="auto"/>
        <w:tabs>
          <w:tab w:leader="none" w:pos="263"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of the Loan Documents or any of the transactions contemplated hereby or thereby, or (b) that could reasonably be expected to have a Material Adverse Effect.</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4.7</w:t>
      </w:r>
      <w:r>
        <w:rPr>
          <w:sz w:val="20"/>
          <w:szCs w:val="20"/>
          <w:color w:val="auto"/>
        </w:rPr>
        <w:tab/>
      </w:r>
      <w:r>
        <w:rPr>
          <w:rFonts w:ascii="Times New Roman" w:cs="Times New Roman" w:eastAsia="Times New Roman" w:hAnsi="Times New Roman"/>
          <w:sz w:val="19"/>
          <w:szCs w:val="19"/>
          <w:b w:val="1"/>
          <w:bCs w:val="1"/>
          <w:color w:val="auto"/>
        </w:rPr>
        <w:t>No Default</w:t>
      </w:r>
      <w:r>
        <w:rPr>
          <w:rFonts w:ascii="Times New Roman" w:cs="Times New Roman" w:eastAsia="Times New Roman" w:hAnsi="Times New Roman"/>
          <w:sz w:val="19"/>
          <w:szCs w:val="19"/>
          <w:color w:val="auto"/>
        </w:rPr>
        <w:t>. No Group Member is in default under or with respect to any of its Contractual Obligations in any respect that could</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reasonably be expected to have a Material Adverse Effect. No Default or Event of Default has occurred and is continuing, nor shall either result from the making of a requested Credit Extension.</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4.8</w:t>
      </w:r>
      <w:r>
        <w:rPr>
          <w:sz w:val="20"/>
          <w:szCs w:val="20"/>
          <w:color w:val="auto"/>
        </w:rPr>
        <w:tab/>
      </w:r>
      <w:r>
        <w:rPr>
          <w:rFonts w:ascii="Times New Roman" w:cs="Times New Roman" w:eastAsia="Times New Roman" w:hAnsi="Times New Roman"/>
          <w:sz w:val="19"/>
          <w:szCs w:val="19"/>
          <w:b w:val="1"/>
          <w:bCs w:val="1"/>
          <w:color w:val="auto"/>
        </w:rPr>
        <w:t>Ownership of Property; Liens; Investments</w:t>
      </w:r>
      <w:r>
        <w:rPr>
          <w:rFonts w:ascii="Times New Roman" w:cs="Times New Roman" w:eastAsia="Times New Roman" w:hAnsi="Times New Roman"/>
          <w:sz w:val="19"/>
          <w:szCs w:val="19"/>
          <w:color w:val="auto"/>
        </w:rPr>
        <w:t>. Each Group Member has title in fee simple to, or a valid leasehold interest in, all</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of its real property, and good title to, or a valid leasehold interest in, all of its other property, and none of such property is subject to any Lien except as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No Loan Party owns any Investment except as permitted by </w:t>
      </w:r>
      <w:r>
        <w:rPr>
          <w:rFonts w:ascii="Times New Roman" w:cs="Times New Roman" w:eastAsia="Times New Roman" w:hAnsi="Times New Roman"/>
          <w:sz w:val="19"/>
          <w:szCs w:val="19"/>
          <w:u w:val="single" w:color="auto"/>
          <w:color w:val="auto"/>
        </w:rPr>
        <w:t>Section 7.8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of the Collateral</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Information Certificate sets forth a complete and accurate list of all real property owned by each Loan Party as of the date hereof, if any.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of the Collateral Information Certificate sets forth a complete and accurate list of all leases of real property under which any Loan Party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 the lessee as of the date hereof.</w:t>
      </w:r>
    </w:p>
    <w:p>
      <w:pPr>
        <w:spacing w:after="0" w:line="161"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4.9 Intellectual Property</w:t>
      </w:r>
      <w:r>
        <w:rPr>
          <w:rFonts w:ascii="Times New Roman" w:cs="Times New Roman" w:eastAsia="Times New Roman" w:hAnsi="Times New Roman"/>
          <w:sz w:val="19"/>
          <w:szCs w:val="19"/>
          <w:color w:val="auto"/>
        </w:rPr>
        <w:t>. Each Group Member owns, or is licensed to use, all Intellectual Property necessary for the conduct of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business as currently conducted. No claim has been asserted and is pending by any Person challenging or questioning any Group Member’s use of</w:t>
      </w:r>
    </w:p>
    <w:p>
      <w:pPr>
        <w:spacing w:after="0" w:line="215" w:lineRule="auto"/>
        <w:rPr>
          <w:sz w:val="20"/>
          <w:szCs w:val="20"/>
          <w:color w:val="auto"/>
        </w:rPr>
      </w:pPr>
      <w:r>
        <w:rPr>
          <w:rFonts w:ascii="Times New Roman" w:cs="Times New Roman" w:eastAsia="Times New Roman" w:hAnsi="Times New Roman"/>
          <w:sz w:val="19"/>
          <w:szCs w:val="19"/>
          <w:color w:val="auto"/>
        </w:rPr>
        <w:t>any Intellectual Property or the validity or effectiveness of any Group Member’s Intellectual Property, nor does Holdings or the Borrower know of</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any valid basis for any such claim, unless such claim could not reasonably be expected to have a Material Adverse Effect. The use of Intellectual Property by each Group Member, and the conduct of such Group Member’s business, as currently conducted, does not infringe on or otherwise</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violate the rights of any Person, unless such infringement could not reasonably be expected to have a Material Adverse Effect, and there are no claims pending or, to the knowledge of Holdings or the Borrower, threatened to such effect.</w:t>
      </w:r>
    </w:p>
    <w:p>
      <w:pPr>
        <w:spacing w:after="0" w:line="140"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4.10 Taxes</w:t>
      </w:r>
      <w:r>
        <w:rPr>
          <w:rFonts w:ascii="Times New Roman" w:cs="Times New Roman" w:eastAsia="Times New Roman" w:hAnsi="Times New Roman"/>
          <w:sz w:val="19"/>
          <w:szCs w:val="19"/>
          <w:color w:val="auto"/>
        </w:rPr>
        <w:t>. Each Group Member has filed or caused to be filed all Federal, state and other tax returns that are required to be filed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has paid all taxes shown to be due and payable on said returns or on any assessments made against it or any of its property and all other taxes, fees</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w:t>
      </w:r>
    </w:p>
    <w:p>
      <w:pPr>
        <w:spacing w:after="0" w:line="215" w:lineRule="auto"/>
        <w:rPr>
          <w:sz w:val="20"/>
          <w:szCs w:val="20"/>
          <w:color w:val="auto"/>
        </w:rPr>
      </w:pPr>
      <w:r>
        <w:rPr>
          <w:rFonts w:ascii="Times New Roman" w:cs="Times New Roman" w:eastAsia="Times New Roman" w:hAnsi="Times New Roman"/>
          <w:sz w:val="19"/>
          <w:szCs w:val="19"/>
          <w:color w:val="auto"/>
        </w:rPr>
        <w:t>books of the relevant Group Member); no tax Lien has been filed, and no claim is being asserted, with respect to any such tax, fee or other charge.</w:t>
      </w:r>
    </w:p>
    <w:p>
      <w:pPr>
        <w:spacing w:after="0" w:line="207" w:lineRule="auto"/>
        <w:rPr>
          <w:sz w:val="20"/>
          <w:szCs w:val="20"/>
          <w:color w:val="auto"/>
        </w:rPr>
      </w:pPr>
      <w:r>
        <w:rPr>
          <w:rFonts w:ascii="Times New Roman" w:cs="Times New Roman" w:eastAsia="Times New Roman" w:hAnsi="Times New Roman"/>
          <w:sz w:val="19"/>
          <w:szCs w:val="19"/>
          <w:color w:val="auto"/>
        </w:rPr>
        <w:t>No Group Member, and, to the knowledge of Holdings or the Borrower, no PC Entity is currently the subject of any audit, assessment or other proceeding with respect to Taxes, and no such audit, assessment or other proceeding is currently proposed or threatened by any Governmental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Authority.</w:t>
      </w:r>
    </w:p>
    <w:p>
      <w:pPr>
        <w:spacing w:after="0" w:line="161"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4.11 Federal Regulations</w:t>
      </w:r>
      <w:r>
        <w:rPr>
          <w:rFonts w:ascii="Times New Roman" w:cs="Times New Roman" w:eastAsia="Times New Roman" w:hAnsi="Times New Roman"/>
          <w:sz w:val="19"/>
          <w:szCs w:val="19"/>
          <w:color w:val="auto"/>
        </w:rPr>
        <w:t>. The Borrower is not engaged and will not engage, principally or as one of its important activities,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business of “buying” or “carrying” “margin stock” (within the respective meanings of each of the quoted terms under Regulation U as now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time to time hereafter in effect) or extending credit for the purpose of purchasing or carrying margin stock. No part of</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ectPr>
          <w:pgSz w:w="11900" w:h="16838" w:orient="portrait"/>
          <w:cols w:equalWidth="0" w:num="1">
            <w:col w:w="11240"/>
          </w:cols>
          <w:pgMar w:left="320" w:top="1354"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9"/>
          <w:szCs w:val="19"/>
          <w:color w:val="auto"/>
        </w:rPr>
        <w:t>the proceeds of any Loans, and no other Credit Extensions hereunder, will be used for buying or carrying any such margin stock or for extending</w:t>
      </w:r>
    </w:p>
    <w:p>
      <w:pPr>
        <w:spacing w:after="0" w:line="207" w:lineRule="auto"/>
        <w:rPr>
          <w:sz w:val="20"/>
          <w:szCs w:val="20"/>
          <w:color w:val="auto"/>
        </w:rPr>
      </w:pPr>
      <w:r>
        <w:rPr>
          <w:rFonts w:ascii="Times New Roman" w:cs="Times New Roman" w:eastAsia="Times New Roman" w:hAnsi="Times New Roman"/>
          <w:sz w:val="19"/>
          <w:szCs w:val="19"/>
          <w:color w:val="auto"/>
        </w:rPr>
        <w:t>credit to others for the purpose of purchasing or carrying margin stock in violation of Regulations T, U or X of the Federal Reserve Board. If any margin stock directly or indirectly constitutes Collateral securing the Obligations, if requested by any Lender or the Administrative Agent, the</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Borrower will furnish to the Administrative Agent and each Lender a statement to the foregoing effect in conformity with the requirements of FR Form G-3 or FR Form U-1, as applicable, referred to in Regulation U.</w:t>
      </w:r>
    </w:p>
    <w:p>
      <w:pPr>
        <w:spacing w:after="0" w:line="140"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4.12 Labor Matters</w:t>
      </w:r>
      <w:r>
        <w:rPr>
          <w:rFonts w:ascii="Times New Roman" w:cs="Times New Roman" w:eastAsia="Times New Roman" w:hAnsi="Times New Roman"/>
          <w:sz w:val="19"/>
          <w:szCs w:val="19"/>
          <w:color w:val="auto"/>
        </w:rPr>
        <w:t>. Except as, in the aggregate, could not reasonably be expected to have a Material Adverse Effect: (a) there are no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strikes or other labor disputes against any Group Member pending or, to the knowledge of Holdings or the Borrower, threatened; (b) hours worked</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by and payment made to employees of each Group Member have not been in violation of the Fair Labor Standards Act or any other applicable Requirement of Law dealing with such matters; and (c) all payments due from any Group Member on account of employee health and welfare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insurance have been paid or accrued as a liability on the books of the relevant Group Member.</w:t>
      </w:r>
    </w:p>
    <w:p>
      <w:pPr>
        <w:spacing w:after="0" w:line="16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4.13</w:t>
        <w:tab/>
        <w:t>ERISA.</w:t>
      </w:r>
    </w:p>
    <w:p>
      <w:pPr>
        <w:spacing w:after="0" w:line="174" w:lineRule="exact"/>
        <w:rPr>
          <w:sz w:val="20"/>
          <w:szCs w:val="20"/>
          <w:color w:val="auto"/>
        </w:rPr>
      </w:pPr>
    </w:p>
    <w:p>
      <w:pPr>
        <w:ind w:firstLine="1254"/>
        <w:spacing w:after="0" w:line="249" w:lineRule="auto"/>
        <w:tabs>
          <w:tab w:leader="none" w:pos="1866"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Schedule 4.13</w:t>
      </w:r>
      <w:r>
        <w:rPr>
          <w:rFonts w:ascii="Times New Roman" w:cs="Times New Roman" w:eastAsia="Times New Roman" w:hAnsi="Times New Roman"/>
          <w:sz w:val="19"/>
          <w:szCs w:val="19"/>
          <w:color w:val="auto"/>
        </w:rPr>
        <w:t xml:space="preserve"> is a complete and accurate list of all material Plans maintained (in writing) or sponsored by the Borrower or any ERISA Affiliate or to which the Borrower or any ERISA Affiliate contributes as of the Closing Date;</w:t>
      </w:r>
    </w:p>
    <w:p>
      <w:pPr>
        <w:spacing w:after="0" w:line="145"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would not reasonably be expected to result in a Material Adverse Effect, the Borrower and its ERISA Affiliates are in compliance with all applicable provisions and requirements of ERISA with respect to each Plan, and have performed all their obligations under each Plan;</w:t>
      </w:r>
    </w:p>
    <w:p>
      <w:pPr>
        <w:spacing w:after="0" w:line="156" w:lineRule="exact"/>
        <w:rPr>
          <w:rFonts w:ascii="Times New Roman" w:cs="Times New Roman" w:eastAsia="Times New Roman" w:hAnsi="Times New Roman"/>
          <w:sz w:val="19"/>
          <w:szCs w:val="19"/>
          <w:color w:val="auto"/>
        </w:rPr>
      </w:pPr>
    </w:p>
    <w:p>
      <w:pPr>
        <w:ind w:firstLine="1254"/>
        <w:spacing w:after="0" w:line="237" w:lineRule="auto"/>
        <w:tabs>
          <w:tab w:leader="none" w:pos="1866"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would not reasonably be expected to result in a Material Adverse Effect, no ERISA Event has occurred or is reasonably expected to occur;</w:t>
      </w:r>
    </w:p>
    <w:p>
      <w:pPr>
        <w:spacing w:after="0" w:line="154"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would not reasonably be expected to result in a Material Adverse Effect, the Borrower and each of its ERISA Affiliates have met all applicable requirements under the ERISA Funding Rules with respect to each Pension Plan, and no waiver of the minimum funding standards under the ERISA Funding Rules has been applied for or obtained;</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6"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most recent valuation date for any Pension Plan, the funding target attainment percentage (as defined in Section 430(d)(2) of the Code) is at least 60.0%, and neither the Borrower nor any of its ERISA Affiliates knows of any facts or circumstances that could reasonably be expected to cause the funding target attainment percentage to fall below 60.0% as of the most recent valuation date;</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71"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to the extent required under Section 4980B of the Code, or as described on </w:t>
      </w:r>
      <w:r>
        <w:rPr>
          <w:rFonts w:ascii="Times New Roman" w:cs="Times New Roman" w:eastAsia="Times New Roman" w:hAnsi="Times New Roman"/>
          <w:sz w:val="19"/>
          <w:szCs w:val="19"/>
          <w:u w:val="single" w:color="auto"/>
          <w:color w:val="auto"/>
        </w:rPr>
        <w:t>Schedule 4.13</w:t>
      </w:r>
      <w:r>
        <w:rPr>
          <w:rFonts w:ascii="Times New Roman" w:cs="Times New Roman" w:eastAsia="Times New Roman" w:hAnsi="Times New Roman"/>
          <w:sz w:val="19"/>
          <w:szCs w:val="19"/>
          <w:color w:val="auto"/>
        </w:rPr>
        <w:t>, no Plan provides health or welfare benefits (through the purchase of insurance or otherwise) for any retired or former employee of the Borrower or any of its ERISA Affiliates;</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most recent valuation date for any Pension Plan, the amount of outstanding benefit liabilities (as defined in Section 4001(a)(18) of ERISA), individually or in the aggregate for all Pension Plans (excluding for purposes of such computation any Pension Plans with respect to which assets exceed benefit liabilities), does not exceed the Threshold Amount;</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and delivery of this Agreement and the consummation of the transactions contemplated hereunder will not involve any transaction that is subject to the prohibitions of Section 406 of ERISA or in connection with which taxes could be imposed pursuant to Section 4975(c)(1)(A)-(D) of the Code;</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73"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liabilities under each Plan are (i) funded to at least the minimum level required by law or, if higher, to the level required by the terms governing the Plans, (ii) insured with a reputable insurance company, (iii) provided for or recognized in the financial statements most recently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ectPr>
          <w:pgSz w:w="11900" w:h="16838" w:orient="portrait"/>
          <w:cols w:equalWidth="0" w:num="1">
            <w:col w:w="11240"/>
          </w:cols>
          <w:pgMar w:left="320" w:top="1353" w:right="339" w:bottom="1440" w:gutter="0" w:footer="0" w:header="0"/>
        </w:sectPr>
      </w:pPr>
    </w:p>
    <w:bookmarkStart w:id="205" w:name="page206"/>
    <w:bookmarkEnd w:id="205"/>
    <w:p>
      <w:pPr>
        <w:spacing w:after="0" w:line="249" w:lineRule="auto"/>
        <w:rPr>
          <w:sz w:val="20"/>
          <w:szCs w:val="20"/>
          <w:color w:val="auto"/>
        </w:rPr>
      </w:pPr>
      <w:r>
        <w:rPr>
          <w:rFonts w:ascii="Times New Roman" w:cs="Times New Roman" w:eastAsia="Times New Roman" w:hAnsi="Times New Roman"/>
          <w:sz w:val="19"/>
          <w:szCs w:val="19"/>
          <w:color w:val="auto"/>
        </w:rPr>
        <w:t>delivered to the Administrative Agent and the Lenders pursuant hereto or (iv) estimated in the formal notes to the financial statements most recently delivered to the Administrative Agent and the Lenders pursuant hereto;</w:t>
      </w:r>
    </w:p>
    <w:p>
      <w:pPr>
        <w:spacing w:after="0" w:line="133" w:lineRule="exact"/>
        <w:rPr>
          <w:sz w:val="20"/>
          <w:szCs w:val="20"/>
          <w:color w:val="auto"/>
        </w:rPr>
      </w:pPr>
    </w:p>
    <w:p>
      <w:pPr>
        <w:jc w:val="both"/>
        <w:ind w:firstLine="1254"/>
        <w:spacing w:after="0" w:line="226" w:lineRule="auto"/>
        <w:tabs>
          <w:tab w:leader="none" w:pos="1873"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would not reasonably be expected to result in a Material Adverse Effect, there are no circumstances which may give rise to a liability in relation to any Plan which is not funded, insured, provided for, recognized or estimated in the manner described in </w:t>
      </w:r>
      <w:r>
        <w:rPr>
          <w:rFonts w:ascii="Times New Roman" w:cs="Times New Roman" w:eastAsia="Times New Roman" w:hAnsi="Times New Roman"/>
          <w:sz w:val="19"/>
          <w:szCs w:val="19"/>
          <w:u w:val="single" w:color="auto"/>
          <w:color w:val="auto"/>
        </w:rPr>
        <w:t>clause</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and</w:t>
      </w:r>
    </w:p>
    <w:p>
      <w:pPr>
        <w:spacing w:after="0" w:line="150"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3"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Borrower is not and will not be a “plan” within the meaning of Section 4975(e) of the Code; (ii) the assets of the Borrower do not and will not constitute “plan assets” within the meaning of the United States Department of Labor Regulations set forth in 29</w:t>
      </w:r>
    </w:p>
    <w:p>
      <w:pPr>
        <w:spacing w:after="0" w:line="201" w:lineRule="auto"/>
        <w:rPr>
          <w:sz w:val="20"/>
          <w:szCs w:val="20"/>
          <w:color w:val="auto"/>
        </w:rPr>
      </w:pPr>
      <w:r>
        <w:rPr>
          <w:rFonts w:ascii="Times New Roman" w:cs="Times New Roman" w:eastAsia="Times New Roman" w:hAnsi="Times New Roman"/>
          <w:sz w:val="19"/>
          <w:szCs w:val="19"/>
          <w:color w:val="auto"/>
        </w:rPr>
        <w:t>C.F.R. §2510.3-101; (iii) the Borrower is not and will not be a “governmental plan” within the meaning of Section 3(32) of ERISA; and</w:t>
      </w:r>
    </w:p>
    <w:p>
      <w:pPr>
        <w:spacing w:after="0" w:line="1" w:lineRule="exact"/>
        <w:rPr>
          <w:sz w:val="20"/>
          <w:szCs w:val="20"/>
          <w:color w:val="auto"/>
        </w:rPr>
      </w:pPr>
    </w:p>
    <w:p>
      <w:pPr>
        <w:ind w:firstLine="4"/>
        <w:spacing w:after="0" w:line="232" w:lineRule="auto"/>
        <w:tabs>
          <w:tab w:leader="none" w:pos="344"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by or with the Borrower are not and will not be subject to state statutes applicable to the Borrower regulating investments of fiduciaries with respect to governmental plans.</w:t>
      </w:r>
    </w:p>
    <w:p>
      <w:pPr>
        <w:spacing w:after="0" w:line="153"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4.14 Investment Company Act; Other Regulations</w:t>
      </w:r>
      <w:r>
        <w:rPr>
          <w:rFonts w:ascii="Times New Roman" w:cs="Times New Roman" w:eastAsia="Times New Roman" w:hAnsi="Times New Roman"/>
          <w:sz w:val="19"/>
          <w:szCs w:val="19"/>
          <w:color w:val="auto"/>
        </w:rPr>
        <w:t>. No Loan Party is an “investment company,” or a company “controlled” by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“investment company,” within the meaning of the Investment Company Act of 1940, as amended. No Loan Party is subject to regulation under</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any Requirement of Law (other than Regulation X of the Federal Reserve Board) that limits its ability to incur Indebtedness or which may otherwise render all or any portion of the Obligations unenforceable.</w:t>
      </w:r>
    </w:p>
    <w:p>
      <w:pPr>
        <w:spacing w:after="0" w:line="14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4.15</w:t>
        <w:tab/>
        <w:t>Subsidiaries.</w:t>
      </w:r>
    </w:p>
    <w:p>
      <w:pPr>
        <w:spacing w:after="0" w:line="187" w:lineRule="exact"/>
        <w:rPr>
          <w:sz w:val="20"/>
          <w:szCs w:val="20"/>
          <w:color w:val="auto"/>
        </w:rPr>
      </w:pPr>
    </w:p>
    <w:p>
      <w:pPr>
        <w:jc w:val="both"/>
        <w:ind w:firstLine="1254"/>
        <w:spacing w:after="0" w:line="220" w:lineRule="auto"/>
        <w:tabs>
          <w:tab w:leader="none" w:pos="1866"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disclosed to the Administrative Agent by the Borrower and Holdings in writing from time to time after the Closing Date, (a) </w:t>
      </w:r>
      <w:r>
        <w:rPr>
          <w:rFonts w:ascii="Times New Roman" w:cs="Times New Roman" w:eastAsia="Times New Roman" w:hAnsi="Times New Roman"/>
          <w:sz w:val="19"/>
          <w:szCs w:val="19"/>
          <w:u w:val="single" w:color="auto"/>
          <w:color w:val="auto"/>
        </w:rPr>
        <w:t>Schedule 4.15</w:t>
      </w:r>
      <w:r>
        <w:rPr>
          <w:rFonts w:ascii="Times New Roman" w:cs="Times New Roman" w:eastAsia="Times New Roman" w:hAnsi="Times New Roman"/>
          <w:sz w:val="19"/>
          <w:szCs w:val="19"/>
          <w:color w:val="auto"/>
        </w:rPr>
        <w:t xml:space="preserve"> sets forth the name and jurisdiction of organization of each Subsidiary of Holdings and, as to each such Subsidiary, the percentage of each class of Capital Stock owned by any Loan Party, and (b) there are no outstanding subscriptions, options, warrants, calls, rights or other agreements or commitments (other than stock options granted to employees or directors and directors’ qualifying shares) of any nature relating to any Capital Stock of Holdings or any Subsidiary, except as may be created by the Loan Documents.</w:t>
      </w:r>
    </w:p>
    <w:p>
      <w:pPr>
        <w:spacing w:after="0" w:line="157"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3"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Immaterial Subsidiary (a) holds assets representing more than 2.5% of the consolidated total assets of Holdings and its Subsidiaries (determined in accordance with GAAP), (b) has generated more than 2.5% of the consolidated total revenues of Holdings and its Subsidiaries determined in accordance with GAAP for the Test Period ending on the last day of the most recent period for which financial statements have been delivered after the Closing Date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all Subsidiaries that are individually an Immaterial Subsidiary do not have aggregate consolidated total assets that would represent 5.0% or more of the consolidated total assets of Holdings and its Subsidiaries nor have generated 5.0% or more of the consolidated total revenues of Holdings and its Subsidiaries for such Test Period, in each case determined in accordance with GAAP, or (c) owns any material Intellectual Property.</w:t>
      </w:r>
    </w:p>
    <w:p>
      <w:pPr>
        <w:spacing w:after="0" w:line="152"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4.16 Use of Proceeds</w:t>
      </w:r>
      <w:r>
        <w:rPr>
          <w:rFonts w:ascii="Times New Roman" w:cs="Times New Roman" w:eastAsia="Times New Roman" w:hAnsi="Times New Roman"/>
          <w:sz w:val="19"/>
          <w:szCs w:val="19"/>
          <w:color w:val="auto"/>
        </w:rPr>
        <w:t>. The proceeds of the Term Loans shall be used to refinance the obligations of Holdings and its Subsidiaries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outstanding under the Existing Credit Facility, to pay related fees and expenses and for general corporate purposes and any other use not</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prohibited by this Agreement. Proceeds of the Revolving Loans, Swingline Loans and the Letters of Credit shall be used for general corporate purposes and any other use not prohibited by this Agreement.</w:t>
      </w:r>
    </w:p>
    <w:p>
      <w:pPr>
        <w:spacing w:after="0" w:line="140" w:lineRule="exact"/>
        <w:rPr>
          <w:sz w:val="20"/>
          <w:szCs w:val="20"/>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19"/>
          <w:szCs w:val="19"/>
          <w:b w:val="1"/>
          <w:bCs w:val="1"/>
          <w:color w:val="auto"/>
        </w:rPr>
        <w:t>4.17</w:t>
        <w:tab/>
        <w:t>Environmental Matters</w:t>
      </w:r>
      <w:r>
        <w:rPr>
          <w:rFonts w:ascii="Times New Roman" w:cs="Times New Roman" w:eastAsia="Times New Roman" w:hAnsi="Times New Roman"/>
          <w:sz w:val="19"/>
          <w:szCs w:val="19"/>
          <w:color w:val="auto"/>
        </w:rPr>
        <w:t>. Except as, in the aggregate, could not reasonably be expected to have a Material Adverse Effect:</w:t>
      </w:r>
    </w:p>
    <w:p>
      <w:pPr>
        <w:spacing w:after="0" w:line="187" w:lineRule="exact"/>
        <w:rPr>
          <w:sz w:val="20"/>
          <w:szCs w:val="20"/>
          <w:color w:val="auto"/>
        </w:rPr>
      </w:pPr>
    </w:p>
    <w:p>
      <w:pPr>
        <w:jc w:val="both"/>
        <w:ind w:firstLine="1254"/>
        <w:spacing w:after="0" w:line="226" w:lineRule="auto"/>
        <w:tabs>
          <w:tab w:leader="none" w:pos="1866"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disclosed on </w:t>
      </w:r>
      <w:r>
        <w:rPr>
          <w:rFonts w:ascii="Times New Roman" w:cs="Times New Roman" w:eastAsia="Times New Roman" w:hAnsi="Times New Roman"/>
          <w:sz w:val="19"/>
          <w:szCs w:val="19"/>
          <w:u w:val="single" w:color="auto"/>
          <w:color w:val="auto"/>
        </w:rPr>
        <w:t>Schedule 4.17</w:t>
      </w:r>
      <w:r>
        <w:rPr>
          <w:rFonts w:ascii="Times New Roman" w:cs="Times New Roman" w:eastAsia="Times New Roman" w:hAnsi="Times New Roman"/>
          <w:sz w:val="19"/>
          <w:szCs w:val="19"/>
          <w:color w:val="auto"/>
        </w:rPr>
        <w:t>, the facilities and properties owned, leased or operated by any Group Member (the “</w:t>
      </w:r>
      <w:r>
        <w:rPr>
          <w:rFonts w:ascii="Times New Roman" w:cs="Times New Roman" w:eastAsia="Times New Roman" w:hAnsi="Times New Roman"/>
          <w:sz w:val="19"/>
          <w:szCs w:val="19"/>
          <w:b w:val="1"/>
          <w:bCs w:val="1"/>
          <w:i w:val="1"/>
          <w:iCs w:val="1"/>
          <w:color w:val="auto"/>
        </w:rPr>
        <w:t>Properties</w:t>
      </w:r>
      <w:r>
        <w:rPr>
          <w:rFonts w:ascii="Times New Roman" w:cs="Times New Roman" w:eastAsia="Times New Roman" w:hAnsi="Times New Roman"/>
          <w:sz w:val="19"/>
          <w:szCs w:val="19"/>
          <w:color w:val="auto"/>
        </w:rPr>
        <w:t>”) do not contain, and have not previously contained, any Materials of Environmental Concern in amounts or concentrations or under circumstances that constitute or have constituted a violation of, or could reasonably be expected to give rise to liability under, any Environmental Law;</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1900" w:h="16838" w:orient="portrait"/>
          <w:cols w:equalWidth="0" w:num="1">
            <w:col w:w="11240"/>
          </w:cols>
          <w:pgMar w:left="320" w:top="1354" w:right="339" w:bottom="1440" w:gutter="0" w:footer="0" w:header="0"/>
        </w:sectPr>
      </w:pPr>
    </w:p>
    <w:bookmarkStart w:id="206" w:name="page207"/>
    <w:bookmarkEnd w:id="206"/>
    <w:p>
      <w:pPr>
        <w:jc w:val="both"/>
        <w:ind w:firstLine="1254"/>
        <w:spacing w:after="0" w:line="226" w:lineRule="auto"/>
        <w:tabs>
          <w:tab w:leader="none" w:pos="1863"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Times New Roman" w:cs="Times New Roman" w:eastAsia="Times New Roman" w:hAnsi="Times New Roman"/>
          <w:sz w:val="19"/>
          <w:szCs w:val="19"/>
          <w:b w:val="1"/>
          <w:bCs w:val="1"/>
          <w:i w:val="1"/>
          <w:iCs w:val="1"/>
          <w:color w:val="auto"/>
        </w:rPr>
        <w:t>Business</w:t>
      </w:r>
      <w:r>
        <w:rPr>
          <w:rFonts w:ascii="Times New Roman" w:cs="Times New Roman" w:eastAsia="Times New Roman" w:hAnsi="Times New Roman"/>
          <w:sz w:val="19"/>
          <w:szCs w:val="19"/>
          <w:color w:val="auto"/>
        </w:rPr>
        <w:t>”), nor does Holdings or the Borrower have knowledge or reason to believe that any such notice will be received or is being threatened;</w:t>
      </w:r>
    </w:p>
    <w:p>
      <w:pPr>
        <w:spacing w:after="0" w:line="153"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6"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Member has transported or disposed of Materials of Environmental Concern from the Properties in violation of, or in a manner or to a location that could reasonably be expected to give rise to liability under, any Environmental Law, nor has any Group Member generated, treated, stored or disposed of Materials of Environmental Concern at, on or under any of the Properties in violation of, or in a manner that could reasonably be expected to give rise to liability under, any applicable Environmental Law;</w:t>
      </w:r>
    </w:p>
    <w:p>
      <w:pPr>
        <w:spacing w:after="0" w:line="140"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3"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judicial proceeding or governmental or administrative action is pending or, to the knowledge of Holdings or the Borrower,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153"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6"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has been no release or threat of release of Materials of Environmental Concern at or from the Properties arising from or related to the operations of any Group Member or otherwise in connection with the Business, in violation of or in amounts or in a manner that could reasonably be expected to give rise to liability under Environmental Laws;</w:t>
      </w:r>
    </w:p>
    <w:p>
      <w:pPr>
        <w:spacing w:after="0" w:line="156"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71"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Properties and all operations of the Group Members at the Properties are in compliance, and have in the last five years been in compliance, with all applicable Environmental Laws, and except as set forth on </w:t>
      </w:r>
      <w:r>
        <w:rPr>
          <w:rFonts w:ascii="Times New Roman" w:cs="Times New Roman" w:eastAsia="Times New Roman" w:hAnsi="Times New Roman"/>
          <w:sz w:val="19"/>
          <w:szCs w:val="19"/>
          <w:u w:val="single" w:color="auto"/>
          <w:color w:val="auto"/>
        </w:rPr>
        <w:t>Schedule 4.17</w:t>
      </w:r>
      <w:r>
        <w:rPr>
          <w:rFonts w:ascii="Times New Roman" w:cs="Times New Roman" w:eastAsia="Times New Roman" w:hAnsi="Times New Roman"/>
          <w:sz w:val="19"/>
          <w:szCs w:val="19"/>
          <w:color w:val="auto"/>
        </w:rPr>
        <w:t>, to the knowledge of Holdings or the Borrower, there is no contamination at, under or about the Properties or violation of any Environmental Law with respect to the Properties or the Business; and</w:t>
      </w:r>
    </w:p>
    <w:p>
      <w:pPr>
        <w:spacing w:after="0" w:line="140"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Group Member has assumed any liability of any other Person under Environmental Laws.</w:t>
      </w:r>
    </w:p>
    <w:p>
      <w:pPr>
        <w:spacing w:after="0" w:line="18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4.18</w:t>
        <w:tab/>
        <w:t>Accuracy of Information, etc</w:t>
      </w:r>
      <w:r>
        <w:rPr>
          <w:rFonts w:ascii="Times New Roman" w:cs="Times New Roman" w:eastAsia="Times New Roman" w:hAnsi="Times New Roman"/>
          <w:sz w:val="19"/>
          <w:szCs w:val="19"/>
          <w:color w:val="auto"/>
        </w:rPr>
        <w:t>. No statement or information contained in this Agreement, any other Loan Document or any other</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document, certificate or statement furnished by or on behalf of any Loan Party to the Administrative Agent or the Lenders, or any of them, for use in connection with the transactions contemplated by this Agreement or the other Loan Documents, when taken as a whole (after giving effect to</w:t>
      </w:r>
    </w:p>
    <w:p>
      <w:pPr>
        <w:spacing w:after="0" w:line="215" w:lineRule="auto"/>
        <w:rPr>
          <w:sz w:val="20"/>
          <w:szCs w:val="20"/>
          <w:color w:val="auto"/>
        </w:rPr>
      </w:pPr>
      <w:r>
        <w:rPr>
          <w:rFonts w:ascii="Times New Roman" w:cs="Times New Roman" w:eastAsia="Times New Roman" w:hAnsi="Times New Roman"/>
          <w:sz w:val="19"/>
          <w:szCs w:val="19"/>
          <w:color w:val="auto"/>
        </w:rPr>
        <w:t>any updates by the Borrower), contained as of the date such statement, information, document or certificate was so furnished, any untrue statement</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of a material fact or omitted to state a material fact necessary to make the statements contained herein or therein, when taken as a whole (after giving effect to any updates by the Borrower), not materially misleading. The projections and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financial information contained in the</w:t>
      </w:r>
    </w:p>
    <w:p>
      <w:pPr>
        <w:spacing w:after="0" w:line="215" w:lineRule="auto"/>
        <w:rPr>
          <w:sz w:val="20"/>
          <w:szCs w:val="20"/>
          <w:color w:val="auto"/>
        </w:rPr>
      </w:pPr>
      <w:r>
        <w:rPr>
          <w:rFonts w:ascii="Times New Roman" w:cs="Times New Roman" w:eastAsia="Times New Roman" w:hAnsi="Times New Roman"/>
          <w:sz w:val="19"/>
          <w:szCs w:val="19"/>
          <w:color w:val="auto"/>
        </w:rPr>
        <w:t>materials referenced above are based upon good faith estimates and assumptions believed by management of the Borrower to be reasonable at the</w:t>
      </w:r>
    </w:p>
    <w:p>
      <w:pPr>
        <w:spacing w:after="0" w:line="207" w:lineRule="auto"/>
        <w:rPr>
          <w:sz w:val="20"/>
          <w:szCs w:val="20"/>
          <w:color w:val="auto"/>
        </w:rPr>
      </w:pPr>
      <w:r>
        <w:rPr>
          <w:rFonts w:ascii="Times New Roman" w:cs="Times New Roman" w:eastAsia="Times New Roman" w:hAnsi="Times New Roman"/>
          <w:sz w:val="19"/>
          <w:szCs w:val="19"/>
          <w:color w:val="auto"/>
        </w:rPr>
        <w:t>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w:t>
      </w:r>
    </w:p>
    <w:p>
      <w:pPr>
        <w:spacing w:after="0" w:line="215" w:lineRule="auto"/>
        <w:rPr>
          <w:sz w:val="20"/>
          <w:szCs w:val="20"/>
          <w:color w:val="auto"/>
        </w:rPr>
      </w:pPr>
      <w:r>
        <w:rPr>
          <w:rFonts w:ascii="Times New Roman" w:cs="Times New Roman" w:eastAsia="Times New Roman" w:hAnsi="Times New Roman"/>
          <w:sz w:val="19"/>
          <w:szCs w:val="19"/>
          <w:color w:val="auto"/>
        </w:rPr>
        <w:t>material amount. There is no fact known to any Loan Party that could reasonably be expected to have a Material Adverse Effect that has not been</w:t>
      </w:r>
    </w:p>
    <w:p>
      <w:pPr>
        <w:spacing w:after="0" w:line="225" w:lineRule="auto"/>
        <w:rPr>
          <w:sz w:val="20"/>
          <w:szCs w:val="20"/>
          <w:color w:val="auto"/>
        </w:rPr>
      </w:pPr>
      <w:r>
        <w:rPr>
          <w:rFonts w:ascii="Times New Roman" w:cs="Times New Roman" w:eastAsia="Times New Roman" w:hAnsi="Times New Roman"/>
          <w:sz w:val="19"/>
          <w:szCs w:val="19"/>
          <w:color w:val="auto"/>
        </w:rPr>
        <w:t>expressly disclosed herein, in the other Loan Documents or in any other documents, certificates and statements furnished to the Administrative Agent and the Lenders for use in connection with the transactions contemplated hereby and by the other Loan Documents.</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4.19</w:t>
        <w:tab/>
        <w:t>Security Documents.</w:t>
      </w:r>
    </w:p>
    <w:p>
      <w:pPr>
        <w:spacing w:after="0" w:line="187" w:lineRule="exact"/>
        <w:rPr>
          <w:sz w:val="20"/>
          <w:szCs w:val="20"/>
          <w:color w:val="auto"/>
        </w:rPr>
      </w:pPr>
    </w:p>
    <w:p>
      <w:pPr>
        <w:jc w:val="both"/>
        <w:ind w:firstLine="1254"/>
        <w:spacing w:after="0" w:line="229" w:lineRule="auto"/>
        <w:tabs>
          <w:tab w:leader="none" w:pos="1866"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Guarantee and Collateral Agreement is effective to create in favor of the Administrative Agent, for the benefit of the Secured Parties, a legal, valid and enforceable security interest in the Collateral described therein and proceeds thereof. In the case of the Pledged Stock described in the Guarantee and Collateral Agreement that are securities represented by stock certificates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1900" w:h="16838" w:orient="portrait"/>
          <w:cols w:equalWidth="0" w:num="1">
            <w:col w:w="11240"/>
          </w:cols>
          <w:pgMar w:left="320" w:top="1354"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9"/>
          <w:szCs w:val="19"/>
          <w:color w:val="auto"/>
        </w:rPr>
        <w:t>or otherwise constituting certificated securities within the meaning of the Section 8-102(a)(15) of the New York UCC or the corresponding code or</w:t>
      </w:r>
    </w:p>
    <w:p>
      <w:pPr>
        <w:jc w:val="both"/>
        <w:spacing w:after="0" w:line="207" w:lineRule="auto"/>
        <w:rPr>
          <w:sz w:val="20"/>
          <w:szCs w:val="20"/>
          <w:color w:val="auto"/>
        </w:rPr>
      </w:pPr>
      <w:r>
        <w:rPr>
          <w:rFonts w:ascii="Times New Roman" w:cs="Times New Roman" w:eastAsia="Times New Roman" w:hAnsi="Times New Roman"/>
          <w:sz w:val="19"/>
          <w:szCs w:val="19"/>
          <w:color w:val="auto"/>
        </w:rPr>
        <w:t>statute of any other applicable jurisdiction (“</w:t>
      </w:r>
      <w:r>
        <w:rPr>
          <w:rFonts w:ascii="Times New Roman" w:cs="Times New Roman" w:eastAsia="Times New Roman" w:hAnsi="Times New Roman"/>
          <w:sz w:val="19"/>
          <w:szCs w:val="19"/>
          <w:b w:val="1"/>
          <w:bCs w:val="1"/>
          <w:i w:val="1"/>
          <w:iCs w:val="1"/>
          <w:color w:val="auto"/>
        </w:rPr>
        <w:t>Certificated Securities</w:t>
      </w:r>
      <w:r>
        <w:rPr>
          <w:rFonts w:ascii="Times New Roman" w:cs="Times New Roman" w:eastAsia="Times New Roman" w:hAnsi="Times New Roman"/>
          <w:sz w:val="19"/>
          <w:szCs w:val="19"/>
          <w:color w:val="auto"/>
        </w:rPr>
        <w:t>”), when certificates representing such Pledged Stock are delivered to the Administrative Agent, and in the case of the other Collateral constituting personal property described in the Guarantee and Collateral Agreement,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when financing statements and other filings specified on </w:t>
      </w:r>
      <w:r>
        <w:rPr>
          <w:rFonts w:ascii="Times New Roman" w:cs="Times New Roman" w:eastAsia="Times New Roman" w:hAnsi="Times New Roman"/>
          <w:sz w:val="19"/>
          <w:szCs w:val="19"/>
          <w:u w:val="single" w:color="auto"/>
          <w:color w:val="auto"/>
        </w:rPr>
        <w:t>Schedule 4.19(a)</w:t>
      </w:r>
      <w:r>
        <w:rPr>
          <w:rFonts w:ascii="Times New Roman" w:cs="Times New Roman" w:eastAsia="Times New Roman" w:hAnsi="Times New Roman"/>
          <w:sz w:val="19"/>
          <w:szCs w:val="19"/>
          <w:color w:val="auto"/>
        </w:rPr>
        <w:t xml:space="preserve"> in appropriate form are filed in the offices specified on</w:t>
      </w:r>
    </w:p>
    <w:p>
      <w:pPr>
        <w:spacing w:after="0" w:line="207" w:lineRule="auto"/>
        <w:rPr>
          <w:sz w:val="20"/>
          <w:szCs w:val="20"/>
          <w:color w:val="auto"/>
        </w:rPr>
      </w:pPr>
      <w:r>
        <w:rPr>
          <w:rFonts w:ascii="Times New Roman" w:cs="Times New Roman" w:eastAsia="Times New Roman" w:hAnsi="Times New Roman"/>
          <w:sz w:val="19"/>
          <w:szCs w:val="19"/>
          <w:u w:val="single" w:color="auto"/>
          <w:color w:val="auto"/>
        </w:rPr>
        <w:t>Schedule 4.19(a)</w:t>
      </w:r>
      <w:r>
        <w:rPr>
          <w:rFonts w:ascii="Times New Roman" w:cs="Times New Roman" w:eastAsia="Times New Roman" w:hAnsi="Times New Roman"/>
          <w:sz w:val="19"/>
          <w:szCs w:val="19"/>
          <w:color w:val="auto"/>
        </w:rPr>
        <w:t>, the Administrative Agent, for the benefit of the Secured Parties, shall have a fully perfected Lien on, and security interest in, all right, title and interest of the Loan Parties in such Collateral and the proceeds thereof, as security for the Obligations, in each case prior and</w:t>
      </w:r>
    </w:p>
    <w:p>
      <w:pPr>
        <w:spacing w:after="0" w:line="215" w:lineRule="auto"/>
        <w:rPr>
          <w:sz w:val="20"/>
          <w:szCs w:val="20"/>
          <w:color w:val="auto"/>
        </w:rPr>
      </w:pPr>
      <w:r>
        <w:rPr>
          <w:rFonts w:ascii="Times New Roman" w:cs="Times New Roman" w:eastAsia="Times New Roman" w:hAnsi="Times New Roman"/>
          <w:sz w:val="19"/>
          <w:szCs w:val="19"/>
          <w:color w:val="auto"/>
        </w:rPr>
        <w:t>superior in right to any other Person to the extent such Lien can be perfected by such actions or filings (except, in the case of Collateral other than</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Pledged Stock, Liens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to have priority over the Lien of the Administrative Agent). As of the Closing Date, none of the Borrower, Intermediate Holdings, Holdings or any Guarantor that is a limited liability company or partnership has any Capital Stock that is a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Certificated Security.</w:t>
      </w:r>
    </w:p>
    <w:p>
      <w:pPr>
        <w:spacing w:after="0" w:line="163" w:lineRule="exact"/>
        <w:rPr>
          <w:sz w:val="20"/>
          <w:szCs w:val="20"/>
          <w:color w:val="auto"/>
        </w:rPr>
      </w:pPr>
    </w:p>
    <w:p>
      <w:pPr>
        <w:jc w:val="both"/>
        <w:ind w:firstLine="1254"/>
        <w:spacing w:after="0" w:line="219" w:lineRule="auto"/>
        <w:tabs>
          <w:tab w:leader="none" w:pos="1863"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Mortgages delivered after the Closing Date will be, upon execution, effective to create in favor of the Administrative Agent, for the benefit of the Secured Parties, a legal, valid and enforceable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w:t>
      </w:r>
    </w:p>
    <w:p>
      <w:pPr>
        <w:spacing w:after="0" w:line="158"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6"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PC Documents delivered by any PC Entity to any Loan Party pursuant to this Agreement are (or, to the extent executed after the Closing Date, shall, upon execution and delivery thereof, be) effective to create in favor of each applicable Loan Party, a legal, valid and enforceable first priority security interest in the Collateral (as defined therein (or any similarly defined term as defined therein)) (including cash and deposit accounts) and proceeds thereof of such PC Entity, and (i) when all appropriate filings or recordings are made in the appropriate offices as may be required under applicable law and (ii) upon the taking of possession or control by the applicable Loan Party of any such Collateral (or such similarly defined term) with respect to which a security interest may be perfected only by possession or control (which possession or control shall be given to the applicable Loan Party to the extent required by any PC Document), the Liens created by each such PC Document will constitute perfected Liens on all right, title and interest of such Loan Party in such Collateral (or such similarly defined term), in each case, free and clear of all Liens (other than the Liens created under the PC Documents).</w:t>
      </w:r>
    </w:p>
    <w:p>
      <w:pPr>
        <w:spacing w:after="0" w:line="143" w:lineRule="exact"/>
        <w:rPr>
          <w:sz w:val="20"/>
          <w:szCs w:val="20"/>
          <w:color w:val="auto"/>
        </w:rPr>
      </w:pPr>
    </w:p>
    <w:p>
      <w:pPr>
        <w:jc w:val="both"/>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4.20 Solvency; Voidable Transaction</w:t>
      </w:r>
      <w:r>
        <w:rPr>
          <w:rFonts w:ascii="Times New Roman" w:cs="Times New Roman" w:eastAsia="Times New Roman" w:hAnsi="Times New Roman"/>
          <w:sz w:val="19"/>
          <w:szCs w:val="19"/>
          <w:color w:val="auto"/>
        </w:rPr>
        <w:t>. Each Loan Party is, and after giving effect to the incurrence of all Indebtedness, Obligations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obligations being incurred in connection herewith will be, and will continue to be, Solvent. No transfer of property is being made by any Loan</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4.21</w:t>
        <w:tab/>
        <w:t>Regulation H</w:t>
      </w:r>
      <w:r>
        <w:rPr>
          <w:rFonts w:ascii="Times New Roman" w:cs="Times New Roman" w:eastAsia="Times New Roman" w:hAnsi="Times New Roman"/>
          <w:sz w:val="19"/>
          <w:szCs w:val="19"/>
          <w:color w:val="auto"/>
        </w:rPr>
        <w:t>. No Mortgage encumbers improved real property that is located in an area that has been identified by the Secretary</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of Housing and Urban Development as an area having special flood hazards and in which flood insurance has not been made available under the National Flood Insurance Act of 1968.</w:t>
      </w:r>
    </w:p>
    <w:p>
      <w:pPr>
        <w:spacing w:after="0" w:line="152" w:lineRule="exact"/>
        <w:rPr>
          <w:sz w:val="20"/>
          <w:szCs w:val="20"/>
          <w:color w:val="auto"/>
        </w:rPr>
      </w:pPr>
    </w:p>
    <w:p>
      <w:pPr>
        <w:jc w:val="both"/>
        <w:ind w:firstLine="625"/>
        <w:spacing w:after="0" w:line="251" w:lineRule="auto"/>
        <w:rPr>
          <w:sz w:val="20"/>
          <w:szCs w:val="20"/>
          <w:color w:val="auto"/>
        </w:rPr>
      </w:pPr>
      <w:r>
        <w:rPr>
          <w:rFonts w:ascii="Times New Roman" w:cs="Times New Roman" w:eastAsia="Times New Roman" w:hAnsi="Times New Roman"/>
          <w:sz w:val="19"/>
          <w:szCs w:val="19"/>
          <w:b w:val="1"/>
          <w:bCs w:val="1"/>
          <w:color w:val="auto"/>
        </w:rPr>
        <w:t>4.22 Designated Senior Indebtedness</w:t>
      </w:r>
      <w:r>
        <w:rPr>
          <w:rFonts w:ascii="Times New Roman" w:cs="Times New Roman" w:eastAsia="Times New Roman" w:hAnsi="Times New Roman"/>
          <w:sz w:val="19"/>
          <w:szCs w:val="19"/>
          <w:color w:val="auto"/>
        </w:rPr>
        <w:t>. The Loan Documents and all of the Obligations have been deemed “Designated Senior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Indebtedness” or a similar concept thereto, if applicable, for purposes of any other Indebtedness of the Loan Parties.</w:t>
      </w:r>
    </w:p>
    <w:p>
      <w:pPr>
        <w:spacing w:after="0" w:line="129" w:lineRule="exact"/>
        <w:rPr>
          <w:sz w:val="20"/>
          <w:szCs w:val="20"/>
          <w:color w:val="auto"/>
        </w:rPr>
      </w:pPr>
    </w:p>
    <w:p>
      <w:pPr>
        <w:jc w:val="both"/>
        <w:ind w:firstLine="625"/>
        <w:spacing w:after="0" w:line="235" w:lineRule="auto"/>
        <w:rPr>
          <w:sz w:val="20"/>
          <w:szCs w:val="20"/>
          <w:color w:val="auto"/>
        </w:rPr>
      </w:pPr>
      <w:r>
        <w:rPr>
          <w:rFonts w:ascii="Times New Roman" w:cs="Times New Roman" w:eastAsia="Times New Roman" w:hAnsi="Times New Roman"/>
          <w:sz w:val="19"/>
          <w:szCs w:val="19"/>
          <w:b w:val="1"/>
          <w:bCs w:val="1"/>
          <w:color w:val="auto"/>
        </w:rPr>
        <w:t>4.23 Beneficial Ownership</w:t>
      </w:r>
      <w:r>
        <w:rPr>
          <w:rFonts w:ascii="Times New Roman" w:cs="Times New Roman" w:eastAsia="Times New Roman" w:hAnsi="Times New Roman"/>
          <w:sz w:val="19"/>
          <w:szCs w:val="19"/>
          <w:color w:val="auto"/>
        </w:rPr>
        <w:t>. To the extent applicable to the Loan Parties, the information included in the Beneficial Ownership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Certification with respect to the Loan Parties provided on or prior to the Closing Date to any Lender in connection with this Agreement is true and correct in all material respects.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1900" w:h="16838" w:orient="portrait"/>
          <w:cols w:equalWidth="0" w:num="1">
            <w:col w:w="11240"/>
          </w:cols>
          <w:pgMar w:left="320" w:top="1353" w:right="339" w:bottom="1440" w:gutter="0" w:footer="0" w:header="0"/>
        </w:sectPr>
      </w:pPr>
    </w:p>
    <w:bookmarkStart w:id="208" w:name="page209"/>
    <w:bookmarkEnd w:id="208"/>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4.24</w:t>
        <w:tab/>
        <w:t xml:space="preserve">Insurance. </w:t>
      </w:r>
      <w:r>
        <w:rPr>
          <w:rFonts w:ascii="Times New Roman" w:cs="Times New Roman" w:eastAsia="Times New Roman" w:hAnsi="Times New Roman"/>
          <w:sz w:val="19"/>
          <w:szCs w:val="19"/>
          <w:color w:val="auto"/>
        </w:rPr>
        <w:t>All insurance maintained by the Loan Parties is in full force and effect, all premiums have been duly paid, no Loan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Party has received notice of violation or cancellation thereof, and there exists no default under any requirement of such insurance. Each Loan Party maintains insurance with financially sound and reputable insurance companies on all its property (and also with respect to its foreign receivables)</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in at least such amounts and against at least such risks (but including in any event public liability, product liability, and business interruption) as are usually insured against in the same general area by companies engaged in the same or a similar business.</w:t>
      </w:r>
    </w:p>
    <w:p>
      <w:pPr>
        <w:spacing w:after="0" w:line="140" w:lineRule="exact"/>
        <w:rPr>
          <w:sz w:val="20"/>
          <w:szCs w:val="20"/>
          <w:color w:val="auto"/>
        </w:rPr>
      </w:pPr>
    </w:p>
    <w:p>
      <w:pPr>
        <w:ind w:firstLine="625"/>
        <w:spacing w:after="0" w:line="251" w:lineRule="auto"/>
        <w:rPr>
          <w:sz w:val="20"/>
          <w:szCs w:val="20"/>
          <w:color w:val="auto"/>
        </w:rPr>
      </w:pPr>
      <w:r>
        <w:rPr>
          <w:rFonts w:ascii="Times New Roman" w:cs="Times New Roman" w:eastAsia="Times New Roman" w:hAnsi="Times New Roman"/>
          <w:sz w:val="19"/>
          <w:szCs w:val="19"/>
          <w:b w:val="1"/>
          <w:bCs w:val="1"/>
          <w:color w:val="auto"/>
        </w:rPr>
        <w:t xml:space="preserve">4.25 No Casualty. </w:t>
      </w:r>
      <w:r>
        <w:rPr>
          <w:rFonts w:ascii="Times New Roman" w:cs="Times New Roman" w:eastAsia="Times New Roman" w:hAnsi="Times New Roman"/>
          <w:sz w:val="19"/>
          <w:szCs w:val="19"/>
          <w:color w:val="auto"/>
        </w:rPr>
        <w:t>No Loan Party has received any notice of, nor does any Loan Party have any knowledge of, the occurrence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pendency or contemplation of any Casualty Event affecting all or any material portion of its property.</w:t>
      </w:r>
    </w:p>
    <w:p>
      <w:pPr>
        <w:spacing w:after="0" w:line="14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4.26</w:t>
        <w:tab/>
        <w:t>Health Care Laws.</w:t>
      </w:r>
    </w:p>
    <w:p>
      <w:pPr>
        <w:spacing w:after="0" w:line="174" w:lineRule="exact"/>
        <w:rPr>
          <w:sz w:val="20"/>
          <w:szCs w:val="20"/>
          <w:color w:val="auto"/>
        </w:rPr>
      </w:pPr>
    </w:p>
    <w:p>
      <w:pPr>
        <w:ind w:firstLine="1254"/>
        <w:spacing w:after="0" w:line="249" w:lineRule="auto"/>
        <w:tabs>
          <w:tab w:leader="none" w:pos="186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Loan Parties, any Subsidiary or any of the PC Entities is or, during the past three years, has been in violation of any Health Care Laws, except where such violation would reasonably be expected to have a Material Adverse Effect.</w:t>
      </w:r>
    </w:p>
    <w:p>
      <w:pPr>
        <w:spacing w:after="0" w:line="145" w:lineRule="exact"/>
        <w:rPr>
          <w:rFonts w:ascii="Times New Roman" w:cs="Times New Roman" w:eastAsia="Times New Roman" w:hAnsi="Times New Roman"/>
          <w:sz w:val="19"/>
          <w:szCs w:val="19"/>
          <w:color w:val="auto"/>
        </w:rPr>
      </w:pPr>
    </w:p>
    <w:p>
      <w:pPr>
        <w:jc w:val="both"/>
        <w:ind w:firstLine="1254"/>
        <w:spacing w:after="0" w:line="214" w:lineRule="auto"/>
        <w:tabs>
          <w:tab w:leader="none" w:pos="1863"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each Subsidiary and each of the PC Entities has, to the extent required by applicable Health Care Laws, all licenses, consents, certificates, permits, authorizations, approvals, franchises, registrations, qualifications and other rights from, and has made all declarations and filings with, all applicable Governmental Authorities (each, an “</w:t>
      </w:r>
      <w:r>
        <w:rPr>
          <w:rFonts w:ascii="Times New Roman" w:cs="Times New Roman" w:eastAsia="Times New Roman" w:hAnsi="Times New Roman"/>
          <w:sz w:val="19"/>
          <w:szCs w:val="19"/>
          <w:b w:val="1"/>
          <w:bCs w:val="1"/>
          <w:i w:val="1"/>
          <w:iCs w:val="1"/>
          <w:color w:val="auto"/>
        </w:rPr>
        <w:t>Authorization</w:t>
      </w:r>
      <w:r>
        <w:rPr>
          <w:rFonts w:ascii="Times New Roman" w:cs="Times New Roman" w:eastAsia="Times New Roman" w:hAnsi="Times New Roman"/>
          <w:sz w:val="19"/>
          <w:szCs w:val="19"/>
          <w:color w:val="auto"/>
        </w:rPr>
        <w:t>”) necessary to engage in the business conducted by it, except where the failure to have such Authorization or make such declaration or filing would not reasonably be expected to have a Material Adverse Effect. To the knowledge of the Loan Parties, no Governmental Authority has threatened in writing to limit, suspend or revoke any such Authorization, in each case, except for such Authorizations with respect to which the failure to obtain would not reasonably be expected to have a Material Adverse Effect. All such Authorizations are valid and in full force and effect and the Loan Parties, their Subsidiaries and the PC Entities are in compliance with the terms and conditions of all such Authorizations and with the laws and regulations of the Governmental Authority having jurisdiction with respect to such Authorizations, except where failure to be in such compliance or for an Authorization to be valid and in full force and effect would not reasonably be expected to have a Material Adverse Effect.</w:t>
      </w:r>
    </w:p>
    <w:p>
      <w:pPr>
        <w:spacing w:after="0" w:line="161" w:lineRule="exact"/>
        <w:rPr>
          <w:rFonts w:ascii="Times New Roman" w:cs="Times New Roman" w:eastAsia="Times New Roman" w:hAnsi="Times New Roman"/>
          <w:sz w:val="19"/>
          <w:szCs w:val="19"/>
          <w:color w:val="auto"/>
        </w:rPr>
      </w:pPr>
    </w:p>
    <w:p>
      <w:pPr>
        <w:ind w:firstLine="1254"/>
        <w:spacing w:after="0" w:line="249" w:lineRule="auto"/>
        <w:tabs>
          <w:tab w:leader="none" w:pos="186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Closing Date, no Loan Party, nor any Subsidiary thereof or any PC Entity, as applicable, participates in or contracts with any Third Party Payor Program.</w:t>
      </w:r>
    </w:p>
    <w:p>
      <w:pPr>
        <w:spacing w:after="0" w:line="132"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3"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each of their Subsidiaries and each PC Entity has received and maintains accreditation in good standing and without limitation or impairment by all applicable accrediting organizations, to the extent required by applicable Health Care Laws except where failure to maintain such accreditations in good standing and without limitation or impairment would not reasonably be expected to have a Material Adverse Effect.</w:t>
      </w:r>
    </w:p>
    <w:p>
      <w:pPr>
        <w:spacing w:after="0" w:line="153" w:lineRule="exact"/>
        <w:rPr>
          <w:rFonts w:ascii="Times New Roman" w:cs="Times New Roman" w:eastAsia="Times New Roman" w:hAnsi="Times New Roman"/>
          <w:sz w:val="19"/>
          <w:szCs w:val="19"/>
          <w:color w:val="auto"/>
        </w:rPr>
      </w:pPr>
    </w:p>
    <w:p>
      <w:pPr>
        <w:jc w:val="both"/>
        <w:ind w:firstLine="1254"/>
        <w:spacing w:after="0" w:line="218" w:lineRule="auto"/>
        <w:tabs>
          <w:tab w:leader="none" w:pos="1866"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each Subsidiary, each PC Entity and any physician or other licensed medical personnel employed or engaged by any Loan Party or PC Entity (collectively, their “</w:t>
      </w:r>
      <w:r>
        <w:rPr>
          <w:rFonts w:ascii="Times New Roman" w:cs="Times New Roman" w:eastAsia="Times New Roman" w:hAnsi="Times New Roman"/>
          <w:sz w:val="19"/>
          <w:szCs w:val="19"/>
          <w:b w:val="1"/>
          <w:bCs w:val="1"/>
          <w:i w:val="1"/>
          <w:iCs w:val="1"/>
          <w:color w:val="auto"/>
        </w:rPr>
        <w:t>Licensed Personnel</w:t>
      </w:r>
      <w:r>
        <w:rPr>
          <w:rFonts w:ascii="Times New Roman" w:cs="Times New Roman" w:eastAsia="Times New Roman" w:hAnsi="Times New Roman"/>
          <w:sz w:val="19"/>
          <w:szCs w:val="19"/>
          <w:color w:val="auto"/>
        </w:rPr>
        <w:t>”) who perform professional medical services for or on behalf of any of the Loan Parties, their Subsidiaries and the PC Entities currently are and during the past three years, have been in compliance with all applicable Health Care Laws, except where the failure to comply would not reasonably be expected to have a Material Adverse Effect. The Licensed Personnel hold in full force and effect all licenses, permits and other Authorizations that are required for such Licensed Personnel to provide the services provided by such Licensed Personnel to the Loan Parties and the PC Entities, and, to the knowledge of Holdings or the Borrower, no suspension, revocation or cancellation of any such license, permit or other Authorization is threatened in writing, except, in each case, as would not reasonably be expected to have a Material Adverse Effect.</w:t>
      </w:r>
    </w:p>
    <w:p>
      <w:pPr>
        <w:spacing w:after="0" w:line="144"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71"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Loan Parties nor, any PC Entity or any of the Licensed Personnel has received any written notice from any Governmental Authority (the subject of which notice is unresolved), nor to the knowledge of Holdings or the Borrower, is there currently any actual or threatened in writing investigation, inquiry, or administrative or judicial action, hearing, or enforcement proceeding by 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1900" w:h="16838" w:orient="portrait"/>
          <w:cols w:equalWidth="0" w:num="1">
            <w:col w:w="11240"/>
          </w:cols>
          <w:pgMar w:left="320" w:top="1352"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9"/>
          <w:szCs w:val="19"/>
          <w:color w:val="auto"/>
        </w:rPr>
        <w:t>Governmental Authority against any Loan Party, any PC Entity or any of their respective Licensed Personnel, regarding any violation of</w:t>
      </w:r>
    </w:p>
    <w:p>
      <w:pPr>
        <w:spacing w:after="0" w:line="225" w:lineRule="auto"/>
        <w:rPr>
          <w:sz w:val="20"/>
          <w:szCs w:val="20"/>
          <w:color w:val="auto"/>
        </w:rPr>
      </w:pPr>
      <w:r>
        <w:rPr>
          <w:rFonts w:ascii="Times New Roman" w:cs="Times New Roman" w:eastAsia="Times New Roman" w:hAnsi="Times New Roman"/>
          <w:sz w:val="19"/>
          <w:szCs w:val="19"/>
          <w:color w:val="auto"/>
        </w:rPr>
        <w:t>applicable Health Care Laws, except for such investigations, inquiries, or administrative or judicial actions, hearings, or enforcement proceedings that, individually and in the aggregate, would not reasonably be expected to result in a Material Adverse Effect.</w:t>
      </w:r>
    </w:p>
    <w:p>
      <w:pPr>
        <w:spacing w:after="0" w:line="154" w:lineRule="exact"/>
        <w:rPr>
          <w:sz w:val="20"/>
          <w:szCs w:val="20"/>
          <w:color w:val="auto"/>
        </w:rPr>
      </w:pPr>
    </w:p>
    <w:p>
      <w:pPr>
        <w:ind w:firstLine="1254"/>
        <w:spacing w:after="0" w:line="249" w:lineRule="auto"/>
        <w:tabs>
          <w:tab w:leader="none" w:pos="1863"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Subsidiary or PC Entity is in default of, or has breached, any provision of any PC Document to which it is a party which would reasonably be expected to, individually or in the aggregate, result in a Material Adverse Effect.</w:t>
      </w:r>
    </w:p>
    <w:p>
      <w:pPr>
        <w:spacing w:after="0" w:line="132"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Subsidiary and PC Entity is and, during the past three years, has been in compliance with HIPAA (to the extent applicable to such Person), except where a failure to so comply would not reasonably be expected to have a Material Adverse Effect.</w:t>
      </w:r>
    </w:p>
    <w:p>
      <w:pPr>
        <w:spacing w:after="0" w:line="144" w:lineRule="exact"/>
        <w:rPr>
          <w:sz w:val="20"/>
          <w:szCs w:val="20"/>
          <w:color w:val="auto"/>
        </w:rPr>
      </w:pPr>
    </w:p>
    <w:p>
      <w:pPr>
        <w:jc w:val="both"/>
        <w:ind w:firstLine="625"/>
        <w:spacing w:after="0" w:line="238" w:lineRule="auto"/>
        <w:rPr>
          <w:sz w:val="20"/>
          <w:szCs w:val="20"/>
          <w:color w:val="auto"/>
        </w:rPr>
      </w:pPr>
      <w:r>
        <w:rPr>
          <w:rFonts w:ascii="Times New Roman" w:cs="Times New Roman" w:eastAsia="Times New Roman" w:hAnsi="Times New Roman"/>
          <w:sz w:val="19"/>
          <w:szCs w:val="19"/>
          <w:b w:val="1"/>
          <w:bCs w:val="1"/>
          <w:color w:val="auto"/>
        </w:rPr>
        <w:t xml:space="preserve">4.27 Capitalization. </w:t>
      </w:r>
      <w:r>
        <w:rPr>
          <w:rFonts w:ascii="Times New Roman" w:cs="Times New Roman" w:eastAsia="Times New Roman" w:hAnsi="Times New Roman"/>
          <w:sz w:val="19"/>
          <w:szCs w:val="19"/>
          <w:u w:val="single" w:color="auto"/>
          <w:color w:val="auto"/>
        </w:rPr>
        <w:t>Schedule 4.27</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sets forth the beneficial owners of all Capital Stock of Holdings and its Subsidiaries,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amount of Capital Stock held by each such owner, as of the Closing Date.</w:t>
      </w:r>
    </w:p>
    <w:p>
      <w:pPr>
        <w:spacing w:after="0" w:line="15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4.28</w:t>
        <w:tab/>
        <w:t xml:space="preserve">OFAC. </w:t>
      </w:r>
      <w:r>
        <w:rPr>
          <w:rFonts w:ascii="Times New Roman" w:cs="Times New Roman" w:eastAsia="Times New Roman" w:hAnsi="Times New Roman"/>
          <w:sz w:val="19"/>
          <w:szCs w:val="19"/>
          <w:color w:val="auto"/>
        </w:rPr>
        <w:t>Neither Holdings nor any of its Subsidiaries, nor, to the knowledge of Holdings or any such Subsidiary, any director,</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officer, employee, agent, affiliate or representative thereof, is an individual or an entity that is, or is owned or controlled by an individual or entity that is (a) currently the subject of any Sanctions, or (b) located, organized or resident in a Designated Jurisdiction.</w:t>
      </w:r>
    </w:p>
    <w:p>
      <w:pPr>
        <w:spacing w:after="0" w:line="152" w:lineRule="exact"/>
        <w:rPr>
          <w:sz w:val="20"/>
          <w:szCs w:val="20"/>
          <w:color w:val="auto"/>
        </w:rPr>
      </w:pPr>
    </w:p>
    <w:p>
      <w:pPr>
        <w:jc w:val="both"/>
        <w:ind w:firstLine="625"/>
        <w:spacing w:after="0" w:line="251" w:lineRule="auto"/>
        <w:rPr>
          <w:sz w:val="20"/>
          <w:szCs w:val="20"/>
          <w:color w:val="auto"/>
        </w:rPr>
      </w:pPr>
      <w:r>
        <w:rPr>
          <w:rFonts w:ascii="Times New Roman" w:cs="Times New Roman" w:eastAsia="Times New Roman" w:hAnsi="Times New Roman"/>
          <w:sz w:val="19"/>
          <w:szCs w:val="19"/>
          <w:b w:val="1"/>
          <w:bCs w:val="1"/>
          <w:color w:val="auto"/>
        </w:rPr>
        <w:t xml:space="preserve">4.29 Anti-Corruption Laws. </w:t>
      </w:r>
      <w:r>
        <w:rPr>
          <w:rFonts w:ascii="Times New Roman" w:cs="Times New Roman" w:eastAsia="Times New Roman" w:hAnsi="Times New Roman"/>
          <w:sz w:val="19"/>
          <w:szCs w:val="19"/>
          <w:color w:val="auto"/>
        </w:rPr>
        <w:t>Each of Holdings and its Subsidiaries have conducted their businesses in compliance with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anti-corruption laws and have instituted and maintained policies and procedures designed to promote and achieve compliance with such laws.</w:t>
      </w:r>
    </w:p>
    <w:p>
      <w:pPr>
        <w:spacing w:after="0" w:line="129" w:lineRule="exact"/>
        <w:rPr>
          <w:sz w:val="20"/>
          <w:szCs w:val="20"/>
          <w:color w:val="auto"/>
        </w:rPr>
      </w:pPr>
    </w:p>
    <w:p>
      <w:pPr>
        <w:jc w:val="both"/>
        <w:ind w:firstLine="625"/>
        <w:spacing w:after="0" w:line="235" w:lineRule="auto"/>
        <w:rPr>
          <w:sz w:val="20"/>
          <w:szCs w:val="20"/>
          <w:color w:val="auto"/>
        </w:rPr>
      </w:pPr>
      <w:r>
        <w:rPr>
          <w:rFonts w:ascii="Times New Roman" w:cs="Times New Roman" w:eastAsia="Times New Roman" w:hAnsi="Times New Roman"/>
          <w:sz w:val="19"/>
          <w:szCs w:val="19"/>
          <w:b w:val="1"/>
          <w:bCs w:val="1"/>
          <w:color w:val="auto"/>
        </w:rPr>
        <w:t>4.30 Holding Companies</w:t>
      </w:r>
      <w:r>
        <w:rPr>
          <w:rFonts w:ascii="Times New Roman" w:cs="Times New Roman" w:eastAsia="Times New Roman" w:hAnsi="Times New Roman"/>
          <w:sz w:val="19"/>
          <w:szCs w:val="19"/>
          <w:color w:val="auto"/>
        </w:rPr>
        <w:t>. Holdings and Intermediate Holdings are each holding companies and do not have any material liabilities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 than liabilities arising under the Loan Documents), own any material assets (other than the Capital Stock of their Subsidiaries) or engage in any operations or business (other than the ownership of their Subsidiaries).</w:t>
      </w:r>
    </w:p>
    <w:p>
      <w:pPr>
        <w:spacing w:after="0" w:line="14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Section 5</w:t>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b w:val="1"/>
          <w:bCs w:val="1"/>
          <w:color w:val="auto"/>
        </w:rPr>
        <w:t>CONDITIONS PRECEDENT</w:t>
      </w:r>
    </w:p>
    <w:p>
      <w:pPr>
        <w:spacing w:after="0" w:line="148" w:lineRule="exact"/>
        <w:rPr>
          <w:sz w:val="20"/>
          <w:szCs w:val="20"/>
          <w:color w:val="auto"/>
        </w:rPr>
      </w:pPr>
    </w:p>
    <w:p>
      <w:pPr>
        <w:jc w:val="both"/>
        <w:ind w:firstLine="625"/>
        <w:spacing w:after="0" w:line="235" w:lineRule="auto"/>
        <w:rPr>
          <w:sz w:val="20"/>
          <w:szCs w:val="20"/>
          <w:color w:val="auto"/>
        </w:rPr>
      </w:pPr>
      <w:r>
        <w:rPr>
          <w:rFonts w:ascii="Times New Roman" w:cs="Times New Roman" w:eastAsia="Times New Roman" w:hAnsi="Times New Roman"/>
          <w:sz w:val="19"/>
          <w:szCs w:val="19"/>
          <w:b w:val="1"/>
          <w:bCs w:val="1"/>
          <w:color w:val="auto"/>
        </w:rPr>
        <w:t>5.1 Conditions to Initial Credit Extension</w:t>
      </w:r>
      <w:r>
        <w:rPr>
          <w:rFonts w:ascii="Times New Roman" w:cs="Times New Roman" w:eastAsia="Times New Roman" w:hAnsi="Times New Roman"/>
          <w:sz w:val="19"/>
          <w:szCs w:val="19"/>
          <w:color w:val="auto"/>
        </w:rPr>
        <w:t>. The effectiveness of this Agreement and the obligation of each Lender to make its initial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Credit Extension hereunder shall be subject to the satisfaction, prior to or concurrently with the making of such Credit Extension on the Closing Date, of the following conditions precedent:</w:t>
      </w:r>
    </w:p>
    <w:p>
      <w:pPr>
        <w:spacing w:after="0" w:line="140" w:lineRule="exact"/>
        <w:rPr>
          <w:sz w:val="20"/>
          <w:szCs w:val="20"/>
          <w:color w:val="auto"/>
        </w:rPr>
      </w:pPr>
    </w:p>
    <w:p>
      <w:pPr>
        <w:ind w:firstLine="1254"/>
        <w:spacing w:after="0" w:line="251" w:lineRule="auto"/>
        <w:tabs>
          <w:tab w:leader="none" w:pos="1866"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Loan Documents</w:t>
      </w:r>
      <w:r>
        <w:rPr>
          <w:rFonts w:ascii="Times New Roman" w:cs="Times New Roman" w:eastAsia="Times New Roman" w:hAnsi="Times New Roman"/>
          <w:sz w:val="19"/>
          <w:szCs w:val="19"/>
          <w:color w:val="auto"/>
        </w:rPr>
        <w:t>. The Administrative Agent shall have received each of the following, each of which shall be in form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substance satisfactory to the Administrative Agent:</w:t>
      </w:r>
    </w:p>
    <w:p>
      <w:pPr>
        <w:spacing w:after="0" w:line="144" w:lineRule="exact"/>
        <w:rPr>
          <w:rFonts w:ascii="Times New Roman" w:cs="Times New Roman" w:eastAsia="Times New Roman" w:hAnsi="Times New Roman"/>
          <w:sz w:val="19"/>
          <w:szCs w:val="19"/>
          <w:color w:val="auto"/>
        </w:rPr>
      </w:pPr>
    </w:p>
    <w:p>
      <w:pPr>
        <w:ind w:firstLine="1880"/>
        <w:spacing w:after="0" w:line="237" w:lineRule="auto"/>
        <w:tabs>
          <w:tab w:leader="none" w:pos="2498"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Agreement, executed and delivered by the Administrative Agent, Holdings, Intermediate Holdings, the Borrower and each Lender listed on </w:t>
      </w:r>
      <w:r>
        <w:rPr>
          <w:rFonts w:ascii="Times New Roman" w:cs="Times New Roman" w:eastAsia="Times New Roman" w:hAnsi="Times New Roman"/>
          <w:sz w:val="19"/>
          <w:szCs w:val="19"/>
          <w:u w:val="single" w:color="auto"/>
          <w:color w:val="auto"/>
        </w:rPr>
        <w:t>Schedule 1.1</w:t>
      </w:r>
      <w:r>
        <w:rPr>
          <w:rFonts w:ascii="Times New Roman" w:cs="Times New Roman" w:eastAsia="Times New Roman" w:hAnsi="Times New Roman"/>
          <w:sz w:val="19"/>
          <w:szCs w:val="19"/>
          <w:color w:val="auto"/>
        </w:rPr>
        <w:t>;</w:t>
      </w:r>
    </w:p>
    <w:p>
      <w:pPr>
        <w:spacing w:after="0" w:line="154"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Information Certificate, executed by a Responsible Officer;</w:t>
      </w:r>
    </w:p>
    <w:p>
      <w:pPr>
        <w:spacing w:after="0" w:line="185"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required by any Term Lender, a Term Loan Note executed by the Borrower in favor of such Term Lender;</w:t>
      </w:r>
    </w:p>
    <w:p>
      <w:pPr>
        <w:spacing w:after="0" w:line="171"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required by any Revolving Lender, a Revolving Loan Note executed by the Borrower in favor of such</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Revolving Lender;</w:t>
      </w:r>
    </w:p>
    <w:p>
      <w:pPr>
        <w:spacing w:after="0" w:line="149"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1"/>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required by the Swingline Lender, the Swingline Loan Note executed by the Borrower in favor of such</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Swingline Lender;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1900" w:h="16838" w:orient="portrait"/>
          <w:cols w:equalWidth="0" w:num="1">
            <w:col w:w="11240"/>
          </w:cols>
          <w:pgMar w:left="320" w:top="1353" w:right="339" w:bottom="1440" w:gutter="0" w:footer="0" w:header="0"/>
        </w:sectPr>
      </w:pPr>
    </w:p>
    <w:bookmarkStart w:id="210" w:name="page211"/>
    <w:bookmarkEnd w:id="210"/>
    <w:p>
      <w:pPr>
        <w:ind w:left="2500" w:hanging="620"/>
        <w:spacing w:after="0"/>
        <w:tabs>
          <w:tab w:leader="none" w:pos="2500" w:val="left"/>
        </w:tabs>
        <w:numPr>
          <w:ilvl w:val="2"/>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Guarantee and Collateral Agreement, executed and delivered by each grantor named therein;</w:t>
      </w:r>
    </w:p>
    <w:p>
      <w:pPr>
        <w:spacing w:after="0" w:line="185"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2"/>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Intellectual Property Security Agreement, executed by the applicable grantor related thereto;</w:t>
      </w:r>
    </w:p>
    <w:p>
      <w:pPr>
        <w:spacing w:after="0" w:line="172"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2"/>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other Security Document, executed and delivered by the applicable Loan Party party thereto; and</w:t>
      </w:r>
    </w:p>
    <w:p>
      <w:pPr>
        <w:spacing w:after="0" w:line="185"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2"/>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Flow of Funds Agreement, executed by the Borrower.</w:t>
      </w:r>
    </w:p>
    <w:p>
      <w:pPr>
        <w:spacing w:after="0" w:line="183"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[Reserved.]</w:t>
      </w:r>
    </w:p>
    <w:p>
      <w:pPr>
        <w:spacing w:after="0" w:line="172" w:lineRule="exact"/>
        <w:rPr>
          <w:rFonts w:ascii="Times New Roman" w:cs="Times New Roman" w:eastAsia="Times New Roman" w:hAnsi="Times New Roman"/>
          <w:sz w:val="19"/>
          <w:szCs w:val="19"/>
          <w:color w:val="auto"/>
        </w:rPr>
      </w:pPr>
    </w:p>
    <w:p>
      <w:pPr>
        <w:jc w:val="both"/>
        <w:ind w:firstLine="1254"/>
        <w:spacing w:after="0"/>
        <w:tabs>
          <w:tab w:leader="none" w:pos="1866"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Pro Forma Financial Statements; Financial Statements; Projections</w:t>
      </w:r>
      <w:r>
        <w:rPr>
          <w:rFonts w:ascii="Times New Roman" w:cs="Times New Roman" w:eastAsia="Times New Roman" w:hAnsi="Times New Roman"/>
          <w:sz w:val="19"/>
          <w:szCs w:val="19"/>
          <w:color w:val="auto"/>
        </w:rPr>
        <w:t>. The Lenders shall have received (i) the Pro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Forma Financial Statements, (ii) audited consolidated financial statements of Holdings and its Subsidiaries as of December 31, 2021 and December 31, 2020, and (iii) unaudited interim consolidated financial statements of Holdings and its Subsidiaries for each Fiscal Quarter ended after the date of the latest applicable financial statements delivered pursuant to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of this paragraph and at least 45 days before the Closing Date.</w:t>
      </w:r>
    </w:p>
    <w:p>
      <w:pPr>
        <w:spacing w:after="0" w:line="298" w:lineRule="exact"/>
        <w:rPr>
          <w:rFonts w:ascii="Times New Roman" w:cs="Times New Roman" w:eastAsia="Times New Roman" w:hAnsi="Times New Roman"/>
          <w:sz w:val="19"/>
          <w:szCs w:val="19"/>
          <w:color w:val="auto"/>
        </w:rPr>
      </w:pPr>
    </w:p>
    <w:p>
      <w:pPr>
        <w:jc w:val="both"/>
        <w:ind w:firstLine="1254"/>
        <w:spacing w:after="0" w:line="230" w:lineRule="auto"/>
        <w:tabs>
          <w:tab w:leader="none" w:pos="1863"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Approvals</w:t>
      </w:r>
      <w:r>
        <w:rPr>
          <w:rFonts w:ascii="Times New Roman" w:cs="Times New Roman" w:eastAsia="Times New Roman" w:hAnsi="Times New Roman"/>
          <w:sz w:val="19"/>
          <w:szCs w:val="19"/>
          <w:color w:val="auto"/>
        </w:rPr>
        <w:t>. All Governmental Approvals and consents and approvals of, or notices to, any other Person (including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holders of any Capital Stock issued by any Loan Party) required in connection with the execution and performance of the Loan Documents and the consummation of the transactions contemplated hereby, shall have been obtained and be in full force and effect.</w:t>
      </w:r>
    </w:p>
    <w:p>
      <w:pPr>
        <w:spacing w:after="0" w:line="153" w:lineRule="exact"/>
        <w:rPr>
          <w:rFonts w:ascii="Times New Roman" w:cs="Times New Roman" w:eastAsia="Times New Roman" w:hAnsi="Times New Roman"/>
          <w:sz w:val="19"/>
          <w:szCs w:val="19"/>
          <w:color w:val="auto"/>
        </w:rPr>
      </w:pPr>
    </w:p>
    <w:p>
      <w:pPr>
        <w:jc w:val="both"/>
        <w:ind w:firstLine="1254"/>
        <w:spacing w:after="0" w:line="218" w:lineRule="auto"/>
        <w:tabs>
          <w:tab w:leader="none" w:pos="1866"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Secretary’s or Managing Member’s Certificates; Certified Operating Documents; Good Standing Certificates. </w:t>
      </w:r>
      <w:r>
        <w:rPr>
          <w:rFonts w:ascii="Times New Roman" w:cs="Times New Roman" w:eastAsia="Times New Roman" w:hAnsi="Times New Roman"/>
          <w:sz w:val="19"/>
          <w:szCs w:val="19"/>
          <w:color w:val="auto"/>
        </w:rPr>
        <w:t>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Administrative Agent shall have received (i) a certificate of each Loan Party, dated the Closing Date and executed by the Secretary, Managing Member or equivalent officer of such Loan Party, substantially in the form of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with appropriate insertions and attachments, including</w:t>
      </w:r>
    </w:p>
    <w:p>
      <w:pPr>
        <w:spacing w:after="0" w:line="1" w:lineRule="exact"/>
        <w:rPr>
          <w:rFonts w:ascii="Times New Roman" w:cs="Times New Roman" w:eastAsia="Times New Roman" w:hAnsi="Times New Roman"/>
          <w:sz w:val="19"/>
          <w:szCs w:val="19"/>
          <w:color w:val="auto"/>
        </w:rPr>
      </w:pPr>
    </w:p>
    <w:p>
      <w:pPr>
        <w:jc w:val="both"/>
        <w:ind w:firstLine="4"/>
        <w:spacing w:after="0" w:line="216" w:lineRule="auto"/>
        <w:tabs>
          <w:tab w:leader="none" w:pos="317"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Operating Documents of such Loan Party, (B) the relevant board resolutions or written consents of such Loan Party adopted by such Loan Party for the purposes of authorizing such Loan Party to enter into and perform the Loan Documents to which such Loan Party is party and (C) the names, titles, incumbency and signature specimens of those representatives of such Loan Party who have been authorized by such resolutions and/or written consents to execute Loan Documents on behalf of such Loan Party, and (ii) a long form good standing certificate for each Loan Party from its respective jurisdiction of organization.</w:t>
      </w:r>
    </w:p>
    <w:p>
      <w:pPr>
        <w:spacing w:after="0" w:line="151"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1"/>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Responsible Officer’s Certificates.</w:t>
      </w:r>
    </w:p>
    <w:p>
      <w:pPr>
        <w:spacing w:after="0" w:line="174" w:lineRule="exact"/>
        <w:rPr>
          <w:rFonts w:ascii="Times New Roman" w:cs="Times New Roman" w:eastAsia="Times New Roman" w:hAnsi="Times New Roman"/>
          <w:sz w:val="19"/>
          <w:szCs w:val="19"/>
          <w:color w:val="auto"/>
        </w:rPr>
      </w:pPr>
    </w:p>
    <w:p>
      <w:pPr>
        <w:jc w:val="both"/>
        <w:ind w:firstLine="1880"/>
        <w:spacing w:after="0" w:line="226" w:lineRule="auto"/>
        <w:tabs>
          <w:tab w:leader="none" w:pos="2498" w:val="left"/>
        </w:tabs>
        <w:numPr>
          <w:ilvl w:val="2"/>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certificate signed by a Responsible Officer of Holdings, in form and substance reasonably satisfactory to it, either (A) attaching copies of all consents, licenses and approvals required in connection with the execution, delivery and performance by each Loan Party and the validity against such Loan Party of the Loan Documents to which it is party, and such consents, licenses and approvals shall be in full force and effect, or (B) stating that no such consents, licenses or approvals are so required.</w:t>
      </w:r>
    </w:p>
    <w:p>
      <w:pPr>
        <w:spacing w:after="0" w:line="153" w:lineRule="exact"/>
        <w:rPr>
          <w:rFonts w:ascii="Times New Roman" w:cs="Times New Roman" w:eastAsia="Times New Roman" w:hAnsi="Times New Roman"/>
          <w:sz w:val="19"/>
          <w:szCs w:val="19"/>
          <w:color w:val="auto"/>
        </w:rPr>
      </w:pPr>
    </w:p>
    <w:p>
      <w:pPr>
        <w:jc w:val="both"/>
        <w:ind w:firstLine="1880"/>
        <w:spacing w:after="0" w:line="226" w:lineRule="auto"/>
        <w:tabs>
          <w:tab w:leader="none" w:pos="2499" w:val="left"/>
        </w:tabs>
        <w:numPr>
          <w:ilvl w:val="2"/>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have received a certificate signed by a Responsible Officer of the Borrower, in form and substance reasonably satisfactory to it, certifying that (A) the conditions specified in </w:t>
      </w:r>
      <w:r>
        <w:rPr>
          <w:rFonts w:ascii="Times New Roman" w:cs="Times New Roman" w:eastAsia="Times New Roman" w:hAnsi="Times New Roman"/>
          <w:sz w:val="19"/>
          <w:szCs w:val="19"/>
          <w:u w:val="single" w:color="auto"/>
          <w:color w:val="auto"/>
        </w:rPr>
        <w:t>Section 5.1(o)</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(p)</w:t>
      </w:r>
      <w:r>
        <w:rPr>
          <w:rFonts w:ascii="Times New Roman" w:cs="Times New Roman" w:eastAsia="Times New Roman" w:hAnsi="Times New Roman"/>
          <w:sz w:val="19"/>
          <w:szCs w:val="19"/>
          <w:color w:val="auto"/>
        </w:rPr>
        <w:t xml:space="preserve"> have been satisfied, (B) the conditions specified in </w:t>
      </w:r>
      <w:r>
        <w:rPr>
          <w:rFonts w:ascii="Times New Roman" w:cs="Times New Roman" w:eastAsia="Times New Roman" w:hAnsi="Times New Roman"/>
          <w:sz w:val="19"/>
          <w:szCs w:val="19"/>
          <w:u w:val="single" w:color="auto"/>
          <w:color w:val="auto"/>
        </w:rPr>
        <w:t>Sections 5.2(a)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have been satisfied and (C) there has been no event or circumstance since December 31, 2021, that has had or that could reasonably be expected to have, either individually or in the aggregate, a Material Adverse Effect.</w:t>
      </w:r>
    </w:p>
    <w:p>
      <w:pPr>
        <w:spacing w:after="0" w:line="151" w:lineRule="exact"/>
        <w:rPr>
          <w:rFonts w:ascii="Times New Roman" w:cs="Times New Roman" w:eastAsia="Times New Roman" w:hAnsi="Times New Roman"/>
          <w:sz w:val="19"/>
          <w:szCs w:val="19"/>
          <w:color w:val="auto"/>
        </w:rPr>
      </w:pPr>
    </w:p>
    <w:p>
      <w:pPr>
        <w:jc w:val="both"/>
        <w:ind w:firstLine="1254"/>
        <w:spacing w:after="0" w:line="230" w:lineRule="auto"/>
        <w:tabs>
          <w:tab w:leader="none" w:pos="1863" w:val="left"/>
        </w:tabs>
        <w:numPr>
          <w:ilvl w:val="1"/>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Patriot Act, Etc</w:t>
      </w:r>
      <w:r>
        <w:rPr>
          <w:rFonts w:ascii="Times New Roman" w:cs="Times New Roman" w:eastAsia="Times New Roman" w:hAnsi="Times New Roman"/>
          <w:sz w:val="19"/>
          <w:szCs w:val="19"/>
          <w:color w:val="auto"/>
        </w:rPr>
        <w:t>. The Administrative Agent and each Lender shall have received, prior to the Closing Date,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documentation and other information requested to comply with applicable “know your customer” and anti-money-laundering rules and regulations, including the Patriot Act, and a properly completed and signed IRS Form W-8 or W-9, as applicable, for each Loan Party. To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1900" w:h="16838" w:orient="portrait"/>
          <w:cols w:equalWidth="0" w:num="1">
            <w:col w:w="11240"/>
          </w:cols>
          <w:pgMar w:left="320" w:top="1354" w:right="339" w:bottom="1440" w:gutter="0" w:footer="0" w:header="0"/>
        </w:sectPr>
      </w:pPr>
    </w:p>
    <w:bookmarkStart w:id="211" w:name="page212"/>
    <w:bookmarkEnd w:id="211"/>
    <w:p>
      <w:pPr>
        <w:spacing w:after="0" w:line="249" w:lineRule="auto"/>
        <w:rPr>
          <w:sz w:val="20"/>
          <w:szCs w:val="20"/>
          <w:color w:val="auto"/>
        </w:rPr>
      </w:pPr>
      <w:r>
        <w:rPr>
          <w:rFonts w:ascii="Times New Roman" w:cs="Times New Roman" w:eastAsia="Times New Roman" w:hAnsi="Times New Roman"/>
          <w:sz w:val="19"/>
          <w:szCs w:val="19"/>
          <w:color w:val="auto"/>
        </w:rPr>
        <w:t>the extent any Loan Party qualifies as a “legal entity customer” under the Beneficial Ownership Regulation, the Administrative Agent shall have received a Beneficial Ownership Certification in relation to such Loan Party, to the extent reasonably requested in advance of the Closing Date.</w:t>
      </w:r>
    </w:p>
    <w:p>
      <w:pPr>
        <w:spacing w:after="0" w:line="131" w:lineRule="exact"/>
        <w:rPr>
          <w:sz w:val="20"/>
          <w:szCs w:val="20"/>
          <w:color w:val="auto"/>
        </w:rPr>
      </w:pPr>
    </w:p>
    <w:p>
      <w:pPr>
        <w:jc w:val="both"/>
        <w:ind w:firstLine="1254"/>
        <w:spacing w:after="0" w:line="226" w:lineRule="auto"/>
        <w:tabs>
          <w:tab w:leader="none" w:pos="1863"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Due Diligence Investigation</w:t>
      </w:r>
      <w:r>
        <w:rPr>
          <w:rFonts w:ascii="Times New Roman" w:cs="Times New Roman" w:eastAsia="Times New Roman" w:hAnsi="Times New Roman"/>
          <w:sz w:val="19"/>
          <w:szCs w:val="19"/>
          <w:color w:val="auto"/>
        </w:rPr>
        <w:t>. The Administrative Agent shall have completed a due diligence investigation of Holdings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its Subsidiaries in scope, and with results, satisfactory to the Administrative Agent and shall have been given such access to the management, records, books of account, contracts and properties of Holdings and its Subsidiaries and shall have received such financial, business and other information regarding each of the foregoing Persons and businesses as it shall have requested.</w:t>
      </w:r>
    </w:p>
    <w:p>
      <w:pPr>
        <w:spacing w:after="0" w:line="153"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jc w:val="both"/>
        <w:ind w:firstLine="1254"/>
        <w:spacing w:after="0" w:line="217" w:lineRule="auto"/>
        <w:tabs>
          <w:tab w:leader="none" w:pos="1873"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Existing Credit Facility, Etc. </w:t>
      </w:r>
      <w:r>
        <w:rPr>
          <w:rFonts w:ascii="Times New Roman" w:cs="Times New Roman" w:eastAsia="Times New Roman" w:hAnsi="Times New Roman"/>
          <w:sz w:val="19"/>
          <w:szCs w:val="19"/>
          <w:color w:val="auto"/>
        </w:rPr>
        <w:t>(A) the Administrative Agent shall have received the Payoff Letter executed by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Existing Agent and the Borrower, (B) all obligations of the Group Members in respect of the Existing Credit Facility shall, substantially contemporaneously with the funding of certain Loan proceeds on the Closing Date directly to the Existing Agent as contemplated by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2.5</w:t>
      </w:r>
      <w:r>
        <w:rPr>
          <w:rFonts w:ascii="Times New Roman" w:cs="Times New Roman" w:eastAsia="Times New Roman" w:hAnsi="Times New Roman"/>
          <w:sz w:val="19"/>
          <w:szCs w:val="19"/>
          <w:color w:val="auto"/>
        </w:rPr>
        <w:t xml:space="preserve"> and the Flow of Funds Agreement, have been paid in full, (C) the Administrative Agent shall be satisfied that all actions necessary to terminate the agreements evidencing the obligations of the Group Members in respect of the Existing Credit Facility and the Liens of the Existing Agent in the assets of the Group Members securing obligations under the Existing Credit Facility shall have been, or substantially contemporaneously with the Closing Date, shall be, taken, and (D) the Administrative Agent shall have received such other documents and information related to the Existing Credit Facility and the refinancing thereof as it may reasonably request.</w:t>
      </w:r>
    </w:p>
    <w:p>
      <w:pPr>
        <w:spacing w:after="0" w:line="151"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Collateral Matters.</w:t>
      </w:r>
    </w:p>
    <w:p>
      <w:pPr>
        <w:spacing w:after="0" w:line="187" w:lineRule="exact"/>
        <w:rPr>
          <w:rFonts w:ascii="Times New Roman" w:cs="Times New Roman" w:eastAsia="Times New Roman" w:hAnsi="Times New Roman"/>
          <w:sz w:val="19"/>
          <w:szCs w:val="19"/>
          <w:color w:val="auto"/>
        </w:rPr>
      </w:pPr>
    </w:p>
    <w:p>
      <w:pPr>
        <w:jc w:val="both"/>
        <w:ind w:firstLine="1880"/>
        <w:spacing w:after="0" w:line="220" w:lineRule="auto"/>
        <w:tabs>
          <w:tab w:leader="none" w:pos="2498"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Lien Searches</w:t>
      </w:r>
      <w:r>
        <w:rPr>
          <w:rFonts w:ascii="Times New Roman" w:cs="Times New Roman" w:eastAsia="Times New Roman" w:hAnsi="Times New Roman"/>
          <w:sz w:val="19"/>
          <w:szCs w:val="19"/>
          <w:color w:val="auto"/>
        </w:rPr>
        <w:t xml:space="preserve">. The Administrative Agent shall have received the results of recent lien searches in each of the jurisdictions where any of the Loan Parties is formed or organized, and such searches shall reveal no liens on any of the assets of the Loan Parties except for Liens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Liens to be discharged on or prior to the Closing Date, or Liens securing obligations of the Group Members under the Existing Credit Facility, which Liens shall be discharged substantially contemporaneously with the Closing Date pursuant to the Payoff Letter.</w:t>
      </w:r>
    </w:p>
    <w:p>
      <w:pPr>
        <w:spacing w:after="0" w:line="157" w:lineRule="exact"/>
        <w:rPr>
          <w:rFonts w:ascii="Times New Roman" w:cs="Times New Roman" w:eastAsia="Times New Roman" w:hAnsi="Times New Roman"/>
          <w:sz w:val="19"/>
          <w:szCs w:val="19"/>
          <w:color w:val="auto"/>
        </w:rPr>
      </w:pPr>
    </w:p>
    <w:p>
      <w:pPr>
        <w:jc w:val="both"/>
        <w:ind w:firstLine="1880"/>
        <w:spacing w:after="0" w:line="219" w:lineRule="auto"/>
        <w:tabs>
          <w:tab w:leader="none" w:pos="2499"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Pledged Stock; Stock Powers; Pledged Notes</w:t>
      </w:r>
      <w:r>
        <w:rPr>
          <w:rFonts w:ascii="Times New Roman" w:cs="Times New Roman" w:eastAsia="Times New Roman" w:hAnsi="Times New Roman"/>
          <w:sz w:val="19"/>
          <w:szCs w:val="19"/>
          <w:color w:val="auto"/>
        </w:rPr>
        <w:t>. The Administrative Agent shall have received (A) the certificates representing the shares of Capital Stock pledged to the Administrative Agent (for the ratable benefit of the Secured Parties) pursuant to the Guarantee and Collateral Agreement, together with an undated stock power for each such certificate executed in blank by a duly authorized officer of the pledgor thereof, and (B) each promissory note (if any) pledged to the Administrative Agent (for the ratable benefit of the Secured Parties) pursuant to the Guarantee and Collateral Agreement, endorsed (without recourse) in blank (or accompanied by an executed transfer form in blank) by the pledgor thereof.</w:t>
      </w:r>
    </w:p>
    <w:p>
      <w:pPr>
        <w:spacing w:after="0" w:line="158" w:lineRule="exact"/>
        <w:rPr>
          <w:rFonts w:ascii="Times New Roman" w:cs="Times New Roman" w:eastAsia="Times New Roman" w:hAnsi="Times New Roman"/>
          <w:sz w:val="19"/>
          <w:szCs w:val="19"/>
          <w:color w:val="auto"/>
        </w:rPr>
      </w:pPr>
    </w:p>
    <w:p>
      <w:pPr>
        <w:jc w:val="both"/>
        <w:ind w:firstLine="1880"/>
        <w:spacing w:after="0" w:line="219" w:lineRule="auto"/>
        <w:tabs>
          <w:tab w:leader="none" w:pos="2500"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Filings, Registrations, Recordings, Agreements, Etc.</w:t>
      </w:r>
      <w:r>
        <w:rPr>
          <w:rFonts w:ascii="Times New Roman" w:cs="Times New Roman" w:eastAsia="Times New Roman" w:hAnsi="Times New Roman"/>
          <w:sz w:val="19"/>
          <w:szCs w:val="19"/>
          <w:color w:val="auto"/>
        </w:rPr>
        <w:t xml:space="preserve"> Each document (including any UCC financing statements, Intellectual Property Security Agreements, Deposit Account Control Agreements, Securities Account Control Agreements, and landlord access agreements and/or bailee waivers) required by the Security Documents or under law or reasonably requested by the Administrative Agent to be filed, registered or recorded to create in favor of the Administrative Agent (for the ratable benefit of the Secured Parties), a perfected Lien on the Collateral described therein, prior and superior in right and priority to any Lien in the Collateral held by any other Person (other than with respect to Liens expressly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to have priority over the Lien of the Administrative Agent), shall have been executed and delivered to the Administrative Agent or, as applicable, be in proper form for filing, registration or recordation.</w:t>
      </w:r>
    </w:p>
    <w:p>
      <w:pPr>
        <w:spacing w:after="0" w:line="141"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83" w:lineRule="exact"/>
        <w:rPr>
          <w:rFonts w:ascii="Times New Roman" w:cs="Times New Roman" w:eastAsia="Times New Roman" w:hAnsi="Times New Roman"/>
          <w:sz w:val="19"/>
          <w:szCs w:val="19"/>
          <w:color w:val="auto"/>
        </w:rPr>
      </w:pPr>
    </w:p>
    <w:p>
      <w:pPr>
        <w:ind w:firstLine="1254"/>
        <w:spacing w:after="0" w:line="251" w:lineRule="auto"/>
        <w:tabs>
          <w:tab w:leader="none" w:pos="1864"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Fees</w:t>
      </w:r>
      <w:r>
        <w:rPr>
          <w:rFonts w:ascii="Times New Roman" w:cs="Times New Roman" w:eastAsia="Times New Roman" w:hAnsi="Times New Roman"/>
          <w:sz w:val="19"/>
          <w:szCs w:val="19"/>
          <w:color w:val="auto"/>
        </w:rPr>
        <w:t>. The Lenders and the Administrative Agent shall have received all fees required to be paid on or prior to the Closing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Date (including pursuant to the Fee Letter), and all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1900" w:h="16838" w:orient="portrait"/>
          <w:cols w:equalWidth="0" w:num="1">
            <w:col w:w="11240"/>
          </w:cols>
          <w:pgMar w:left="320" w:top="1354"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9"/>
          <w:szCs w:val="19"/>
          <w:color w:val="auto"/>
        </w:rPr>
        <w:t>reasonable and documented fees and expenses for which invoices have been presented (including the reasonable and documented fees and</w:t>
      </w:r>
    </w:p>
    <w:p>
      <w:pPr>
        <w:spacing w:after="0" w:line="225" w:lineRule="auto"/>
        <w:rPr>
          <w:sz w:val="20"/>
          <w:szCs w:val="20"/>
          <w:color w:val="auto"/>
        </w:rPr>
      </w:pPr>
      <w:r>
        <w:rPr>
          <w:rFonts w:ascii="Times New Roman" w:cs="Times New Roman" w:eastAsia="Times New Roman" w:hAnsi="Times New Roman"/>
          <w:sz w:val="19"/>
          <w:szCs w:val="19"/>
          <w:color w:val="auto"/>
        </w:rPr>
        <w:t>expenses of legal counsel to the Administrative Agent) for payment on or before the Closing Date. All such amounts will be paid with proceeds of Loans made on the Closing Date and will be reflected in the Flow of Funds Agreement.</w:t>
      </w:r>
    </w:p>
    <w:p>
      <w:pPr>
        <w:spacing w:after="0" w:line="152" w:lineRule="exact"/>
        <w:rPr>
          <w:sz w:val="20"/>
          <w:szCs w:val="20"/>
          <w:color w:val="auto"/>
        </w:rPr>
      </w:pPr>
    </w:p>
    <w:p>
      <w:pPr>
        <w:ind w:firstLine="1254"/>
        <w:spacing w:after="0" w:line="251" w:lineRule="auto"/>
        <w:tabs>
          <w:tab w:leader="none" w:pos="1863"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Legal Opinions</w:t>
      </w:r>
      <w:r>
        <w:rPr>
          <w:rFonts w:ascii="Times New Roman" w:cs="Times New Roman" w:eastAsia="Times New Roman" w:hAnsi="Times New Roman"/>
          <w:sz w:val="19"/>
          <w:szCs w:val="19"/>
          <w:color w:val="auto"/>
        </w:rPr>
        <w:t>. The Administrative Agent shall have received the executed legal opinion of McDermott Will &amp; Emery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LLP, counsel to the Loan Parties, in form and substance reasonably satisfactory to the Administrative Agent.</w:t>
      </w:r>
    </w:p>
    <w:p>
      <w:pPr>
        <w:spacing w:after="0" w:line="129" w:lineRule="exact"/>
        <w:rPr>
          <w:rFonts w:ascii="Times New Roman" w:cs="Times New Roman" w:eastAsia="Times New Roman" w:hAnsi="Times New Roman"/>
          <w:sz w:val="19"/>
          <w:szCs w:val="19"/>
          <w:color w:val="auto"/>
        </w:rPr>
      </w:pPr>
    </w:p>
    <w:p>
      <w:pPr>
        <w:ind w:firstLine="1254"/>
        <w:spacing w:after="0" w:line="251" w:lineRule="auto"/>
        <w:tabs>
          <w:tab w:leader="none" w:pos="1863"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Liquidity. </w:t>
      </w:r>
      <w:r>
        <w:rPr>
          <w:rFonts w:ascii="Times New Roman" w:cs="Times New Roman" w:eastAsia="Times New Roman" w:hAnsi="Times New Roman"/>
          <w:sz w:val="19"/>
          <w:szCs w:val="19"/>
          <w:color w:val="auto"/>
        </w:rPr>
        <w:t>The Borrower shall have at least $8,000,000 of Liquidity as of the Closing Date, after giving effect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funding of the initial Loans on the Closing Date and to the consummation of the transactions contemplated hereby.</w:t>
      </w:r>
    </w:p>
    <w:p>
      <w:pPr>
        <w:spacing w:after="0" w:line="142" w:lineRule="exact"/>
        <w:rPr>
          <w:rFonts w:ascii="Times New Roman" w:cs="Times New Roman" w:eastAsia="Times New Roman" w:hAnsi="Times New Roman"/>
          <w:sz w:val="19"/>
          <w:szCs w:val="19"/>
          <w:color w:val="auto"/>
        </w:rPr>
      </w:pPr>
    </w:p>
    <w:p>
      <w:pPr>
        <w:jc w:val="both"/>
        <w:ind w:firstLine="1254"/>
        <w:spacing w:after="0" w:line="230" w:lineRule="auto"/>
        <w:tabs>
          <w:tab w:leader="none" w:pos="1863"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Consolidated Leverage Ratio. </w:t>
      </w:r>
      <w:r>
        <w:rPr>
          <w:rFonts w:ascii="Times New Roman" w:cs="Times New Roman" w:eastAsia="Times New Roman" w:hAnsi="Times New Roman"/>
          <w:sz w:val="19"/>
          <w:szCs w:val="19"/>
          <w:color w:val="auto"/>
        </w:rPr>
        <w:t>The Consolidated Leverage Ratio of Holdings and its Subsidiaries as of the Closing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shall be less than or equal to 1.75:1.00 (based upon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financial statements as of and for the period ending June 30, 2022), after giving effect to the funding of the initial Loans on the Closing Date and to the consummation of the transactions contemplated hereby.</w:t>
      </w:r>
    </w:p>
    <w:p>
      <w:pPr>
        <w:spacing w:after="0" w:line="153" w:lineRule="exact"/>
        <w:rPr>
          <w:rFonts w:ascii="Times New Roman" w:cs="Times New Roman" w:eastAsia="Times New Roman" w:hAnsi="Times New Roman"/>
          <w:sz w:val="19"/>
          <w:szCs w:val="19"/>
          <w:color w:val="auto"/>
        </w:rPr>
      </w:pPr>
    </w:p>
    <w:p>
      <w:pPr>
        <w:jc w:val="both"/>
        <w:ind w:firstLine="1254"/>
        <w:spacing w:after="0" w:line="220" w:lineRule="auto"/>
        <w:tabs>
          <w:tab w:leader="none" w:pos="1863"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Borrowing Notices. </w:t>
      </w:r>
      <w:r>
        <w:rPr>
          <w:rFonts w:ascii="Times New Roman" w:cs="Times New Roman" w:eastAsia="Times New Roman" w:hAnsi="Times New Roman"/>
          <w:sz w:val="19"/>
          <w:szCs w:val="19"/>
          <w:color w:val="auto"/>
        </w:rPr>
        <w:t>The Administrative Agent shall have received, (i) in respect of the Term Loan to be made 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Closing Date, a completed Notice of Borrowing executed by the Borrower and otherwise complying with the requirements of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and</w:t>
      </w:r>
    </w:p>
    <w:p>
      <w:pPr>
        <w:spacing w:after="0" w:line="1" w:lineRule="exact"/>
        <w:rPr>
          <w:rFonts w:ascii="Times New Roman" w:cs="Times New Roman" w:eastAsia="Times New Roman" w:hAnsi="Times New Roman"/>
          <w:sz w:val="19"/>
          <w:szCs w:val="19"/>
          <w:color w:val="auto"/>
        </w:rPr>
      </w:pPr>
    </w:p>
    <w:p>
      <w:pPr>
        <w:ind w:firstLine="4"/>
        <w:spacing w:after="0" w:line="232" w:lineRule="auto"/>
        <w:tabs>
          <w:tab w:leader="none" w:pos="284"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respect of any Revolving Loans to be made on the Closing Date, a completed Notice of Borrowing executed by the Borrower and otherwise complying with the requirements of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w:t>
      </w:r>
    </w:p>
    <w:p>
      <w:pPr>
        <w:spacing w:after="0" w:line="139" w:lineRule="exact"/>
        <w:rPr>
          <w:rFonts w:ascii="Times New Roman" w:cs="Times New Roman" w:eastAsia="Times New Roman" w:hAnsi="Times New Roman"/>
          <w:sz w:val="19"/>
          <w:szCs w:val="19"/>
          <w:color w:val="auto"/>
        </w:rPr>
      </w:pPr>
    </w:p>
    <w:p>
      <w:pPr>
        <w:ind w:firstLine="1254"/>
        <w:spacing w:after="0" w:line="251" w:lineRule="auto"/>
        <w:tabs>
          <w:tab w:leader="none" w:pos="1871" w:val="left"/>
        </w:tabs>
        <w:numPr>
          <w:ilvl w:val="1"/>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Solvency Certificate</w:t>
      </w:r>
      <w:r>
        <w:rPr>
          <w:rFonts w:ascii="Times New Roman" w:cs="Times New Roman" w:eastAsia="Times New Roman" w:hAnsi="Times New Roman"/>
          <w:sz w:val="19"/>
          <w:szCs w:val="19"/>
          <w:color w:val="auto"/>
        </w:rPr>
        <w:t>. The Administrative Agent shall have received a Solvency Certificate from the chief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officer or treasurer of Holdings and the Borrower.</w:t>
      </w:r>
    </w:p>
    <w:p>
      <w:pPr>
        <w:spacing w:after="0" w:line="142" w:lineRule="exact"/>
        <w:rPr>
          <w:rFonts w:ascii="Times New Roman" w:cs="Times New Roman" w:eastAsia="Times New Roman" w:hAnsi="Times New Roman"/>
          <w:sz w:val="19"/>
          <w:szCs w:val="19"/>
          <w:color w:val="auto"/>
        </w:rPr>
      </w:pPr>
    </w:p>
    <w:p>
      <w:pPr>
        <w:ind w:firstLine="1254"/>
        <w:spacing w:after="0" w:line="238" w:lineRule="auto"/>
        <w:tabs>
          <w:tab w:leader="none" w:pos="1868" w:val="left"/>
        </w:tabs>
        <w:numPr>
          <w:ilvl w:val="1"/>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Material Adverse Effect</w:t>
      </w:r>
      <w:r>
        <w:rPr>
          <w:rFonts w:ascii="Times New Roman" w:cs="Times New Roman" w:eastAsia="Times New Roman" w:hAnsi="Times New Roman"/>
          <w:sz w:val="19"/>
          <w:szCs w:val="19"/>
          <w:color w:val="auto"/>
        </w:rPr>
        <w:t>. There shall not have occurred since December 31, 2021 any event or condition that has had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could be reasonably expected to have, individually or in the aggregate, a Material Adverse Effect.</w:t>
      </w:r>
    </w:p>
    <w:p>
      <w:pPr>
        <w:spacing w:after="0" w:line="152" w:lineRule="exact"/>
        <w:rPr>
          <w:rFonts w:ascii="Times New Roman" w:cs="Times New Roman" w:eastAsia="Times New Roman" w:hAnsi="Times New Roman"/>
          <w:sz w:val="19"/>
          <w:szCs w:val="19"/>
          <w:color w:val="auto"/>
        </w:rPr>
      </w:pPr>
    </w:p>
    <w:p>
      <w:pPr>
        <w:ind w:firstLine="1254"/>
        <w:spacing w:after="0" w:line="238" w:lineRule="auto"/>
        <w:tabs>
          <w:tab w:leader="none" w:pos="1873" w:val="left"/>
        </w:tabs>
        <w:numPr>
          <w:ilvl w:val="1"/>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Litigation</w:t>
      </w:r>
      <w:r>
        <w:rPr>
          <w:rFonts w:ascii="Times New Roman" w:cs="Times New Roman" w:eastAsia="Times New Roman" w:hAnsi="Times New Roman"/>
          <w:sz w:val="19"/>
          <w:szCs w:val="19"/>
          <w:color w:val="auto"/>
        </w:rPr>
        <w:t>. No litigation, investigation or proceeding of or before any arbitrator or Governmental Authority is pending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to the knowledge of any Group Member, threatened, that could reasonably be expected to have a Material Adverse Effect.</w:t>
      </w:r>
    </w:p>
    <w:p>
      <w:pPr>
        <w:spacing w:after="0" w:line="152"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3" w:val="left"/>
        </w:tabs>
        <w:numPr>
          <w:ilvl w:val="1"/>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Compliance with Law</w:t>
      </w:r>
      <w:r>
        <w:rPr>
          <w:rFonts w:ascii="Times New Roman" w:cs="Times New Roman" w:eastAsia="Times New Roman" w:hAnsi="Times New Roman"/>
          <w:sz w:val="19"/>
          <w:szCs w:val="19"/>
          <w:color w:val="auto"/>
        </w:rPr>
        <w:t>. Each Group Member is in material compliance with all Requirements of Law, except in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instances in which (i) such Requirement of Law is being contested in good faith by appropriate proceedings diligently conducted and the prosecution of such contest would not reasonably be expected to result in a Material Adverse Effect, or (ii) the failure to comply therewith, either individually or in the aggregate, would not reasonably be expected to have a Material Adverse Effect.</w:t>
      </w:r>
    </w:p>
    <w:p>
      <w:pPr>
        <w:spacing w:after="0" w:line="153" w:lineRule="exact"/>
        <w:rPr>
          <w:rFonts w:ascii="Times New Roman" w:cs="Times New Roman" w:eastAsia="Times New Roman" w:hAnsi="Times New Roman"/>
          <w:sz w:val="19"/>
          <w:szCs w:val="19"/>
          <w:color w:val="auto"/>
        </w:rPr>
      </w:pPr>
    </w:p>
    <w:p>
      <w:pPr>
        <w:jc w:val="both"/>
        <w:ind w:firstLine="1254"/>
        <w:spacing w:after="0" w:line="230" w:lineRule="auto"/>
        <w:tabs>
          <w:tab w:leader="none" w:pos="1863" w:val="left"/>
        </w:tabs>
        <w:numPr>
          <w:ilvl w:val="1"/>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PC Documents</w:t>
      </w:r>
      <w:r>
        <w:rPr>
          <w:rFonts w:ascii="Times New Roman" w:cs="Times New Roman" w:eastAsia="Times New Roman" w:hAnsi="Times New Roman"/>
          <w:sz w:val="19"/>
          <w:szCs w:val="19"/>
          <w:color w:val="auto"/>
        </w:rPr>
        <w:t>. The Administrative Agent shall have received copies of each PC Document, together with a certificate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Responsible Officer of the Borrower certifying each such document as being a true, correct, and complete copy thereof, in each case in form and substance reasonably satisfactory to the Administrative Agent.</w:t>
      </w:r>
    </w:p>
    <w:p>
      <w:pPr>
        <w:spacing w:after="0" w:line="168" w:lineRule="exact"/>
        <w:rPr>
          <w:sz w:val="20"/>
          <w:szCs w:val="20"/>
          <w:color w:val="auto"/>
        </w:rPr>
      </w:pPr>
    </w:p>
    <w:p>
      <w:pPr>
        <w:jc w:val="both"/>
        <w:ind w:firstLine="1250"/>
        <w:spacing w:after="0" w:line="256" w:lineRule="auto"/>
        <w:rPr>
          <w:sz w:val="20"/>
          <w:szCs w:val="20"/>
          <w:color w:val="auto"/>
        </w:rPr>
      </w:pPr>
      <w:r>
        <w:rPr>
          <w:rFonts w:ascii="Times New Roman" w:cs="Times New Roman" w:eastAsia="Times New Roman" w:hAnsi="Times New Roman"/>
          <w:sz w:val="19"/>
          <w:szCs w:val="19"/>
          <w:color w:val="auto"/>
        </w:rPr>
        <w:t xml:space="preserve">For purposes of determining compliance with the conditions specified in this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each Lender that has executed this Agreement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Closing Date specifying such Lender’s objection thereto and either such objection shall not have been withdrawn by notice to the Administrative Agent to that effect on or prior to the Closing Date or, if any Credit Extension on the Closing Date has been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1900" w:h="16838" w:orient="portrait"/>
          <w:cols w:equalWidth="0" w:num="1">
            <w:col w:w="11240"/>
          </w:cols>
          <w:pgMar w:left="320" w:top="1353" w:right="339" w:bottom="1440" w:gutter="0" w:footer="0" w:header="0"/>
        </w:sectPr>
      </w:pPr>
    </w:p>
    <w:bookmarkStart w:id="213" w:name="page214"/>
    <w:bookmarkEnd w:id="213"/>
    <w:p>
      <w:pPr>
        <w:spacing w:after="0" w:line="292" w:lineRule="auto"/>
        <w:rPr>
          <w:sz w:val="20"/>
          <w:szCs w:val="20"/>
          <w:color w:val="auto"/>
        </w:rPr>
      </w:pPr>
      <w:r>
        <w:rPr>
          <w:rFonts w:ascii="Times New Roman" w:cs="Times New Roman" w:eastAsia="Times New Roman" w:hAnsi="Times New Roman"/>
          <w:sz w:val="19"/>
          <w:szCs w:val="19"/>
          <w:color w:val="auto"/>
        </w:rPr>
        <w:t>requested, such Lender shall not have made available to the Administrative Agent on or prior to the Closing Date such Lender’s Revolving Percentage or Term Percentage, as the case may be, of such requested Credit Extension.</w:t>
      </w:r>
    </w:p>
    <w:p>
      <w:pPr>
        <w:spacing w:after="0" w:line="118" w:lineRule="exact"/>
        <w:rPr>
          <w:sz w:val="20"/>
          <w:szCs w:val="20"/>
          <w:color w:val="auto"/>
        </w:rPr>
      </w:pPr>
    </w:p>
    <w:p>
      <w:pPr>
        <w:ind w:firstLine="625"/>
        <w:spacing w:after="0" w:line="251" w:lineRule="auto"/>
        <w:rPr>
          <w:sz w:val="20"/>
          <w:szCs w:val="20"/>
          <w:color w:val="auto"/>
        </w:rPr>
      </w:pPr>
      <w:r>
        <w:rPr>
          <w:rFonts w:ascii="Times New Roman" w:cs="Times New Roman" w:eastAsia="Times New Roman" w:hAnsi="Times New Roman"/>
          <w:sz w:val="19"/>
          <w:szCs w:val="19"/>
          <w:b w:val="1"/>
          <w:bCs w:val="1"/>
          <w:color w:val="auto"/>
        </w:rPr>
        <w:t>5.2 Conditions to Each Credit Extension</w:t>
      </w:r>
      <w:r>
        <w:rPr>
          <w:rFonts w:ascii="Times New Roman" w:cs="Times New Roman" w:eastAsia="Times New Roman" w:hAnsi="Times New Roman"/>
          <w:sz w:val="19"/>
          <w:szCs w:val="19"/>
          <w:color w:val="auto"/>
        </w:rPr>
        <w:t>. The agreement of each Lender to make any Credit Extension requested to be made by 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 any date (including its initial Credit Extension) is subject to the satisfaction of the following conditions precedent:</w:t>
      </w:r>
    </w:p>
    <w:p>
      <w:pPr>
        <w:spacing w:after="0" w:line="142" w:lineRule="exact"/>
        <w:rPr>
          <w:sz w:val="20"/>
          <w:szCs w:val="20"/>
          <w:color w:val="auto"/>
        </w:rPr>
      </w:pPr>
    </w:p>
    <w:p>
      <w:pPr>
        <w:jc w:val="both"/>
        <w:ind w:firstLine="1254"/>
        <w:spacing w:after="0" w:line="221" w:lineRule="auto"/>
        <w:tabs>
          <w:tab w:leader="none" w:pos="1866"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Representations and Warranties</w:t>
      </w:r>
      <w:r>
        <w:rPr>
          <w:rFonts w:ascii="Times New Roman" w:cs="Times New Roman" w:eastAsia="Times New Roman" w:hAnsi="Times New Roman"/>
          <w:sz w:val="19"/>
          <w:szCs w:val="19"/>
          <w:color w:val="auto"/>
        </w:rPr>
        <w:t>. Each of the representations and warranties made by each Loan Party in or pursuant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in all respects, as applicable, as of such earlier date.</w:t>
      </w:r>
    </w:p>
    <w:p>
      <w:pPr>
        <w:spacing w:after="0" w:line="153" w:lineRule="exact"/>
        <w:rPr>
          <w:rFonts w:ascii="Times New Roman" w:cs="Times New Roman" w:eastAsia="Times New Roman" w:hAnsi="Times New Roman"/>
          <w:sz w:val="19"/>
          <w:szCs w:val="19"/>
          <w:color w:val="auto"/>
        </w:rPr>
      </w:pPr>
    </w:p>
    <w:p>
      <w:pPr>
        <w:ind w:firstLine="1254"/>
        <w:spacing w:after="0" w:line="238" w:lineRule="auto"/>
        <w:tabs>
          <w:tab w:leader="none" w:pos="1863"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Default</w:t>
      </w:r>
      <w:r>
        <w:rPr>
          <w:rFonts w:ascii="Times New Roman" w:cs="Times New Roman" w:eastAsia="Times New Roman" w:hAnsi="Times New Roman"/>
          <w:sz w:val="19"/>
          <w:szCs w:val="19"/>
          <w:color w:val="auto"/>
        </w:rPr>
        <w:t>. No Default or Event of Default shall have occurred as of or on such date or after giving effect to the Credit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Extension requested to be made on such date.</w:t>
      </w:r>
    </w:p>
    <w:p>
      <w:pPr>
        <w:spacing w:after="0" w:line="152" w:lineRule="exact"/>
        <w:rPr>
          <w:rFonts w:ascii="Times New Roman" w:cs="Times New Roman" w:eastAsia="Times New Roman" w:hAnsi="Times New Roman"/>
          <w:sz w:val="19"/>
          <w:szCs w:val="19"/>
          <w:color w:val="auto"/>
        </w:rPr>
      </w:pPr>
    </w:p>
    <w:p>
      <w:pPr>
        <w:ind w:firstLine="1254"/>
        <w:spacing w:after="0" w:line="251" w:lineRule="auto"/>
        <w:tabs>
          <w:tab w:leader="none" w:pos="1866"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Availability. </w:t>
      </w:r>
      <w:r>
        <w:rPr>
          <w:rFonts w:ascii="Times New Roman" w:cs="Times New Roman" w:eastAsia="Times New Roman" w:hAnsi="Times New Roman"/>
          <w:sz w:val="19"/>
          <w:szCs w:val="19"/>
          <w:color w:val="auto"/>
        </w:rPr>
        <w:t>With respect to any requests for any Revolving Extensions of Credit, after giving effect to such Revolving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Extension of Credit, the availability and borrowing limitations specified in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 xml:space="preserve"> shall be complied with.</w:t>
      </w:r>
    </w:p>
    <w:p>
      <w:pPr>
        <w:spacing w:after="0" w:line="129" w:lineRule="exact"/>
        <w:rPr>
          <w:rFonts w:ascii="Times New Roman" w:cs="Times New Roman" w:eastAsia="Times New Roman" w:hAnsi="Times New Roman"/>
          <w:sz w:val="19"/>
          <w:szCs w:val="19"/>
          <w:color w:val="auto"/>
        </w:rPr>
      </w:pPr>
    </w:p>
    <w:p>
      <w:pPr>
        <w:ind w:firstLine="1254"/>
        <w:spacing w:after="0" w:line="251" w:lineRule="auto"/>
        <w:tabs>
          <w:tab w:leader="none" w:pos="1863"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Notices of Borrowing. </w:t>
      </w:r>
      <w:r>
        <w:rPr>
          <w:rFonts w:ascii="Times New Roman" w:cs="Times New Roman" w:eastAsia="Times New Roman" w:hAnsi="Times New Roman"/>
          <w:sz w:val="19"/>
          <w:szCs w:val="19"/>
          <w:color w:val="auto"/>
        </w:rPr>
        <w:t>The Administrative Agent shall have received a Notice of Borrowing in connection with any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request for Credit Extension which complies with the requirements hereof.</w:t>
      </w:r>
    </w:p>
    <w:p>
      <w:pPr>
        <w:spacing w:after="0" w:line="142"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6"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Liquidity. </w:t>
      </w:r>
      <w:r>
        <w:rPr>
          <w:rFonts w:ascii="Times New Roman" w:cs="Times New Roman" w:eastAsia="Times New Roman" w:hAnsi="Times New Roman"/>
          <w:sz w:val="19"/>
          <w:szCs w:val="19"/>
          <w:color w:val="auto"/>
        </w:rPr>
        <w:t>With respect to any requests for any Revolving Extensions of Credit, at the time of and immediately after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giving effect to such Revolving Extension of Credit (including the application of proceeds thereof, the Liquidity of Holdings and its Subsidiaries, as of such date, shall not be less than the amount set forth below opposite such period that such date falls under (such compliance to be determined on the basis of a certificate of a Financial Officer setting forth the calculation evidencing compliance hereof):</w:t>
      </w:r>
    </w:p>
    <w:p>
      <w:pPr>
        <w:spacing w:after="0" w:line="182"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500" w:type="dxa"/>
            <w:vAlign w:val="bottom"/>
          </w:tcPr>
          <w:p>
            <w:pPr>
              <w:spacing w:after="0"/>
              <w:rPr>
                <w:sz w:val="20"/>
                <w:szCs w:val="20"/>
                <w:color w:val="auto"/>
              </w:rPr>
            </w:pPr>
            <w:r>
              <w:rPr>
                <w:rFonts w:ascii="Times New Roman" w:cs="Times New Roman" w:eastAsia="Times New Roman" w:hAnsi="Times New Roman"/>
                <w:sz w:val="19"/>
                <w:szCs w:val="19"/>
                <w:color w:val="auto"/>
                <w:w w:val="96"/>
              </w:rPr>
              <w:t>Period</w:t>
            </w:r>
          </w:p>
        </w:tc>
        <w:tc>
          <w:tcPr>
            <w:tcW w:w="326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9"/>
                <w:szCs w:val="19"/>
                <w:color w:val="auto"/>
                <w:w w:val="98"/>
              </w:rPr>
              <w:t>Minimum Liquidity</w:t>
            </w:r>
          </w:p>
        </w:tc>
      </w:tr>
      <w:tr>
        <w:trPr>
          <w:trHeight w:val="20"/>
        </w:trPr>
        <w:tc>
          <w:tcPr>
            <w:tcW w:w="5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18"/>
        </w:trPr>
        <w:tc>
          <w:tcPr>
            <w:tcW w:w="3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From the Third Amendment Effective Date to</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9"/>
                <w:szCs w:val="19"/>
                <w:color w:val="auto"/>
              </w:rPr>
              <w:t>$3,000,000.00</w:t>
            </w: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March 31, 2025</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47"/>
        </w:trPr>
        <w:tc>
          <w:tcPr>
            <w:tcW w:w="3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From April 1,2025 to April 30, 2025</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9"/>
                <w:szCs w:val="19"/>
                <w:color w:val="auto"/>
              </w:rPr>
              <w:t>$5,000,000.00</w:t>
            </w:r>
          </w:p>
        </w:tc>
      </w:tr>
      <w:tr>
        <w:trPr>
          <w:trHeight w:val="250"/>
        </w:trPr>
        <w:tc>
          <w:tcPr>
            <w:tcW w:w="37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From May 1, 2025 onwards</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9"/>
                <w:szCs w:val="19"/>
                <w:color w:val="auto"/>
              </w:rPr>
              <w:t>$7,500,000.00</w:t>
            </w:r>
          </w:p>
        </w:tc>
      </w:tr>
    </w:tbl>
    <w:p>
      <w:pPr>
        <w:spacing w:after="0" w:line="200" w:lineRule="exact"/>
        <w:rPr>
          <w:sz w:val="20"/>
          <w:szCs w:val="20"/>
          <w:color w:val="auto"/>
        </w:rPr>
      </w:pPr>
    </w:p>
    <w:p>
      <w:pPr>
        <w:spacing w:after="0" w:line="318" w:lineRule="exact"/>
        <w:rPr>
          <w:sz w:val="20"/>
          <w:szCs w:val="20"/>
          <w:color w:val="auto"/>
        </w:rPr>
      </w:pPr>
    </w:p>
    <w:p>
      <w:pPr>
        <w:jc w:val="both"/>
        <w:ind w:firstLine="1880"/>
        <w:spacing w:after="0" w:line="258" w:lineRule="auto"/>
        <w:tabs>
          <w:tab w:leader="none" w:pos="2261"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Monthly Liquidity Testing Period, permit the Liquidity of Holdings and its Subsidiaries, as of the close of business on the last calendar day of any calendar month, to be less than the amount set forth below opposite such calendar month (such compliance to be determined on the basis of the most recent Monthly Liquidity Report received by the Administrative Agent pursuant to </w:t>
      </w:r>
      <w:r>
        <w:rPr>
          <w:rFonts w:ascii="Times New Roman" w:cs="Times New Roman" w:eastAsia="Times New Roman" w:hAnsi="Times New Roman"/>
          <w:sz w:val="19"/>
          <w:szCs w:val="19"/>
          <w:u w:val="single" w:color="auto"/>
          <w:color w:val="auto"/>
        </w:rPr>
        <w:t>Section</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6.2(i)</w:t>
      </w:r>
      <w:r>
        <w:rPr>
          <w:rFonts w:ascii="Times New Roman" w:cs="Times New Roman" w:eastAsia="Times New Roman" w:hAnsi="Times New Roman"/>
          <w:sz w:val="19"/>
          <w:szCs w:val="19"/>
          <w:color w:val="auto"/>
        </w:rPr>
        <w:t xml:space="preserve"> for such calendar month:</w:t>
      </w:r>
    </w:p>
    <w:p>
      <w:pPr>
        <w:spacing w:after="0" w:line="221"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9"/>
                <w:szCs w:val="19"/>
                <w:color w:val="auto"/>
              </w:rPr>
              <w:t>Calendar</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Month Ending</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w w:val="98"/>
              </w:rPr>
              <w:t>Minimum Liquidity</w:t>
            </w:r>
          </w:p>
        </w:tc>
      </w:tr>
      <w:tr>
        <w:trPr>
          <w:trHeight w:val="20"/>
        </w:trPr>
        <w:tc>
          <w:tcPr>
            <w:tcW w:w="7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9"/>
                <w:szCs w:val="19"/>
                <w:color w:val="auto"/>
              </w:rPr>
              <w:t>April 30,</w:t>
            </w:r>
          </w:p>
        </w:tc>
        <w:tc>
          <w:tcPr>
            <w:tcW w:w="11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2025</w:t>
            </w:r>
          </w:p>
        </w:tc>
        <w:tc>
          <w:tcPr>
            <w:tcW w:w="1960" w:type="dxa"/>
            <w:vAlign w:val="bottom"/>
          </w:tcPr>
          <w:p>
            <w:pPr>
              <w:spacing w:after="0"/>
              <w:rPr>
                <w:sz w:val="23"/>
                <w:szCs w:val="23"/>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$5,000,000.00</w:t>
            </w:r>
          </w:p>
        </w:tc>
      </w:tr>
      <w:tr>
        <w:trPr>
          <w:trHeight w:val="195"/>
        </w:trPr>
        <w:tc>
          <w:tcPr>
            <w:tcW w:w="3800" w:type="dxa"/>
            <w:vAlign w:val="bottom"/>
            <w:gridSpan w:val="3"/>
          </w:tcPr>
          <w:p>
            <w:pPr>
              <w:spacing w:after="0" w:line="195" w:lineRule="exact"/>
              <w:rPr>
                <w:sz w:val="20"/>
                <w:szCs w:val="20"/>
                <w:color w:val="auto"/>
              </w:rPr>
            </w:pPr>
            <w:r>
              <w:rPr>
                <w:rFonts w:ascii="Times New Roman" w:cs="Times New Roman" w:eastAsia="Times New Roman" w:hAnsi="Times New Roman"/>
                <w:sz w:val="19"/>
                <w:szCs w:val="19"/>
                <w:color w:val="auto"/>
              </w:rPr>
              <w:t>May 31, 2025 and the last day of each calendar</w:t>
            </w:r>
          </w:p>
        </w:tc>
        <w:tc>
          <w:tcPr>
            <w:tcW w:w="1740" w:type="dxa"/>
            <w:vAlign w:val="bottom"/>
            <w:gridSpan w:val="2"/>
          </w:tcPr>
          <w:p>
            <w:pPr>
              <w:ind w:left="220"/>
              <w:spacing w:after="0" w:line="195" w:lineRule="exact"/>
              <w:rPr>
                <w:sz w:val="20"/>
                <w:szCs w:val="20"/>
                <w:color w:val="auto"/>
              </w:rPr>
            </w:pPr>
            <w:r>
              <w:rPr>
                <w:rFonts w:ascii="Times New Roman" w:cs="Times New Roman" w:eastAsia="Times New Roman" w:hAnsi="Times New Roman"/>
                <w:sz w:val="19"/>
                <w:szCs w:val="19"/>
                <w:color w:val="auto"/>
              </w:rPr>
              <w:t>$7,500,000.00</w:t>
            </w:r>
          </w:p>
        </w:tc>
      </w:tr>
      <w:tr>
        <w:trPr>
          <w:trHeight w:val="250"/>
        </w:trPr>
        <w:tc>
          <w:tcPr>
            <w:tcW w:w="38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month thereafter</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1900" w:h="16838" w:orient="portrait"/>
          <w:cols w:equalWidth="0" w:num="1">
            <w:col w:w="11240"/>
          </w:cols>
          <w:pgMar w:left="320" w:top="1367" w:right="339" w:bottom="1440" w:gutter="0" w:footer="0" w:header="0"/>
        </w:sectPr>
      </w:pPr>
    </w:p>
    <w:bookmarkStart w:id="214" w:name="page215"/>
    <w:bookmarkEnd w:id="214"/>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Each borrowing by and issuance of a Letter of Credit on behalf of the Borrower hereunder, each Revolving Loan Conversion and each conversion of a Term Loan shall constitute a representation and warranty by the Borrower as of the date of such Credit Extension, Revolving Loan Conversion or conversion of a Term Loan, as applicable, that the conditions contained in this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have been satisfied.</w:t>
      </w:r>
    </w:p>
    <w:p>
      <w:pPr>
        <w:spacing w:after="0" w:line="154" w:lineRule="exact"/>
        <w:rPr>
          <w:sz w:val="20"/>
          <w:szCs w:val="20"/>
          <w:color w:val="auto"/>
        </w:rPr>
      </w:pPr>
    </w:p>
    <w:p>
      <w:pPr>
        <w:jc w:val="both"/>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5.3 Post-Closing Conditions Subsequent. </w:t>
      </w:r>
      <w:r>
        <w:rPr>
          <w:rFonts w:ascii="Times New Roman" w:cs="Times New Roman" w:eastAsia="Times New Roman" w:hAnsi="Times New Roman"/>
          <w:sz w:val="19"/>
          <w:szCs w:val="19"/>
          <w:color w:val="auto"/>
        </w:rPr>
        <w:t>The Borrower shall satisfy each of the conditions subsequent to the Closing Date specified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on </w:t>
      </w:r>
      <w:r>
        <w:rPr>
          <w:rFonts w:ascii="Times New Roman" w:cs="Times New Roman" w:eastAsia="Times New Roman" w:hAnsi="Times New Roman"/>
          <w:sz w:val="19"/>
          <w:szCs w:val="19"/>
          <w:u w:val="single" w:color="auto"/>
          <w:color w:val="auto"/>
        </w:rPr>
        <w:t>Schedule 5.3</w:t>
      </w:r>
      <w:r>
        <w:rPr>
          <w:rFonts w:ascii="Times New Roman" w:cs="Times New Roman" w:eastAsia="Times New Roman" w:hAnsi="Times New Roman"/>
          <w:sz w:val="19"/>
          <w:szCs w:val="19"/>
          <w:color w:val="auto"/>
        </w:rPr>
        <w:t>, in each case by no later than the date specified therein (as may be extended by the Administrative Agent in its sole discretion)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in form and substance reasonably satisfactory to the Administrative Agent.</w:t>
      </w:r>
    </w:p>
    <w:p>
      <w:pPr>
        <w:spacing w:after="0" w:line="14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Section 6</w:t>
      </w:r>
    </w:p>
    <w:p>
      <w:pPr>
        <w:jc w:val="center"/>
        <w:spacing w:after="0"/>
        <w:rPr>
          <w:sz w:val="20"/>
          <w:szCs w:val="20"/>
          <w:color w:val="auto"/>
        </w:rPr>
      </w:pPr>
      <w:r>
        <w:rPr>
          <w:rFonts w:ascii="Times New Roman" w:cs="Times New Roman" w:eastAsia="Times New Roman" w:hAnsi="Times New Roman"/>
          <w:sz w:val="19"/>
          <w:szCs w:val="19"/>
          <w:b w:val="1"/>
          <w:bCs w:val="1"/>
          <w:color w:val="auto"/>
        </w:rPr>
        <w:t>AFFIRMATIVE COVENANTS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Holdings, Intermediate Holdings and the Borrower hereby jointly and severally agree that, at all times prior to the Discharge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Obligations, each of Holdings, Intermediate Holdings and the Borrower shall, and, where applicable, shall cause each of its Subsidiaries to:</w:t>
      </w:r>
    </w:p>
    <w:p>
      <w:pPr>
        <w:spacing w:after="0" w:line="18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6.1</w:t>
      </w:r>
      <w:r>
        <w:rPr>
          <w:sz w:val="20"/>
          <w:szCs w:val="20"/>
          <w:color w:val="auto"/>
        </w:rPr>
        <w:tab/>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 Furnish to the Administrative Agent, with sufficient copies for distribution to each Lender:</w:t>
      </w:r>
    </w:p>
    <w:p>
      <w:pPr>
        <w:spacing w:after="0" w:line="187" w:lineRule="exact"/>
        <w:rPr>
          <w:sz w:val="20"/>
          <w:szCs w:val="20"/>
          <w:color w:val="auto"/>
        </w:rPr>
      </w:pPr>
    </w:p>
    <w:p>
      <w:pPr>
        <w:jc w:val="both"/>
        <w:ind w:firstLine="1254"/>
        <w:spacing w:after="0" w:line="218" w:lineRule="auto"/>
        <w:tabs>
          <w:tab w:leader="none" w:pos="1866"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within 90 days after the end of each Fiscal Year of the Borrower (or, if Holdings has been granted an extension by the SEC with respect to any Fiscal Year permitting the late filing by Holdings of any annual report on form 10-K, the earlier of (x) 120 days after the end of such Fiscal Year and (y) the last day of such extension period), a copy of the audited consolidated and consolidating balance sheet of Holdings and its Subsidiaries as at the end of such Fiscal Year and the related audited consolidated and consolidating statements of income and of cash flows for such Fiscal Year, setting forth in each case in comparative form the figures for the previous year, reported on without a “going concern” or like qualification or exception, or qualification arising out of the scope of the audit, by Grant Thornton or other independent certified public accountants of nationally recognized standing and reasonably acceptable to the Administrative Agent;</w:t>
      </w:r>
    </w:p>
    <w:p>
      <w:pPr>
        <w:spacing w:after="0" w:line="144"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3"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within 45 days after the end of each Fiscal Quarter of the Borrower (or, if Holdings has been granted an extension by the SEC with respect to any Fiscal Quarter permitting the late filing by Holdings of any quarterly report on form 10-Q, the earlier of (x) 60 days after the end of such Fiscal Quarter and (y) the last day of such extension period), the unaudited consolidated and consolidating balance sheet of Holdings and its Subsidiaries as at the end of such Fiscal Quarter and the related unaudited consolidated and consolidating statements of income and of cash flows for such Fiscal Quarter and the portion of the Fiscal Year through the end of such Fiscal Quarter, setting forth in each case in comparative form the figures for the previous year, certified by a Responsible Officer as being fairly stated in all material respects (subject to normal year-end audit adjustments);</w:t>
      </w:r>
    </w:p>
    <w:p>
      <w:pPr>
        <w:spacing w:after="0" w:line="154"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6"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within 45 days after the end of each calendar month (or, with respect to the calendar month ended January 31, 2025, 73 days after the end of such month)</w:t>
      </w:r>
      <w:r>
        <w:rPr>
          <w:rFonts w:ascii="Times New Roman" w:cs="Times New Roman" w:eastAsia="Times New Roman" w:hAnsi="Times New Roman"/>
          <w:sz w:val="19"/>
          <w:szCs w:val="19"/>
          <w:color w:val="auto"/>
          <w:highlight w:val="yellow"/>
        </w:rPr>
        <w:t>, commencing with the calendar month</w:t>
      </w:r>
      <w:r>
        <w:rPr>
          <w:rFonts w:ascii="Times New Roman" w:cs="Times New Roman" w:eastAsia="Times New Roman" w:hAnsi="Times New Roman"/>
          <w:sz w:val="19"/>
          <w:szCs w:val="19"/>
          <w:color w:val="auto"/>
        </w:rPr>
        <w:t xml:space="preserve"> ended January 31, 2025 and until the Maturity Date, the unaudited consolidated and consolidating balance sheet of Holdings and its Subsidiaries as at the end of such month and the related unaudited consolidated and consolidating statements of income and of cash flows for such month and the portion of the Fiscal Year through the end of such month, setting forth in each case in comparative form the figures for the previous year, certified by a Responsible Officer as being fairly stated in all material respects (subject to normal year-end audit adjustments), including </w:t>
      </w:r>
      <w:r>
        <w:rPr>
          <w:rFonts w:ascii="Times New Roman" w:cs="Times New Roman" w:eastAsia="Times New Roman" w:hAnsi="Times New Roman"/>
          <w:sz w:val="19"/>
          <w:szCs w:val="19"/>
          <w:color w:val="auto"/>
          <w:highlight w:val="yellow"/>
        </w:rPr>
        <w:t>a “key performance indicator” report for such month,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auto"/>
          <w:highlight w:val="yellow"/>
        </w:rPr>
        <w:t>which shall include month-end Unrestricted Cash and number of cases per facility</w:t>
      </w:r>
      <w:r>
        <w:rPr>
          <w:rFonts w:ascii="Times New Roman" w:cs="Times New Roman" w:eastAsia="Times New Roman" w:hAnsi="Times New Roman"/>
          <w:sz w:val="19"/>
          <w:szCs w:val="19"/>
          <w:color w:val="auto"/>
        </w:rPr>
        <w:t>; and</w:t>
      </w:r>
    </w:p>
    <w:p>
      <w:pPr>
        <w:spacing w:after="0" w:line="141"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solely with respect to any Test Period during which the Consolidated Leverage Ratio (as set forth in the most recent Compliance Certificate received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-1248410</wp:posOffset>
            </wp:positionV>
            <wp:extent cx="6715125" cy="3721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6715125" cy="37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83</w:t>
      </w:r>
    </w:p>
    <w:p>
      <w:pPr>
        <w:sectPr>
          <w:pgSz w:w="11900" w:h="16838" w:orient="portrait"/>
          <w:cols w:equalWidth="0" w:num="1">
            <w:col w:w="11240"/>
          </w:cols>
          <w:pgMar w:left="320" w:top="1367"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is equal to or greater than 2.50:1.00, commencing with the first Business Day after such Test Period and on a weekly</w:t>
      </w:r>
    </w:p>
    <w:p>
      <w:pPr>
        <w:jc w:val="both"/>
        <w:spacing w:after="0" w:line="207" w:lineRule="auto"/>
        <w:rPr>
          <w:sz w:val="20"/>
          <w:szCs w:val="20"/>
          <w:color w:val="auto"/>
        </w:rPr>
      </w:pPr>
      <w:r>
        <w:rPr>
          <w:rFonts w:ascii="Times New Roman" w:cs="Times New Roman" w:eastAsia="Times New Roman" w:hAnsi="Times New Roman"/>
          <w:sz w:val="19"/>
          <w:szCs w:val="19"/>
          <w:color w:val="auto"/>
        </w:rPr>
        <w:t>basis, a thirteen-week cash flow forecast, which shall reflect the Borrower’s good faith projection of all weekly cash receipts and disbursements in connection with the operation of their business for the following thirteen-week period, all in form reasonably satisfactory to the Administrative</w:t>
      </w:r>
    </w:p>
    <w:p>
      <w:pPr>
        <w:spacing w:after="0" w:line="215" w:lineRule="auto"/>
        <w:rPr>
          <w:sz w:val="20"/>
          <w:szCs w:val="20"/>
          <w:color w:val="auto"/>
        </w:rPr>
      </w:pPr>
      <w:r>
        <w:rPr>
          <w:rFonts w:ascii="Times New Roman" w:cs="Times New Roman" w:eastAsia="Times New Roman" w:hAnsi="Times New Roman"/>
          <w:sz w:val="19"/>
          <w:szCs w:val="19"/>
          <w:color w:val="auto"/>
        </w:rPr>
        <w:t>Agent, which shall outline the upcoming thirteen-week period commencing with the week immediately preceding the week in which such cash-</w:t>
      </w:r>
    </w:p>
    <w:p>
      <w:pPr>
        <w:jc w:val="both"/>
        <w:spacing w:after="0" w:line="207" w:lineRule="auto"/>
        <w:rPr>
          <w:sz w:val="20"/>
          <w:szCs w:val="20"/>
          <w:color w:val="auto"/>
        </w:rPr>
      </w:pPr>
      <w:r>
        <w:rPr>
          <w:rFonts w:ascii="Times New Roman" w:cs="Times New Roman" w:eastAsia="Times New Roman" w:hAnsi="Times New Roman"/>
          <w:sz w:val="19"/>
          <w:szCs w:val="19"/>
          <w:color w:val="auto"/>
        </w:rPr>
        <w:t>flow forecast is delivered to the Administrative Agent; provided that forecasts will include (i) comparisons to the prior forecasts, (ii) comparisons to the actual disbursements made and receipts received, and (iii) an outline of the upcoming thirteen week period commencing with the week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immediately preceding the week in which such cash-flow forecast is delivered to the Administrative Agent.</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All such financial statements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Notwithstanding the generality of the foregoing, documents required to be delivered pursuant to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6.2(e)</w:t>
      </w:r>
      <w:r>
        <w:rPr>
          <w:rFonts w:ascii="Times New Roman" w:cs="Times New Roman" w:eastAsia="Times New Roman" w:hAnsi="Times New Roman"/>
          <w:sz w:val="19"/>
          <w:szCs w:val="19"/>
          <w:color w:val="auto"/>
        </w:rPr>
        <w:t xml:space="preserve"> (to the extent any such documents are included in materials otherwise filed with the SEC) may be delivered electronically and if so, shall be deemed to have been delivered on the date on which Holdings posts such documents, or provides a link thereto, either: (i) on Holdings’ website on the Internet at the website address listed in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or (ii) when such documents are posted electronically on Holdings’ behalf on an internet or intranet website to which each Lender and the Administrative Agent have access (whether a commercial, third-party website or whether sponsored by the Administrative Agent), if 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notify (which may be by facsimile or electronic mail) the Administrative Agent and each Lender of the posting of any such documents and provide to the Administrative Agent by email electronic versions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soft copies) of such documents.</w:t>
      </w:r>
    </w:p>
    <w:p>
      <w:pPr>
        <w:spacing w:after="0" w:line="15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6.2</w:t>
      </w:r>
      <w:r>
        <w:rPr>
          <w:sz w:val="20"/>
          <w:szCs w:val="20"/>
          <w:color w:val="auto"/>
        </w:rPr>
        <w:tab/>
      </w:r>
      <w:r>
        <w:rPr>
          <w:rFonts w:ascii="Times New Roman" w:cs="Times New Roman" w:eastAsia="Times New Roman" w:hAnsi="Times New Roman"/>
          <w:sz w:val="19"/>
          <w:szCs w:val="19"/>
          <w:b w:val="1"/>
          <w:bCs w:val="1"/>
          <w:color w:val="auto"/>
        </w:rPr>
        <w:t>Certificates; Reports; Other Information</w:t>
      </w:r>
      <w:r>
        <w:rPr>
          <w:rFonts w:ascii="Times New Roman" w:cs="Times New Roman" w:eastAsia="Times New Roman" w:hAnsi="Times New Roman"/>
          <w:sz w:val="19"/>
          <w:szCs w:val="19"/>
          <w:color w:val="auto"/>
        </w:rPr>
        <w:t>. Furnish (or, in the case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use commercially reasonable efforts to furnish)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to the Administrative Agent, for distribution to each Lender (or, in the case of </w:t>
      </w:r>
      <w:r>
        <w:rPr>
          <w:rFonts w:ascii="Times New Roman" w:cs="Times New Roman" w:eastAsia="Times New Roman" w:hAnsi="Times New Roman"/>
          <w:sz w:val="19"/>
          <w:szCs w:val="19"/>
          <w:u w:val="single" w:color="auto"/>
          <w:color w:val="auto"/>
        </w:rPr>
        <w:t>clause (k)</w:t>
      </w:r>
      <w:r>
        <w:rPr>
          <w:rFonts w:ascii="Times New Roman" w:cs="Times New Roman" w:eastAsia="Times New Roman" w:hAnsi="Times New Roman"/>
          <w:sz w:val="19"/>
          <w:szCs w:val="19"/>
          <w:color w:val="auto"/>
        </w:rPr>
        <w:t>, to the relevant Lender):</w:t>
      </w:r>
    </w:p>
    <w:p>
      <w:pPr>
        <w:spacing w:after="0" w:line="150" w:lineRule="exact"/>
        <w:rPr>
          <w:sz w:val="20"/>
          <w:szCs w:val="20"/>
          <w:color w:val="auto"/>
        </w:rPr>
      </w:pPr>
    </w:p>
    <w:p>
      <w:pPr>
        <w:jc w:val="both"/>
        <w:ind w:firstLine="1254"/>
        <w:spacing w:after="0" w:line="234" w:lineRule="auto"/>
        <w:tabs>
          <w:tab w:leader="none" w:pos="1866"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concurrently with the delivery of the financial statements referred to in </w:t>
      </w:r>
      <w:r>
        <w:rPr>
          <w:rFonts w:ascii="Times New Roman" w:cs="Times New Roman" w:eastAsia="Times New Roman" w:hAnsi="Times New Roman"/>
          <w:sz w:val="19"/>
          <w:szCs w:val="19"/>
          <w:u w:val="single" w:color="auto"/>
          <w:color w:val="auto"/>
        </w:rPr>
        <w:t>Section 6.1(a)</w:t>
      </w:r>
      <w:r>
        <w:rPr>
          <w:rFonts w:ascii="Times New Roman" w:cs="Times New Roman" w:eastAsia="Times New Roman" w:hAnsi="Times New Roman"/>
          <w:sz w:val="19"/>
          <w:szCs w:val="19"/>
          <w:color w:val="auto"/>
        </w:rPr>
        <w:t>, a certificate of the independent certified public accountants reporting on such financial statements stating that in making the examination necessary therefor no knowledge was obtained of any Default or Event of Default, except as specified in such certificate;</w:t>
      </w:r>
    </w:p>
    <w:p>
      <w:pPr>
        <w:spacing w:after="0" w:line="142"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3"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concurrently with the delivery of any financial statements pursuant to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(i) a certificate of a Responsible Officer stating that, to the best of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 in the case of quarterly or annual financial statements, (x) a Compliance Certificate containing all information and calculations necessary for determining compliance by each Group Member with the provisions of this Agreement referred to therein as of the last day of the month, Fiscal Quarter or Fiscal Year of the Borrower, as the case may be, and (y) to the extent not previously disclosed to the Administrative Agent, a description of any change in beneficial ownership or the jurisdiction of organization of any Loan Party, and a list of any Intellectual Property issued to or acquired by any Loan Party since the date of the most recent report delivered pursuant to this </w:t>
      </w:r>
      <w:r>
        <w:rPr>
          <w:rFonts w:ascii="Times New Roman" w:cs="Times New Roman" w:eastAsia="Times New Roman" w:hAnsi="Times New Roman"/>
          <w:sz w:val="19"/>
          <w:szCs w:val="19"/>
          <w:u w:val="single" w:color="auto"/>
          <w:color w:val="auto"/>
        </w:rPr>
        <w:t>clause (y)</w:t>
      </w:r>
      <w:r>
        <w:rPr>
          <w:rFonts w:ascii="Times New Roman" w:cs="Times New Roman" w:eastAsia="Times New Roman" w:hAnsi="Times New Roman"/>
          <w:sz w:val="19"/>
          <w:szCs w:val="19"/>
          <w:color w:val="auto"/>
        </w:rPr>
        <w:t xml:space="preserve"> (or, in the case of the first such report so delivered, since the Closing Date);</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6" w:val="left"/>
        </w:tabs>
        <w:numPr>
          <w:ilvl w:val="0"/>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and in any event no later than 45 days after the end of each Fiscal Year of the Borrower (and within 15 days of any updates thereto), a detailed consolidated budget for the following Fiscal Year (including a projected consolidated balance sheet of Holdings and its Subsidiaries as of the end of each Fiscal Quarter of such Fiscal Year, the related consolidated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ectPr>
          <w:pgSz w:w="11900" w:h="16838" w:orient="portrait"/>
          <w:cols w:equalWidth="0" w:num="1">
            <w:col w:w="11240"/>
          </w:cols>
          <w:pgMar w:left="320" w:top="1353"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9"/>
          <w:szCs w:val="19"/>
          <w:color w:val="auto"/>
        </w:rPr>
        <w:t>of projected cash flow, projected changes in financial position and projected income and a description of the underlying assumptions applicable</w:t>
      </w:r>
    </w:p>
    <w:p>
      <w:pPr>
        <w:spacing w:after="0" w:line="207" w:lineRule="auto"/>
        <w:rPr>
          <w:sz w:val="20"/>
          <w:szCs w:val="20"/>
          <w:color w:val="auto"/>
        </w:rPr>
      </w:pPr>
      <w:r>
        <w:rPr>
          <w:rFonts w:ascii="Times New Roman" w:cs="Times New Roman" w:eastAsia="Times New Roman" w:hAnsi="Times New Roman"/>
          <w:sz w:val="19"/>
          <w:szCs w:val="19"/>
          <w:color w:val="auto"/>
        </w:rPr>
        <w:t>thereto, consistent with the Borrower’s historical reporting practices), and, as soon as available, significant revisions, if any, of such budget and projections with respect to such Fiscal Year (collectively, the “</w:t>
      </w:r>
      <w:r>
        <w:rPr>
          <w:rFonts w:ascii="Times New Roman" w:cs="Times New Roman" w:eastAsia="Times New Roman" w:hAnsi="Times New Roman"/>
          <w:sz w:val="19"/>
          <w:szCs w:val="19"/>
          <w:b w:val="1"/>
          <w:bCs w:val="1"/>
          <w:i w:val="1"/>
          <w:iCs w:val="1"/>
          <w:color w:val="auto"/>
        </w:rPr>
        <w:t>Projections</w:t>
      </w:r>
      <w:r>
        <w:rPr>
          <w:rFonts w:ascii="Times New Roman" w:cs="Times New Roman" w:eastAsia="Times New Roman" w:hAnsi="Times New Roman"/>
          <w:sz w:val="19"/>
          <w:szCs w:val="19"/>
          <w:color w:val="auto"/>
        </w:rPr>
        <w:t>”), which Projections shall in each case be accompanied by a certificate</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of a Responsible Officer stating that such Projections are based on reasonable estimates, information and assumptions and that such Responsible Officer has no reason to believe that such Projections are incorrect or misleading in any material respect;</w:t>
      </w:r>
    </w:p>
    <w:p>
      <w:pPr>
        <w:spacing w:after="0" w:line="142" w:lineRule="exact"/>
        <w:rPr>
          <w:sz w:val="20"/>
          <w:szCs w:val="20"/>
          <w:color w:val="auto"/>
        </w:rPr>
      </w:pPr>
    </w:p>
    <w:p>
      <w:pPr>
        <w:jc w:val="both"/>
        <w:ind w:firstLine="1254"/>
        <w:spacing w:after="0" w:line="226" w:lineRule="auto"/>
        <w:tabs>
          <w:tab w:leader="none" w:pos="1863"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 (other than routine comment letters from the staff of the SEC relating Holdings’ filings with the SEC);</w:t>
      </w:r>
    </w:p>
    <w:p>
      <w:pPr>
        <w:spacing w:after="0" w:line="153"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6"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five days after the same are sent, copies of each annual report, proxy or financial statement or other material report that Holdings sends to the holders of any class of Holdings’ debt securities or public equity securities and, within five days after the same are filed, copies of all annual, regular, periodic and special reports and registration statements which Holdings may file with the SEC under Section 13 or 15(d) of the Exchange Act, or with any national securities exchange, and not otherwise required to be delivered to the Administrative Agent pursuant hereto;</w:t>
      </w:r>
    </w:p>
    <w:p>
      <w:pPr>
        <w:spacing w:after="0" w:line="144"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71"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written request by the Administrative Agent, within five days after the same are sent or received, copies of all correspondence, reports, documents and other filings with any Governmental Authority regarding non-compliance with any Governmental Approvals or Requirements of Law, which could reasonably be expected to have a Material Adverse Effect;</w:t>
      </w:r>
    </w:p>
    <w:p>
      <w:pPr>
        <w:spacing w:after="0" w:line="142"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concurrently with the delivery of the financial statements referred to in </w:t>
      </w:r>
      <w:r>
        <w:rPr>
          <w:rFonts w:ascii="Times New Roman" w:cs="Times New Roman" w:eastAsia="Times New Roman" w:hAnsi="Times New Roman"/>
          <w:sz w:val="19"/>
          <w:szCs w:val="19"/>
          <w:u w:val="single" w:color="auto"/>
          <w:color w:val="auto"/>
        </w:rPr>
        <w:t>Section 6.1(a)</w:t>
      </w:r>
      <w:r>
        <w:rPr>
          <w:rFonts w:ascii="Times New Roman" w:cs="Times New Roman" w:eastAsia="Times New Roman" w:hAnsi="Times New Roman"/>
          <w:sz w:val="19"/>
          <w:szCs w:val="19"/>
          <w:color w:val="auto"/>
        </w:rPr>
        <w:t xml:space="preserve">, updated insurance certificates evidencing the insurance coverage required to be maintained pursuant to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together with any supplemental reports with respect thereto which the Administrative Agent may reasonably request;</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such additional financial and other information, including, without limitation, any certification or other evidence confirming Borrower’s compliance with the terms of this Agreement, as the Administrative Agent or any Lender may from time to time reasonably request; and</w:t>
      </w:r>
    </w:p>
    <w:p>
      <w:pPr>
        <w:spacing w:after="0" w:line="156"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73"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Monthly Liquidity Testing Period, as soon as available, but in any event within 15 days after the end of each calendar month (commencing with the calendar month ending March 31, 2025), a report setting forth the calculations evidencing compliance with </w:t>
      </w:r>
      <w:r>
        <w:rPr>
          <w:rFonts w:ascii="Times New Roman" w:cs="Times New Roman" w:eastAsia="Times New Roman" w:hAnsi="Times New Roman"/>
          <w:sz w:val="19"/>
          <w:szCs w:val="19"/>
          <w:u w:val="single" w:color="auto"/>
          <w:color w:val="auto"/>
        </w:rPr>
        <w:t>Section 7.1(c)(ii)</w:t>
      </w:r>
      <w:r>
        <w:rPr>
          <w:rFonts w:ascii="Times New Roman" w:cs="Times New Roman" w:eastAsia="Times New Roman" w:hAnsi="Times New Roman"/>
          <w:sz w:val="19"/>
          <w:szCs w:val="19"/>
          <w:color w:val="auto"/>
        </w:rPr>
        <w:t xml:space="preserve"> as of the close of business on the last calendar day of such calendar month, as certified on behalf of the Borrower by a Responsible Officer of the Borrower (a “</w:t>
      </w:r>
      <w:r>
        <w:rPr>
          <w:rFonts w:ascii="Times New Roman" w:cs="Times New Roman" w:eastAsia="Times New Roman" w:hAnsi="Times New Roman"/>
          <w:sz w:val="19"/>
          <w:szCs w:val="19"/>
          <w:b w:val="1"/>
          <w:bCs w:val="1"/>
          <w:i w:val="1"/>
          <w:iCs w:val="1"/>
          <w:color w:val="auto"/>
        </w:rPr>
        <w:t>Monthly Liquidity Report</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6.3</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72"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6.4 Payment of Obligations</w:t>
      </w:r>
      <w:r>
        <w:rPr>
          <w:rFonts w:ascii="Times New Roman" w:cs="Times New Roman" w:eastAsia="Times New Roman" w:hAnsi="Times New Roman"/>
          <w:sz w:val="19"/>
          <w:szCs w:val="19"/>
          <w:color w:val="auto"/>
        </w:rPr>
        <w:t>. Pay, discharge or otherwise satisfy at or before maturity or before they become delinquent, as the case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be, all its material obligations of whatever nature, including Tax liabilities, except where the amount or validity thereof is currently being</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9"/>
          <w:szCs w:val="19"/>
          <w:color w:val="auto"/>
        </w:rPr>
        <w:t xml:space="preserve">contested in good faith by appropriate proceedings and reserves in conformity with GAAP with respect thereto have been provided on the books of the relevant Group Member or, with respect to Indebtedness, where such failure would not result in an Event of Default pursuant to </w:t>
      </w:r>
      <w:r>
        <w:rPr>
          <w:rFonts w:ascii="Times New Roman" w:cs="Times New Roman" w:eastAsia="Times New Roman" w:hAnsi="Times New Roman"/>
          <w:sz w:val="19"/>
          <w:szCs w:val="19"/>
          <w:u w:val="single" w:color="auto"/>
          <w:color w:val="auto"/>
        </w:rPr>
        <w:t>Section 8.1(e)</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6.5</w:t>
      </w:r>
      <w:r>
        <w:rPr>
          <w:sz w:val="20"/>
          <w:szCs w:val="20"/>
          <w:color w:val="auto"/>
        </w:rPr>
        <w:tab/>
      </w:r>
      <w:r>
        <w:rPr>
          <w:rFonts w:ascii="Times New Roman" w:cs="Times New Roman" w:eastAsia="Times New Roman" w:hAnsi="Times New Roman"/>
          <w:sz w:val="19"/>
          <w:szCs w:val="19"/>
          <w:b w:val="1"/>
          <w:bCs w:val="1"/>
          <w:color w:val="auto"/>
        </w:rPr>
        <w:t>Maintenance of Existence; Compliance</w:t>
      </w:r>
      <w:r>
        <w:rPr>
          <w:rFonts w:ascii="Times New Roman" w:cs="Times New Roman" w:eastAsia="Times New Roman" w:hAnsi="Times New Roman"/>
          <w:sz w:val="19"/>
          <w:szCs w:val="19"/>
          <w:color w:val="auto"/>
        </w:rPr>
        <w:t>. (a)(i) Preserve, renew and keep in full force and effect its organizational existence and</w:t>
      </w:r>
    </w:p>
    <w:p>
      <w:pPr>
        <w:spacing w:after="0" w:line="1" w:lineRule="exact"/>
        <w:rPr>
          <w:sz w:val="20"/>
          <w:szCs w:val="20"/>
          <w:color w:val="auto"/>
        </w:rPr>
      </w:pPr>
    </w:p>
    <w:p>
      <w:pPr>
        <w:jc w:val="both"/>
        <w:ind w:firstLine="4"/>
        <w:spacing w:after="0" w:line="216" w:lineRule="auto"/>
        <w:tabs>
          <w:tab w:leader="none" w:pos="315"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take all reasonable action to maintain or obtain all Governmental Approvals and all other rights, privileges and franchises necessary or desirable in the normal conduct of its business or necessary for the performance by such Person of its Obligations under any Loan Document, except, in each case, as otherwise permitted by </w:t>
      </w:r>
      <w:r>
        <w:rPr>
          <w:rFonts w:ascii="Times New Roman" w:cs="Times New Roman" w:eastAsia="Times New Roman" w:hAnsi="Times New Roman"/>
          <w:sz w:val="19"/>
          <w:szCs w:val="19"/>
          <w:u w:val="single" w:color="auto"/>
          <w:color w:val="auto"/>
        </w:rPr>
        <w:t>Section 7.4</w:t>
      </w:r>
      <w:r>
        <w:rPr>
          <w:rFonts w:ascii="Times New Roman" w:cs="Times New Roman" w:eastAsia="Times New Roman" w:hAnsi="Times New Roman"/>
          <w:sz w:val="19"/>
          <w:szCs w:val="19"/>
          <w:color w:val="auto"/>
        </w:rPr>
        <w:t xml:space="preserve"> and except, in the case of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above, to the extent that failure to do so could not reasonably be expected to have a Material Adverse Effect; (b) comply with all Contractual Obligations (including with respect to leasehold interests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ectPr>
          <w:pgSz w:w="11900" w:h="16838" w:orient="portrait"/>
          <w:cols w:equalWidth="0" w:num="1">
            <w:col w:w="11240"/>
          </w:cols>
          <w:pgMar w:left="320" w:top="1353"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9"/>
          <w:szCs w:val="19"/>
          <w:color w:val="auto"/>
        </w:rPr>
        <w:t>of the Borrower) and Requirements of Law except to the extent that failure to comply therewith could not, in the aggregate, reasonably be</w:t>
      </w:r>
    </w:p>
    <w:p>
      <w:pPr>
        <w:spacing w:after="0" w:line="207" w:lineRule="auto"/>
        <w:rPr>
          <w:sz w:val="20"/>
          <w:szCs w:val="20"/>
          <w:color w:val="auto"/>
        </w:rPr>
      </w:pPr>
      <w:r>
        <w:rPr>
          <w:rFonts w:ascii="Times New Roman" w:cs="Times New Roman" w:eastAsia="Times New Roman" w:hAnsi="Times New Roman"/>
          <w:sz w:val="19"/>
          <w:szCs w:val="19"/>
          <w:color w:val="auto"/>
        </w:rPr>
        <w:t>expected to have a Material Adverse Effect; (c) comply with all Requirements of Law except in such instances in which (i) such Requirement of Law is being contested in good faith by appropriate proceedings diligently conducted and the prosecution of such contest would not reasonably be</w:t>
      </w:r>
    </w:p>
    <w:p>
      <w:pPr>
        <w:spacing w:after="0" w:line="215" w:lineRule="auto"/>
        <w:rPr>
          <w:sz w:val="20"/>
          <w:szCs w:val="20"/>
          <w:color w:val="auto"/>
        </w:rPr>
      </w:pPr>
      <w:r>
        <w:rPr>
          <w:rFonts w:ascii="Times New Roman" w:cs="Times New Roman" w:eastAsia="Times New Roman" w:hAnsi="Times New Roman"/>
          <w:sz w:val="19"/>
          <w:szCs w:val="19"/>
          <w:color w:val="auto"/>
        </w:rPr>
        <w:t>expected to result in a Material Adverse Effect, or (ii) the failure to comply therewith, either individually or in the aggregate, would not reasonably</w:t>
      </w:r>
    </w:p>
    <w:p>
      <w:pPr>
        <w:spacing w:after="0" w:line="207" w:lineRule="auto"/>
        <w:rPr>
          <w:sz w:val="20"/>
          <w:szCs w:val="20"/>
          <w:color w:val="auto"/>
        </w:rPr>
      </w:pPr>
      <w:r>
        <w:rPr>
          <w:rFonts w:ascii="Times New Roman" w:cs="Times New Roman" w:eastAsia="Times New Roman" w:hAnsi="Times New Roman"/>
          <w:sz w:val="19"/>
          <w:szCs w:val="19"/>
          <w:color w:val="auto"/>
        </w:rPr>
        <w:t>be expected to have a Material Adverse Effect; (d) comply with all Governmental Approvals, and any term, condition, rule, filing or fee obligation, or other requirement related thereto, except to the extent that failure to do so could not reasonably be expected to have a Material</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Adverse Effect; and (e) perform and observe in all material respects all the terms and provisions of each Material Contract to which it is a party or any of its property is bound. Without limiting the generality of the foregoing, the Borrower shall, and shall cause each of its ERISA Affiliates to:</w:t>
      </w:r>
    </w:p>
    <w:p>
      <w:pPr>
        <w:ind w:left="300" w:hanging="296"/>
        <w:spacing w:after="0" w:line="215" w:lineRule="auto"/>
        <w:tabs>
          <w:tab w:leader="none" w:pos="30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each Plan in compliance in all material respects with the applicable provisions of ERISA, the Code or other Federal or state law;</w:t>
      </w:r>
    </w:p>
    <w:p>
      <w:pPr>
        <w:ind w:left="280" w:hanging="276"/>
        <w:spacing w:after="0" w:line="214" w:lineRule="auto"/>
        <w:tabs>
          <w:tab w:leader="none" w:pos="28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each Qualified Plan to maintain its qualified status under Section 401(a) of the Code; (3) make all required contributions to any Plan;</w:t>
      </w:r>
    </w:p>
    <w:p>
      <w:pPr>
        <w:jc w:val="both"/>
        <w:ind w:firstLine="4"/>
        <w:spacing w:after="0" w:line="207" w:lineRule="auto"/>
        <w:tabs>
          <w:tab w:leader="none" w:pos="273"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become a party to any Multiemployer Plan; (5) ensure that all liabilities under each Plan are either (x) funded to at least the minimum level required by law or, if higher, to the level required by the terms governing such Plan; (y) insured with a reputable insurance company; or</w:t>
      </w:r>
    </w:p>
    <w:p>
      <w:pPr>
        <w:jc w:val="both"/>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(z) provided for or recognized in the financial statements most recently delivered to the Administrative Agent and the Lenders pursuant hereto; and (6) ensure that the contributions or premium payments to or in respect of each Plan are and continue to be promptly paid at no less than the rates required under the rules of such Plan and in accordance with the most recent actuarial advice received in relation to such Plan and applicable law.</w:t>
      </w:r>
    </w:p>
    <w:p>
      <w:pPr>
        <w:spacing w:after="0" w:line="297"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6.6 Maintenance of Property; Insurance</w:t>
      </w:r>
      <w:r>
        <w:rPr>
          <w:rFonts w:ascii="Times New Roman" w:cs="Times New Roman" w:eastAsia="Times New Roman" w:hAnsi="Times New Roman"/>
          <w:sz w:val="19"/>
          <w:szCs w:val="19"/>
          <w:color w:val="auto"/>
        </w:rPr>
        <w:t>. (a) Keep all property useful and necessary in its business in good working order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condition, ordinary wear and tear excepted and (b) maintain with financially sound and reputable insurance companies insurance on all its property</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(and also with respect to its foreign receivables) in at least such amounts and against at least such risks (but including in any event public liability, product liability, business interruption, worker’s compensation, medical malpractice) as are usually insured against in the same general area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companies engaged in the same or a similar business.</w:t>
      </w:r>
    </w:p>
    <w:p>
      <w:pPr>
        <w:spacing w:after="0" w:line="161"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6.7 Inspection of Property; Books and Records; Discussions</w:t>
      </w:r>
      <w:r>
        <w:rPr>
          <w:rFonts w:ascii="Times New Roman" w:cs="Times New Roman" w:eastAsia="Times New Roman" w:hAnsi="Times New Roman"/>
          <w:sz w:val="19"/>
          <w:szCs w:val="19"/>
          <w:color w:val="auto"/>
        </w:rPr>
        <w:t>. (a) Keep proper books of records and account in which full, true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correct entries in conformity with GAAP and all Requirements of Law shall be made of all dealings and transactions in relation to its business and</w:t>
      </w:r>
    </w:p>
    <w:p>
      <w:pPr>
        <w:spacing w:after="0" w:line="215" w:lineRule="auto"/>
        <w:rPr>
          <w:sz w:val="20"/>
          <w:szCs w:val="20"/>
          <w:color w:val="auto"/>
        </w:rPr>
      </w:pPr>
      <w:r>
        <w:rPr>
          <w:rFonts w:ascii="Times New Roman" w:cs="Times New Roman" w:eastAsia="Times New Roman" w:hAnsi="Times New Roman"/>
          <w:sz w:val="19"/>
          <w:szCs w:val="19"/>
          <w:color w:val="auto"/>
        </w:rPr>
        <w:t>activities and (b) permit representatives and independent contractors of the Administrative Agent (and accompanied by any Lender) to visit and</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inspect any of its properties and examine and make abstracts from any of its books and records at any reasonable time and as often as may reasonably be desired and to discuss the business, operations, properties and financial and other condition of the Group Members with officers,</w:t>
      </w:r>
    </w:p>
    <w:p>
      <w:pPr>
        <w:spacing w:after="0" w:line="215" w:lineRule="auto"/>
        <w:rPr>
          <w:sz w:val="20"/>
          <w:szCs w:val="20"/>
          <w:color w:val="auto"/>
        </w:rPr>
      </w:pPr>
      <w:r>
        <w:rPr>
          <w:rFonts w:ascii="Times New Roman" w:cs="Times New Roman" w:eastAsia="Times New Roman" w:hAnsi="Times New Roman"/>
          <w:sz w:val="19"/>
          <w:szCs w:val="19"/>
          <w:color w:val="auto"/>
        </w:rPr>
        <w:t>directors and employees of the Group Members and with their independent certified public accountants (which discussions with such auditors</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shall include representatives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audits and inspections shall not be undertaken more frequently than once per year unless an Event of Default has occurred and is continuing;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audits and inspections shall be at Borrower’s expense and the</w:t>
      </w:r>
    </w:p>
    <w:p>
      <w:pPr>
        <w:spacing w:after="0" w:line="215" w:lineRule="auto"/>
        <w:rPr>
          <w:sz w:val="20"/>
          <w:szCs w:val="20"/>
          <w:color w:val="auto"/>
        </w:rPr>
      </w:pPr>
      <w:r>
        <w:rPr>
          <w:rFonts w:ascii="Times New Roman" w:cs="Times New Roman" w:eastAsia="Times New Roman" w:hAnsi="Times New Roman"/>
          <w:sz w:val="19"/>
          <w:szCs w:val="19"/>
          <w:color w:val="auto"/>
        </w:rPr>
        <w:t>charges therefore shall be no greater than $1,000 per person (or such higher amount as shall represent the Administrative Agent’s then-current</w:t>
      </w:r>
    </w:p>
    <w:p>
      <w:pPr>
        <w:spacing w:after="0" w:line="225" w:lineRule="auto"/>
        <w:rPr>
          <w:sz w:val="20"/>
          <w:szCs w:val="20"/>
          <w:color w:val="auto"/>
        </w:rPr>
      </w:pPr>
      <w:r>
        <w:rPr>
          <w:rFonts w:ascii="Times New Roman" w:cs="Times New Roman" w:eastAsia="Times New Roman" w:hAnsi="Times New Roman"/>
          <w:sz w:val="19"/>
          <w:szCs w:val="19"/>
          <w:color w:val="auto"/>
        </w:rPr>
        <w:t>standard charge for the same) or $15,000 per inspection, plus reasonable and documented out-of-pocket expenses), unless an Event of Default has occurred and is continuing.</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6.8</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Give prompt written notice to the Administrative Agent:</w:t>
      </w:r>
    </w:p>
    <w:p>
      <w:pPr>
        <w:spacing w:after="0" w:line="187" w:lineRule="exact"/>
        <w:rPr>
          <w:sz w:val="20"/>
          <w:szCs w:val="20"/>
          <w:color w:val="auto"/>
        </w:rPr>
      </w:pPr>
    </w:p>
    <w:p>
      <w:pPr>
        <w:ind w:left="1880" w:hanging="626"/>
        <w:spacing w:after="0"/>
        <w:tabs>
          <w:tab w:leader="none" w:pos="1880"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any Default or Event of Default;</w:t>
      </w:r>
    </w:p>
    <w:p>
      <w:pPr>
        <w:spacing w:after="0" w:line="172"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3"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42" w:lineRule="exact"/>
        <w:rPr>
          <w:rFonts w:ascii="Times New Roman" w:cs="Times New Roman" w:eastAsia="Times New Roman" w:hAnsi="Times New Roman"/>
          <w:sz w:val="19"/>
          <w:szCs w:val="19"/>
          <w:color w:val="auto"/>
        </w:rPr>
      </w:pPr>
    </w:p>
    <w:p>
      <w:pPr>
        <w:ind w:firstLine="1254"/>
        <w:spacing w:after="0" w:line="249" w:lineRule="auto"/>
        <w:tabs>
          <w:tab w:leader="none" w:pos="1866"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litigation or proceeding affecting any Group Member, any PC Entity or any of their respective businesses, properties or assets (i) in which the amount involved is in excess of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1900" w:h="16838" w:orient="portrait"/>
          <w:cols w:equalWidth="0" w:num="1">
            <w:col w:w="11240"/>
          </w:cols>
          <w:pgMar w:left="320" w:top="1353" w:right="339" w:bottom="1440" w:gutter="0" w:footer="0" w:header="0"/>
        </w:sectPr>
      </w:pPr>
    </w:p>
    <w:bookmarkStart w:id="218" w:name="page219"/>
    <w:bookmarkEnd w:id="218"/>
    <w:p>
      <w:pPr>
        <w:spacing w:after="0" w:line="249" w:lineRule="auto"/>
        <w:rPr>
          <w:sz w:val="20"/>
          <w:szCs w:val="20"/>
          <w:color w:val="auto"/>
        </w:rPr>
      </w:pPr>
      <w:r>
        <w:rPr>
          <w:rFonts w:ascii="Times New Roman" w:cs="Times New Roman" w:eastAsia="Times New Roman" w:hAnsi="Times New Roman"/>
          <w:sz w:val="19"/>
          <w:szCs w:val="19"/>
          <w:color w:val="auto"/>
        </w:rPr>
        <w:t>Threshold Amount and not covered by insurance, (ii) in which injunctive or similar relief is sought against any Group Member or (iii) which relates to any Loan Document;</w:t>
      </w:r>
    </w:p>
    <w:p>
      <w:pPr>
        <w:spacing w:after="0" w:line="133" w:lineRule="exact"/>
        <w:rPr>
          <w:sz w:val="20"/>
          <w:szCs w:val="20"/>
          <w:color w:val="auto"/>
        </w:rPr>
      </w:pPr>
    </w:p>
    <w:p>
      <w:pPr>
        <w:jc w:val="both"/>
        <w:ind w:firstLine="1254"/>
        <w:spacing w:after="0" w:line="218" w:lineRule="auto"/>
        <w:tabs>
          <w:tab w:leader="none" w:pos="1863" w:val="left"/>
        </w:tabs>
        <w:numPr>
          <w:ilvl w:val="0"/>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promptly after the Borrower has knowledge or becomes aware of the occurrence of any of the following ERISA Events affecting the Borrower or any ERISA Affiliate (but in no event more than 10 days after such event), the occurrence of any of the following ERISA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(A) an ERISA Event, (B) the adoption of any new Pension Plan by the Borrower or any ERISA Affiliate, (C) the adoption of any amendment to a Pension Plan, if such amendment will result in a material increase in benefits or unfunded benefit liabilities (as defined in Section 4001(a)(18) of ERISA), or (D) the commencement of contributions by the Borrower or any ERISA Affiliate to any Plan that is subject to Title IV of ERISA or Section 412 of the Code; and</w:t>
      </w:r>
    </w:p>
    <w:p>
      <w:pPr>
        <w:spacing w:after="0" w:line="170" w:lineRule="exact"/>
        <w:rPr>
          <w:rFonts w:ascii="Times New Roman" w:cs="Times New Roman" w:eastAsia="Times New Roman" w:hAnsi="Times New Roman"/>
          <w:sz w:val="19"/>
          <w:szCs w:val="19"/>
          <w:color w:val="auto"/>
        </w:rPr>
      </w:pPr>
    </w:p>
    <w:p>
      <w:pPr>
        <w:jc w:val="both"/>
        <w:ind w:firstLine="1880"/>
        <w:spacing w:after="0" w:line="258" w:lineRule="auto"/>
        <w:tabs>
          <w:tab w:leader="none" w:pos="2491"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(ii) (A) promptly after the giving, sending or filing thereof, or the receipt thereof, copies of (1) each Schedule B (Actuarial Information) to the annual report (Form 5500 Series) filed by Holdings or any of its ERISA Affiliates with the IRS with respect to each Pension Plan, (2) all notices received by Holdings or any of its ERISA Affiliates from a Multiemployer Plan sponsor concerning an ERISA Event, and (3) copies of such other documents or governmental reports or filings relating to any Plan as the Administrative Agent shall reasonably request; and (B), without limiting the generality of the foregoing, such certifications or other evidence of compliance with the provisions of </w:t>
      </w:r>
      <w:r>
        <w:rPr>
          <w:rFonts w:ascii="Times New Roman" w:cs="Times New Roman" w:eastAsia="Times New Roman" w:hAnsi="Times New Roman"/>
          <w:sz w:val="19"/>
          <w:szCs w:val="19"/>
          <w:u w:val="single" w:color="auto"/>
          <w:color w:val="auto"/>
        </w:rPr>
        <w:t>Sections 4.13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7.9</w:t>
      </w:r>
      <w:r>
        <w:rPr>
          <w:rFonts w:ascii="Times New Roman" w:cs="Times New Roman" w:eastAsia="Times New Roman" w:hAnsi="Times New Roman"/>
          <w:sz w:val="19"/>
          <w:szCs w:val="19"/>
          <w:color w:val="auto"/>
        </w:rPr>
        <w:t xml:space="preserve"> as any Lender (through the Administrative Agent) may from time to time reasonably request;</w:t>
      </w:r>
    </w:p>
    <w:p>
      <w:pPr>
        <w:spacing w:after="0" w:line="153" w:lineRule="exact"/>
        <w:rPr>
          <w:sz w:val="20"/>
          <w:szCs w:val="20"/>
          <w:color w:val="auto"/>
        </w:rPr>
      </w:pPr>
    </w:p>
    <w:p>
      <w:pPr>
        <w:ind w:left="1880" w:hanging="626"/>
        <w:spacing w:after="0"/>
        <w:tabs>
          <w:tab w:leader="none" w:pos="1880" w:val="left"/>
        </w:tabs>
        <w:numPr>
          <w:ilvl w:val="1"/>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Asset Sale undertaken by any Group Member, (ii) any issuance by any Group Member of any Capital Stock,</w:t>
      </w:r>
    </w:p>
    <w:p>
      <w:pPr>
        <w:jc w:val="both"/>
        <w:ind w:firstLine="4"/>
        <w:spacing w:after="0" w:line="221" w:lineRule="auto"/>
        <w:tabs>
          <w:tab w:leader="none" w:pos="352" w:val="left"/>
        </w:tabs>
        <w:numPr>
          <w:ilvl w:val="0"/>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incurrence by any Group Member of any Indebtedness (other than Indebtedness constituting Loans) in a principal amount equaling or exceeding $1,000,000, and (iv) with respect to any such Asset Sale, issuance of Capital Stock or incurrence of Indebtedness, the amount of any Net Cash Proceeds received by such Group Member in connection therewith;</w:t>
      </w:r>
    </w:p>
    <w:p>
      <w:pPr>
        <w:spacing w:after="0" w:line="155"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change in accounting policies or financial reporting practices by any Loan Party;</w:t>
      </w:r>
    </w:p>
    <w:p>
      <w:pPr>
        <w:spacing w:after="0" w:line="172"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3"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Loan Party, any Subsidiary or, to the knowledge of the Loan Parties, any PC Entity or any of their respective Licensed Personnel is currently, or hereafter becomes, subject to any federal, state, local governmental civil or criminal investigations, inquiries or audits involving and/or related to its compliance with Health Care Laws which, if adversely determined, would reasonably be expected to have a Material Adverse Effect;</w:t>
      </w:r>
    </w:p>
    <w:p>
      <w:pPr>
        <w:spacing w:after="0" w:line="153" w:lineRule="exact"/>
        <w:rPr>
          <w:rFonts w:ascii="Times New Roman" w:cs="Times New Roman" w:eastAsia="Times New Roman" w:hAnsi="Times New Roman"/>
          <w:sz w:val="19"/>
          <w:szCs w:val="19"/>
          <w:color w:val="auto"/>
        </w:rPr>
      </w:pPr>
    </w:p>
    <w:p>
      <w:pPr>
        <w:ind w:firstLine="1254"/>
        <w:spacing w:after="0" w:line="249" w:lineRule="auto"/>
        <w:tabs>
          <w:tab w:leader="none" w:pos="1873"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written charges of licensing violations under applicable Health Care Laws involving any Loan Party, any Subsidiary or any PC Entity which, if not timely corrected, would reasonably be expected to have a Material Adverse Effect;</w:t>
      </w:r>
    </w:p>
    <w:p>
      <w:pPr>
        <w:spacing w:after="0" w:line="132"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73"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fines or penalties imposed by any Governmental Authority under any Health Care Law against any Loan Party, any Subsidiary, any PC Entity or, to the knowledge of any Loan Party, any Licensed Personnel, which would reasonably be expected to have a Material Adverse Effect;</w:t>
      </w:r>
    </w:p>
    <w:p>
      <w:pPr>
        <w:spacing w:after="0" w:line="142"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3"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written allegations by any Governmental Authority (or any agent thereof) of fraudulent activities in violation of applicable Health Care Laws of any Loan Party, any Subsidiary, any PC Entity or, to the knowledge of any Loan Party, any Licensed Personnel, which if adversely determined, would reasonably be expected to have a Material Adverse Effect;</w:t>
      </w:r>
    </w:p>
    <w:p>
      <w:pPr>
        <w:spacing w:after="0" w:line="142" w:lineRule="exact"/>
        <w:rPr>
          <w:rFonts w:ascii="Times New Roman" w:cs="Times New Roman" w:eastAsia="Times New Roman" w:hAnsi="Times New Roman"/>
          <w:sz w:val="19"/>
          <w:szCs w:val="19"/>
          <w:color w:val="auto"/>
        </w:rPr>
      </w:pPr>
    </w:p>
    <w:p>
      <w:pPr>
        <w:ind w:firstLine="1254"/>
        <w:spacing w:after="0" w:line="249" w:lineRule="auto"/>
        <w:tabs>
          <w:tab w:leader="none" w:pos="1873" w:val="left"/>
        </w:tabs>
        <w:numPr>
          <w:ilvl w:val="1"/>
          <w:numId w:val="1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enforcement action taken by or on behalf of any Loan Party or any Subsidiary under any Continuity Agreement, specifying the nature and extent thereof; and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ectPr>
          <w:pgSz w:w="11900" w:h="16838" w:orient="portrait"/>
          <w:cols w:equalWidth="0" w:num="1">
            <w:col w:w="11240"/>
          </w:cols>
          <w:pgMar w:left="320" w:top="1354" w:right="339" w:bottom="1440" w:gutter="0" w:footer="0" w:header="0"/>
        </w:sectPr>
      </w:pPr>
    </w:p>
    <w:bookmarkStart w:id="219" w:name="page220"/>
    <w:bookmarkEnd w:id="219"/>
    <w:p>
      <w:pPr>
        <w:ind w:left="1860" w:hanging="606"/>
        <w:spacing w:after="0"/>
        <w:tabs>
          <w:tab w:leader="none" w:pos="186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development or event that has had or could reasonably be expected to have a Material Adverse Effect.</w:t>
      </w:r>
    </w:p>
    <w:p>
      <w:pPr>
        <w:spacing w:after="0" w:line="19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9"/>
          <w:szCs w:val="19"/>
          <w:color w:val="auto"/>
        </w:rPr>
        <w:t xml:space="preserve">Each notice pursuant to this </w:t>
      </w:r>
      <w:r>
        <w:rPr>
          <w:rFonts w:ascii="Times New Roman" w:cs="Times New Roman" w:eastAsia="Times New Roman" w:hAnsi="Times New Roman"/>
          <w:sz w:val="19"/>
          <w:szCs w:val="19"/>
          <w:u w:val="single" w:color="auto"/>
          <w:color w:val="auto"/>
        </w:rPr>
        <w:t>Section 6.8</w:t>
      </w:r>
      <w:r>
        <w:rPr>
          <w:rFonts w:ascii="Times New Roman" w:cs="Times New Roman" w:eastAsia="Times New Roman" w:hAnsi="Times New Roman"/>
          <w:sz w:val="19"/>
          <w:szCs w:val="19"/>
          <w:color w:val="auto"/>
        </w:rPr>
        <w:t xml:space="preserve"> shall be accompanied by a statement of a Responsible Officer setting forth details of the occurrence referred to therein and stating what action the relevant Group Member proposes to take with respect thereto.</w:t>
      </w:r>
    </w:p>
    <w:p>
      <w:pPr>
        <w:spacing w:after="0" w:line="14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6.9</w:t>
      </w:r>
      <w:r>
        <w:rPr>
          <w:sz w:val="20"/>
          <w:szCs w:val="20"/>
          <w:color w:val="auto"/>
        </w:rPr>
        <w:tab/>
      </w:r>
      <w:r>
        <w:rPr>
          <w:rFonts w:ascii="Times New Roman" w:cs="Times New Roman" w:eastAsia="Times New Roman" w:hAnsi="Times New Roman"/>
          <w:sz w:val="19"/>
          <w:szCs w:val="19"/>
          <w:b w:val="1"/>
          <w:bCs w:val="1"/>
          <w:color w:val="auto"/>
        </w:rPr>
        <w:t>Environmental Laws.</w:t>
      </w:r>
    </w:p>
    <w:p>
      <w:pPr>
        <w:spacing w:after="0" w:line="187" w:lineRule="exact"/>
        <w:rPr>
          <w:sz w:val="20"/>
          <w:szCs w:val="20"/>
          <w:color w:val="auto"/>
        </w:rPr>
      </w:pPr>
    </w:p>
    <w:p>
      <w:pPr>
        <w:jc w:val="both"/>
        <w:ind w:firstLine="1254"/>
        <w:spacing w:after="0" w:line="222" w:lineRule="auto"/>
        <w:tabs>
          <w:tab w:leader="none" w:pos="1866"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would not reasonably be expected to have a Material Adverse Effect,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licenses, approvals, notifications, registrations or permits required by applicable Environmental Laws.</w:t>
      </w:r>
    </w:p>
    <w:p>
      <w:pPr>
        <w:spacing w:after="0" w:line="155"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3"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would not reasonably be expected to have a Material Adverse Effect, conduct and complete all investigations, studies, sampling and testing, and all remedial, removal and other corrective actions required under Environmental Laws and promptly comply in all material respects with all lawful orders and directives of all Governmental Authorities regarding Environmental Laws;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Holdings and the Borrower shall not be required to undertake any such actions to the extent that their obligation to do so is being contested in good faith and by proper proceedings (and the prosecution of such contest would not reasonably be expected to result in a Material Adverse Effect) and appropriate reserves are being maintained with respect to such circumstances in accordance with GAAP.</w:t>
      </w:r>
    </w:p>
    <w:p>
      <w:pPr>
        <w:spacing w:after="0" w:line="15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6.10</w:t>
        <w:tab/>
        <w:t>Controlled Accounts</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jc w:val="both"/>
        <w:ind w:firstLine="1254"/>
        <w:spacing w:after="0" w:line="229" w:lineRule="auto"/>
        <w:tabs>
          <w:tab w:leader="none" w:pos="1866"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90 days after the Closing Date, open and maintain each Loan Party’s primary Deposit Accounts and Securities Accounts with SVB or with SVB’s Affiliates and all other domestic Deposit Accounts and Securities Accounts with a Lender of an Affiliate thereof.</w:t>
      </w:r>
    </w:p>
    <w:p>
      <w:pPr>
        <w:spacing w:after="0" w:line="156" w:lineRule="exact"/>
        <w:rPr>
          <w:rFonts w:ascii="Times New Roman" w:cs="Times New Roman" w:eastAsia="Times New Roman" w:hAnsi="Times New Roman"/>
          <w:sz w:val="19"/>
          <w:szCs w:val="19"/>
          <w:color w:val="auto"/>
        </w:rPr>
      </w:pPr>
    </w:p>
    <w:p>
      <w:pPr>
        <w:jc w:val="both"/>
        <w:ind w:firstLine="1254"/>
        <w:spacing w:after="0" w:line="220" w:lineRule="auto"/>
        <w:tabs>
          <w:tab w:leader="none" w:pos="1863"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90 days after the Closing Date, deliver to the Administrative Agent a Control Agreement with respect to each of the Deposit Accounts and Securities Accounts that are not Excluded Accounts and are set forth on </w:t>
      </w:r>
      <w:r>
        <w:rPr>
          <w:rFonts w:ascii="Times New Roman" w:cs="Times New Roman" w:eastAsia="Times New Roman" w:hAnsi="Times New Roman"/>
          <w:sz w:val="19"/>
          <w:szCs w:val="19"/>
          <w:u w:val="single" w:color="auto"/>
          <w:color w:val="auto"/>
        </w:rPr>
        <w:t>Schedule 6.10</w:t>
      </w:r>
      <w:r>
        <w:rPr>
          <w:rFonts w:ascii="Times New Roman" w:cs="Times New Roman" w:eastAsia="Times New Roman" w:hAnsi="Times New Roman"/>
          <w:sz w:val="19"/>
          <w:szCs w:val="19"/>
          <w:color w:val="auto"/>
        </w:rPr>
        <w:t>. The Loan Parties may establish new Controlled Accounts so long as the Loan Parties deliver to the Administrative Agent a Control Agreement with respect to such Controlled Account within 90 days (or, if an Event of Default has occurred and is continuing, prior to the transfer or deposit of any funds or property to such account) after the creation of such Controlled Account.</w:t>
      </w:r>
    </w:p>
    <w:p>
      <w:pPr>
        <w:spacing w:after="0" w:line="15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6.11</w:t>
        <w:tab/>
        <w:t>Audits</w:t>
      </w:r>
      <w:r>
        <w:rPr>
          <w:rFonts w:ascii="Times New Roman" w:cs="Times New Roman" w:eastAsia="Times New Roman" w:hAnsi="Times New Roman"/>
          <w:sz w:val="19"/>
          <w:szCs w:val="19"/>
          <w:color w:val="auto"/>
        </w:rPr>
        <w:t>. At reasonable times, on one Business Day’s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no notice is required if an Event of Default has occurred</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and is continuing), the Administrative Agent, or its agents, shall have the right to inspect the Collateral and the right to audit and copy any and all of any Loan Party’s books and records including ledgers, federal, state and other tax returns, records regarding assets or liabilities, the Collateral,</w:t>
      </w:r>
    </w:p>
    <w:p>
      <w:pPr>
        <w:spacing w:after="0" w:line="215" w:lineRule="auto"/>
        <w:rPr>
          <w:sz w:val="20"/>
          <w:szCs w:val="20"/>
          <w:color w:val="auto"/>
        </w:rPr>
      </w:pPr>
      <w:r>
        <w:rPr>
          <w:rFonts w:ascii="Times New Roman" w:cs="Times New Roman" w:eastAsia="Times New Roman" w:hAnsi="Times New Roman"/>
          <w:sz w:val="19"/>
          <w:szCs w:val="19"/>
          <w:color w:val="auto"/>
        </w:rPr>
        <w:t>business operations or financial condition, and all computer programs or storage or any equipment containing such information. The foregoing</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inspections and audits shall be at the Borrower’s expense, and the charge therefor shall be $1,000 per person per day (or such higher amount as shall represent the Administrative Agent’s then-current standard charge for the same),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reasonable out-of-pocket expenses. Such inspections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audits shall not be undertaken more frequently than once per year, unless an Event of Default has occurred and is continuing.</w:t>
      </w:r>
    </w:p>
    <w:p>
      <w:pPr>
        <w:spacing w:after="0" w:line="16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6.12</w:t>
        <w:tab/>
        <w:t>Additional Collateral, etc.</w:t>
      </w:r>
    </w:p>
    <w:p>
      <w:pPr>
        <w:spacing w:after="0" w:line="174" w:lineRule="exact"/>
        <w:rPr>
          <w:sz w:val="20"/>
          <w:szCs w:val="20"/>
          <w:color w:val="auto"/>
        </w:rPr>
      </w:pPr>
    </w:p>
    <w:p>
      <w:pPr>
        <w:jc w:val="both"/>
        <w:ind w:firstLine="1254"/>
        <w:spacing w:after="0" w:line="234" w:lineRule="auto"/>
        <w:tabs>
          <w:tab w:leader="none" w:pos="1866"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property (to the extent included in the definition of Collateral and not constituting Excluded Assets) acquired after the Closing Date by any Loan Party (other than any property described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below) as to which the Administrative Agent, for the benefit of the Secured Parties, does not have a perfected Lien, promptly (and in any event within 30 days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ectPr>
          <w:pgSz w:w="11900" w:h="16838" w:orient="portrait"/>
          <w:cols w:equalWidth="0" w:num="1">
            <w:col w:w="11240"/>
          </w:cols>
          <w:pgMar w:left="320" w:top="1354"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9"/>
          <w:szCs w:val="19"/>
          <w:color w:val="auto"/>
        </w:rPr>
        <w:t>or such longer period as the Administrative Agent shall agree in its sole discretion) (i) execute and deliver to the Administrative Agent such</w:t>
      </w:r>
    </w:p>
    <w:p>
      <w:pPr>
        <w:spacing w:after="0" w:line="207" w:lineRule="auto"/>
        <w:rPr>
          <w:sz w:val="20"/>
          <w:szCs w:val="20"/>
          <w:color w:val="auto"/>
        </w:rPr>
      </w:pPr>
      <w:r>
        <w:rPr>
          <w:rFonts w:ascii="Times New Roman" w:cs="Times New Roman" w:eastAsia="Times New Roman" w:hAnsi="Times New Roman"/>
          <w:sz w:val="19"/>
          <w:szCs w:val="19"/>
          <w:color w:val="auto"/>
        </w:rPr>
        <w:t>amendments to the Guarantee and Collateral Agreement or such other documents as the Administrative Agent deems necessary or advisable to evidence that such Loan Party is a Guarantor and to grant to the Administrative Agent, for the ratable benefit of the Secured Parties, a security</w:t>
      </w:r>
    </w:p>
    <w:p>
      <w:pPr>
        <w:spacing w:after="0" w:line="215" w:lineRule="auto"/>
        <w:rPr>
          <w:sz w:val="20"/>
          <w:szCs w:val="20"/>
          <w:color w:val="auto"/>
        </w:rPr>
      </w:pPr>
      <w:r>
        <w:rPr>
          <w:rFonts w:ascii="Times New Roman" w:cs="Times New Roman" w:eastAsia="Times New Roman" w:hAnsi="Times New Roman"/>
          <w:sz w:val="19"/>
          <w:szCs w:val="19"/>
          <w:color w:val="auto"/>
        </w:rPr>
        <w:t>interest in such property and (ii) take all actions necessary or advisable in the opinion of the Administrative Agent to grant to the Administrative</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Agent, for the ratable benefit of the Secured Parties, a perfected first priority (except with respect to Liens expressly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to have priority over the Lien of the Administrative Agent) security interest and Lien in such property, including the filing of Uniform Commercial</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Code financing statements in such jurisdictions as may be required by the Guarantee and Collateral Agreement or by law or as may be requested by the Administrative Agent.</w:t>
      </w:r>
    </w:p>
    <w:p>
      <w:pPr>
        <w:spacing w:after="0" w:line="142" w:lineRule="exact"/>
        <w:rPr>
          <w:sz w:val="20"/>
          <w:szCs w:val="20"/>
          <w:color w:val="auto"/>
        </w:rPr>
      </w:pPr>
    </w:p>
    <w:p>
      <w:pPr>
        <w:jc w:val="both"/>
        <w:ind w:firstLine="1254"/>
        <w:spacing w:after="0" w:line="216" w:lineRule="auto"/>
        <w:tabs>
          <w:tab w:leader="none" w:pos="1863"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fee interest in any real property having a fair market value (together with improvements thereof) of at least $1,000,000 acquired after the Closing Date by any Loan Party, promptly (and in any event within 90 days or such longer time period as the Administrative Agent may agree in its reasonable discretion), to the extent requested by the Administrative Agent, (i) execute and deliver a first priority Mortgage, in favor of the Administrative Agent, for the ratable benefit of the Secured Parties, covering such real property, (ii) if requested by the Administrative Agent, provide the Lenders with (x) title and extended coverage insurance covering such real property in an amount at least equal to the purchase price of such real property (or such other amount as shall be reasonably specified by the Administrative Agent) as well as a current ALTA survey thereof, together with a surveyor’s certificate, and (y) any consents or estoppels reasonably deemed necessary or advisable by the Administrative Agent in connection with such Mortgage,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56" w:lineRule="exact"/>
        <w:rPr>
          <w:rFonts w:ascii="Times New Roman" w:cs="Times New Roman" w:eastAsia="Times New Roman" w:hAnsi="Times New Roman"/>
          <w:sz w:val="19"/>
          <w:szCs w:val="19"/>
          <w:color w:val="auto"/>
        </w:rPr>
      </w:pPr>
    </w:p>
    <w:p>
      <w:pPr>
        <w:jc w:val="both"/>
        <w:ind w:firstLine="1254"/>
        <w:spacing w:after="0" w:line="213" w:lineRule="auto"/>
        <w:tabs>
          <w:tab w:leader="none" w:pos="1866"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new direct or indirect Material Domestic Subsidiary created or acquired after the Closing Date by any Loan Party (including pursuant to a Permitted Acquisition), or any new Subsidiary formed by Division, promptly (i) execute and deliver to the Administrative Agent such amendments to the Guarantee and Collateral Agreement as the Administrative Agent deems necessary or advisable to grant to the Administrative Agent, for the ratable benefit of the Secured Parties, a perfected first priority security interest in the Capital Stock of such new Material Domestic Subsidiary that is owned directly or indirectly by such Loan Party, (ii) deliver to the Administrative Agent such documents and instruments as may be required to grant, perfect, protect and ensure the priority of such security interest, including but not limited to, the certificates representing such Capital Stock, together with undated stock powers, in blank, executed and delivered by a duly authorized officer of the relevant Loan Party, (iii) cause such new Material Domestic Subsidiary (A) to become a party to the Guarantee and Collateral Agreement, (B) to take such actions as are necessary or advisable in the opinion of the Administrative Agent to grant to the Administrative Agent for the benefit of the Secured Parties a perfected first priority security interest in the Collateral described in the Guarantee and Collateral Agreement, with respect to such new Material Domestic Subsidiary, including the filing of Uniform Commercial Code financing statements in such jurisdictions as may be required by the Guarantee and Collateral Agreement or by law or as may be requested by the Administrative Agent and (C) to deliver to the Administrative Agent a certificate of such Material Domestic Subsidiary, in a form reasonably satisfactory to the Administrative Agent,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it being agreed that if such new Subsidiary is formed by a Division, the foregoing requirements shall be satisfied substantially concurrently with the formation of such Subsidiary.</w:t>
      </w:r>
    </w:p>
    <w:p>
      <w:pPr>
        <w:spacing w:after="0" w:line="155"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3"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new First Tier Foreign Subsidiary created or acquired after the Closing Date by any Loan Party, promptly (i) execute and deliver to the Administrative Agent such amendments to the Guarantee and Collateral Agreement, as the Administrative Agent deems necessary or advisable to grant to the Administrative Agent, for the benefit of the Secured Parties, a perfected first priority security interest in the Capital Stock of such new First Tier Foreign Subsidiary that is owned by any such 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voting Capital Stock, in no event shall more than 65.0% of the total outstanding voting Capital Stock of any such new First Tier Foreign Subsidiary be required to</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ectPr>
          <w:pgSz w:w="11900" w:h="16838" w:orient="portrait"/>
          <w:cols w:equalWidth="0" w:num="1">
            <w:col w:w="11240"/>
          </w:cols>
          <w:pgMar w:left="320" w:top="1353" w:right="339" w:bottom="1440" w:gutter="0" w:footer="0" w:header="0"/>
        </w:sectPr>
      </w:pPr>
    </w:p>
    <w:bookmarkStart w:id="221" w:name="page222"/>
    <w:bookmarkEnd w:id="221"/>
    <w:p>
      <w:pPr>
        <w:jc w:val="both"/>
        <w:spacing w:after="0" w:line="219" w:lineRule="auto"/>
        <w:rPr>
          <w:sz w:val="20"/>
          <w:szCs w:val="20"/>
          <w:color w:val="auto"/>
        </w:rPr>
      </w:pPr>
      <w:r>
        <w:rPr>
          <w:rFonts w:ascii="Times New Roman" w:cs="Times New Roman" w:eastAsia="Times New Roman" w:hAnsi="Times New Roman"/>
          <w:sz w:val="19"/>
          <w:szCs w:val="19"/>
          <w:color w:val="auto"/>
        </w:rPr>
        <w:t>be so pledged to the extent the pledge of any greater percentage would result in material adverse tax consequences to Borrower or its equity holders (it being agreed that 100% of all such stock shall be pledged if a change in law eliminates such material adverse tax consequences)),</w:t>
      </w:r>
    </w:p>
    <w:p>
      <w:pPr>
        <w:spacing w:after="0" w:line="1" w:lineRule="exact"/>
        <w:rPr>
          <w:sz w:val="20"/>
          <w:szCs w:val="20"/>
          <w:color w:val="auto"/>
        </w:rPr>
      </w:pPr>
    </w:p>
    <w:p>
      <w:pPr>
        <w:jc w:val="both"/>
        <w:ind w:firstLine="4"/>
        <w:spacing w:after="0" w:line="218" w:lineRule="auto"/>
        <w:tabs>
          <w:tab w:leader="none" w:pos="297"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 to the Administrative Agent the certificates representing such Capital Stock, together with undated stock powers, in blank, executed and delivered by a duly authorized officer of the relevant Loan Party, and take such other action (including, as applicable, the delivery of any foreign law pledge documents reasonably requested by the Administrative Agent) as may be necessary or, in the opinion of the Administrative Agent, desirable to perfect the Administrative Agent’s security interest therein, and (iii)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41" w:lineRule="exact"/>
        <w:rPr>
          <w:rFonts w:ascii="Times New Roman" w:cs="Times New Roman" w:eastAsia="Times New Roman" w:hAnsi="Times New Roman"/>
          <w:sz w:val="19"/>
          <w:szCs w:val="19"/>
          <w:color w:val="auto"/>
        </w:rPr>
      </w:pPr>
    </w:p>
    <w:p>
      <w:pPr>
        <w:jc w:val="both"/>
        <w:ind w:firstLine="1254"/>
        <w:spacing w:after="0" w:line="222" w:lineRule="auto"/>
        <w:tabs>
          <w:tab w:leader="none" w:pos="1866"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request of the Administrative Agent, each Loan Party shall use commercially reasonable efforts to obtain a landlord’s agreement or bailee letter, as applicable, from the lessor of each leased property or bailee with respect to any warehouse, processor or converter facility or other location where Collateral is stored or located, which agreement or letter shall contain a waiver or subordination of all Liens or claims that the landlord or bailee may assert against the Collateral at that location, and shall otherwise be reasonably satisfactory in form and substance to the Administrative Agent. Each Loan Party shall pay and perform its material obligations under all leases and other agreements with respect to each leased location or public warehouse where any Collateral is or may be located.</w:t>
      </w:r>
    </w:p>
    <w:p>
      <w:pPr>
        <w:spacing w:after="0" w:line="141"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71" w:val="left"/>
        </w:tabs>
        <w:numPr>
          <w:ilvl w:val="1"/>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Parties shall promptly upon the formation, acquisition or entering into any contractual relationship with any PC Entity (and in any event within 30 days after the formation or acquisition thereof (or such later date as may be agreed by the Administrative Agent in its sole discretion)), perform, or cause to be performed, all actions necessary to, and otherwise reasonably required by the Administrative Agent to, cause such PC Entity to become a Qualified PC Entity.</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6.13</w:t>
        <w:tab/>
        <w:t>Compliance with Health Care Laws.</w:t>
      </w:r>
    </w:p>
    <w:p>
      <w:pPr>
        <w:spacing w:after="0" w:line="174" w:lineRule="exact"/>
        <w:rPr>
          <w:sz w:val="20"/>
          <w:szCs w:val="20"/>
          <w:color w:val="auto"/>
        </w:rPr>
      </w:pPr>
    </w:p>
    <w:p>
      <w:pPr>
        <w:jc w:val="both"/>
        <w:ind w:firstLine="1254"/>
        <w:spacing w:after="0" w:line="234" w:lineRule="auto"/>
        <w:tabs>
          <w:tab w:leader="none" w:pos="1866"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shall comply and cause its Subsidiaries and, to the extent required by applicable laws, each PC Entity to comply with all applicable Health Care Laws relating to the operation of such Person’s business, except where non-compliance would not reasonably be expected to have a Material Adverse Effect.</w:t>
      </w:r>
    </w:p>
    <w:p>
      <w:pPr>
        <w:spacing w:after="0" w:line="142"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3"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any Loan Party, any Subsidiary or any PC Entity participates in or contracts with any Third Party Payor Program, each Loan Party shall comply and cause its Subsidiaries and, to the extent required or permitted by applicable laws, each PC Entity to comply with all the applicable requirements of such Third Party Payor Program, except where non-compliance would not reasonably be expected to have a Material Adverse Effect.</w:t>
      </w:r>
    </w:p>
    <w:p>
      <w:pPr>
        <w:spacing w:after="0" w:line="153"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6"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shall maintain and cause its Subsidiaries and, to the extent permitted by applicable laws, each PC Entity to maintain all records required to be maintained by any Governmental Authority or otherwise under any Health Care Laws, except where the failure to maintain such records would not reasonably be expected to have a Material Adverse Effect.</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Loan Party shall keep in full force and effect and cause its Subsidiaries and, to the extent permitted by applicable laws, each PC Entity to keep in full force and effect all Authorizations required to operate such Person’s business under applicable Health Care Laws, which, if not maintained, would reasonably be expected to have a Material Adverse Effect.</w:t>
      </w:r>
    </w:p>
    <w:p>
      <w:pPr>
        <w:spacing w:after="0" w:line="15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6.14</w:t>
        <w:tab/>
        <w:t xml:space="preserve">Use of Proceeds. </w:t>
      </w:r>
      <w:r>
        <w:rPr>
          <w:rFonts w:ascii="Times New Roman" w:cs="Times New Roman" w:eastAsia="Times New Roman" w:hAnsi="Times New Roman"/>
          <w:sz w:val="19"/>
          <w:szCs w:val="19"/>
          <w:color w:val="auto"/>
        </w:rPr>
        <w:t>Use the proceeds of each Credit Extension only for the purposes specified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4.16</w:t>
      </w:r>
      <w:r>
        <w:rPr>
          <w:rFonts w:ascii="Times New Roman" w:cs="Times New Roman" w:eastAsia="Times New Roman" w:hAnsi="Times New Roman"/>
          <w:sz w:val="19"/>
          <w:szCs w:val="19"/>
          <w:color w:val="auto"/>
        </w:rPr>
        <w:t>.</w:t>
      </w:r>
    </w:p>
    <w:p>
      <w:pPr>
        <w:spacing w:after="0" w:line="185"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6.15 Designated Senior Indebtedness</w:t>
      </w:r>
      <w:r>
        <w:rPr>
          <w:rFonts w:ascii="Times New Roman" w:cs="Times New Roman" w:eastAsia="Times New Roman" w:hAnsi="Times New Roman"/>
          <w:sz w:val="19"/>
          <w:szCs w:val="19"/>
          <w:color w:val="auto"/>
        </w:rPr>
        <w:t>. Cause the Loan Documents and all of the Obligations (other than any such Obligations arising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connection with Cash Management Services) to be deemed “Designated Senior Indebtedness” or a similar concept thereto, if applicable,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purposes of any Indebtedness of the Loan Parties.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90</w:t>
      </w:r>
    </w:p>
    <w:p>
      <w:pPr>
        <w:sectPr>
          <w:pgSz w:w="11900" w:h="16838" w:orient="portrait"/>
          <w:cols w:equalWidth="0" w:num="1">
            <w:col w:w="11240"/>
          </w:cols>
          <w:pgMar w:left="320" w:top="1354" w:right="339" w:bottom="1440" w:gutter="0" w:footer="0" w:header="0"/>
        </w:sectPr>
      </w:pPr>
    </w:p>
    <w:bookmarkStart w:id="222" w:name="page223"/>
    <w:bookmarkEnd w:id="222"/>
    <w:p>
      <w:pPr>
        <w:jc w:val="both"/>
        <w:ind w:firstLine="625"/>
        <w:spacing w:after="0" w:line="251" w:lineRule="auto"/>
        <w:rPr>
          <w:sz w:val="20"/>
          <w:szCs w:val="20"/>
          <w:color w:val="auto"/>
        </w:rPr>
      </w:pPr>
      <w:r>
        <w:rPr>
          <w:rFonts w:ascii="Times New Roman" w:cs="Times New Roman" w:eastAsia="Times New Roman" w:hAnsi="Times New Roman"/>
          <w:sz w:val="19"/>
          <w:szCs w:val="19"/>
          <w:b w:val="1"/>
          <w:bCs w:val="1"/>
          <w:color w:val="auto"/>
        </w:rPr>
        <w:t xml:space="preserve">6.16 Anti-Corruption Laws. </w:t>
      </w:r>
      <w:r>
        <w:rPr>
          <w:rFonts w:ascii="Times New Roman" w:cs="Times New Roman" w:eastAsia="Times New Roman" w:hAnsi="Times New Roman"/>
          <w:sz w:val="19"/>
          <w:szCs w:val="19"/>
          <w:color w:val="auto"/>
        </w:rPr>
        <w:t>Conduct its business in compliance with all applicable anti-corruption laws and maintain policies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procedures designated to promote and achieve compliance with such laws.</w:t>
      </w:r>
    </w:p>
    <w:p>
      <w:pPr>
        <w:spacing w:after="0" w:line="129" w:lineRule="exact"/>
        <w:rPr>
          <w:sz w:val="20"/>
          <w:szCs w:val="20"/>
          <w:color w:val="auto"/>
        </w:rPr>
      </w:pPr>
    </w:p>
    <w:p>
      <w:pPr>
        <w:jc w:val="both"/>
        <w:ind w:firstLine="625"/>
        <w:spacing w:after="0" w:line="235" w:lineRule="auto"/>
        <w:rPr>
          <w:sz w:val="20"/>
          <w:szCs w:val="20"/>
          <w:color w:val="auto"/>
        </w:rPr>
      </w:pPr>
      <w:r>
        <w:rPr>
          <w:rFonts w:ascii="Times New Roman" w:cs="Times New Roman" w:eastAsia="Times New Roman" w:hAnsi="Times New Roman"/>
          <w:sz w:val="19"/>
          <w:szCs w:val="19"/>
          <w:b w:val="1"/>
          <w:bCs w:val="1"/>
          <w:color w:val="auto"/>
        </w:rPr>
        <w:t xml:space="preserve">6.17 Further Assurances. </w:t>
      </w:r>
      <w:r>
        <w:rPr>
          <w:rFonts w:ascii="Times New Roman" w:cs="Times New Roman" w:eastAsia="Times New Roman" w:hAnsi="Times New Roman"/>
          <w:sz w:val="19"/>
          <w:szCs w:val="19"/>
          <w:color w:val="auto"/>
        </w:rPr>
        <w:t>Execute any further instruments and take such further action as the Administrative Agent reasonably deems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necessary to perfect, protect, ensure the priority of or continue the Administrative Agent’s Lien on the Collateral or to effect the purposes of this Agreement.</w:t>
      </w:r>
    </w:p>
    <w:p>
      <w:pPr>
        <w:spacing w:after="0" w:line="14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6.18</w:t>
        <w:tab/>
        <w:t>PC Entities.</w:t>
      </w:r>
    </w:p>
    <w:p>
      <w:pPr>
        <w:spacing w:after="0" w:line="187" w:lineRule="exact"/>
        <w:rPr>
          <w:sz w:val="20"/>
          <w:szCs w:val="20"/>
          <w:color w:val="auto"/>
        </w:rPr>
      </w:pPr>
    </w:p>
    <w:p>
      <w:pPr>
        <w:jc w:val="both"/>
        <w:ind w:firstLine="1254"/>
        <w:spacing w:after="0" w:line="223" w:lineRule="auto"/>
        <w:tabs>
          <w:tab w:leader="none" w:pos="1866"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take all reasonable steps to not allow any event, condition or circumstance to occur that would result in a default under any of the PC Documents by any Loan Party, and shall take all reasonable steps to seek to enforce all of its rights under each PC Document, in each case, except where the failure to do so would not reasonably be expected to have, individually or in the aggregate, a Material Adverse Effect. The Loan Parties shall maintain the security interest referred to in </w:t>
      </w:r>
      <w:r>
        <w:rPr>
          <w:rFonts w:ascii="Times New Roman" w:cs="Times New Roman" w:eastAsia="Times New Roman" w:hAnsi="Times New Roman"/>
          <w:sz w:val="19"/>
          <w:szCs w:val="19"/>
          <w:u w:val="single" w:color="auto"/>
          <w:color w:val="auto"/>
        </w:rPr>
        <w:t>Section 4.19(c)</w:t>
      </w:r>
      <w:r>
        <w:rPr>
          <w:rFonts w:ascii="Times New Roman" w:cs="Times New Roman" w:eastAsia="Times New Roman" w:hAnsi="Times New Roman"/>
          <w:sz w:val="19"/>
          <w:szCs w:val="19"/>
          <w:color w:val="auto"/>
        </w:rPr>
        <w:t xml:space="preserve"> hereof as a fully perfected and enforceable Lien in the collateral of each such PC Entity.</w:t>
      </w:r>
    </w:p>
    <w:p>
      <w:pPr>
        <w:spacing w:after="0" w:line="144"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deliver to the Administrative Agent, promptly following the receipt thereof, any written notices of material defaults or notices of termination received from any PC Entity, or given by the Borrower to any PC Entity, under any PC Document.</w:t>
      </w:r>
    </w:p>
    <w:p>
      <w:pPr>
        <w:spacing w:after="0" w:line="145"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6"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following the appointment of an additional holder of Capital Stock or a successor owner of any PC Entity as described in the Continuity Agreements, Borrower shall notify Agent of such appointment of such additional holder or successor owner and confirm the name of such additional holder or successor owner and that such Person (i) is licensed to practice medicine in the state in which such PC Entity has been formed and operates or otherwise eligible to be a holder of Capital Stock or a successor owner of such PC Entity under the applicable laws of such state, and (ii) is not excluded from participating in any federal health care programs (as defined in 42 U.S.C. § 1320a-7b(f)).</w:t>
      </w:r>
    </w:p>
    <w:p>
      <w:pPr>
        <w:spacing w:after="0" w:line="14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6.19</w:t>
        <w:tab/>
        <w:t>Equity Proceeds Collection Account.</w:t>
      </w:r>
    </w:p>
    <w:p>
      <w:pPr>
        <w:spacing w:after="0" w:line="187" w:lineRule="exact"/>
        <w:rPr>
          <w:sz w:val="20"/>
          <w:szCs w:val="20"/>
          <w:color w:val="auto"/>
        </w:rPr>
      </w:pPr>
    </w:p>
    <w:p>
      <w:pPr>
        <w:jc w:val="both"/>
        <w:ind w:firstLine="1254"/>
        <w:spacing w:after="0" w:line="229" w:lineRule="auto"/>
        <w:tabs>
          <w:tab w:leader="none" w:pos="1866"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10 days after the Third Amendment Effective Date, open and maintain the Collection Account with SVB or with SVB’s Affiliates until (x) the prepayment obligation under Section 2.12(g) is satisfied and (y) all obligations under the Fund Guarantee are satisfied.</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10 Business Days after the Third Amendment Effective Date (or longer period as the Administrative Agent may agree in its sole discretion), deliver to the Administrative Agent a Control Agreement with respect to the Collection Account in form and substance satisfactory to the Administrative Agent.</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6"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but in any event within 2 Business Days upon receipt of any Net Cash Proceeds (excluding any proceeds received from any Fund Guarantor) of any issuance of Capital Stock by the Group Members, transfer such proceeds to the Collection Account until the prepayment obligation under </w:t>
      </w:r>
      <w:r>
        <w:rPr>
          <w:rFonts w:ascii="Times New Roman" w:cs="Times New Roman" w:eastAsia="Times New Roman" w:hAnsi="Times New Roman"/>
          <w:sz w:val="19"/>
          <w:szCs w:val="19"/>
          <w:u w:val="single" w:color="auto"/>
          <w:color w:val="auto"/>
        </w:rPr>
        <w:t>Section 2.12(g)</w:t>
      </w:r>
      <w:r>
        <w:rPr>
          <w:rFonts w:ascii="Times New Roman" w:cs="Times New Roman" w:eastAsia="Times New Roman" w:hAnsi="Times New Roman"/>
          <w:sz w:val="19"/>
          <w:szCs w:val="19"/>
          <w:color w:val="auto"/>
        </w:rPr>
        <w:t xml:space="preserve"> is satisfied.</w:t>
      </w:r>
    </w:p>
    <w:p>
      <w:pPr>
        <w:spacing w:after="0" w:line="15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6.20</w:t>
        <w:tab/>
        <w:t>Financial Advisor.</w:t>
      </w:r>
    </w:p>
    <w:p>
      <w:pPr>
        <w:spacing w:after="0" w:line="187" w:lineRule="exact"/>
        <w:rPr>
          <w:sz w:val="20"/>
          <w:szCs w:val="20"/>
          <w:color w:val="auto"/>
        </w:rPr>
      </w:pPr>
    </w:p>
    <w:p>
      <w:pPr>
        <w:jc w:val="both"/>
        <w:ind w:firstLine="1254"/>
        <w:spacing w:after="0" w:line="213" w:lineRule="auto"/>
        <w:tabs>
          <w:tab w:leader="none" w:pos="1866"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possible following the Third Amendment Effective Date but in any event within 30 days after the Third Amendment Effective Date, the Administrative Agent (and, if applicable, the Required Lenders) or counsel thereto shall be entitled to enter into a written agreement to retain a Financial Advisor the scope of work of which shall include but not limit to (and in any case reasonably satisfactory to the Administrative Agent): (i) reviewing and assessing the business plan (including management team), forecasts and financial statements, (ii) reviewing and assessing the cash flow and liquidity forecasts (including the thirteen week cash flow forecasts, working capital and cash positions),</w:t>
      </w:r>
    </w:p>
    <w:p>
      <w:pPr>
        <w:spacing w:after="0" w:line="3" w:lineRule="exact"/>
        <w:rPr>
          <w:rFonts w:ascii="Times New Roman" w:cs="Times New Roman" w:eastAsia="Times New Roman" w:hAnsi="Times New Roman"/>
          <w:sz w:val="19"/>
          <w:szCs w:val="19"/>
          <w:color w:val="auto"/>
        </w:rPr>
      </w:pPr>
    </w:p>
    <w:p>
      <w:pPr>
        <w:jc w:val="both"/>
        <w:ind w:firstLine="4"/>
        <w:spacing w:after="0" w:line="221" w:lineRule="auto"/>
        <w:tabs>
          <w:tab w:leader="none" w:pos="334" w:val="left"/>
        </w:tabs>
        <w:numPr>
          <w:ilvl w:val="0"/>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sensitized scenarios, including but not limited to stress cases and down cases, to evaluate the potential impact of adverse conditions on the business and evaluate impacts on the “key performance indicators” (including but not limited to revenue, Consolidated EBITDA, indebtedness and liquidity) and (iv) other diligence items that may be reasonably requested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91</w:t>
      </w:r>
    </w:p>
    <w:p>
      <w:pPr>
        <w:sectPr>
          <w:pgSz w:w="11900" w:h="16838" w:orient="portrait"/>
          <w:cols w:equalWidth="0" w:num="1">
            <w:col w:w="11240"/>
          </w:cols>
          <w:pgMar w:left="320" w:top="1352" w:right="339" w:bottom="1440" w:gutter="0" w:footer="0" w:header="0"/>
        </w:sectPr>
      </w:pPr>
    </w:p>
    <w:bookmarkStart w:id="223" w:name="page224"/>
    <w:bookmarkEnd w:id="223"/>
    <w:p>
      <w:pPr>
        <w:spacing w:after="0" w:line="249" w:lineRule="auto"/>
        <w:rPr>
          <w:sz w:val="20"/>
          <w:szCs w:val="20"/>
          <w:color w:val="auto"/>
        </w:rPr>
      </w:pPr>
      <w:r>
        <w:rPr>
          <w:rFonts w:ascii="Times New Roman" w:cs="Times New Roman" w:eastAsia="Times New Roman" w:hAnsi="Times New Roman"/>
          <w:sz w:val="19"/>
          <w:szCs w:val="19"/>
          <w:color w:val="auto"/>
        </w:rPr>
        <w:t>and the Required Lenders; provided that the obligations of such Financial Advisor shall be performed within 90 days after the Third Amendment Effective Date (or such longer period as the Borrower may reasonably consent, which consent shall not unreasonably be withheld).</w:t>
      </w:r>
    </w:p>
    <w:p>
      <w:pPr>
        <w:spacing w:after="0" w:line="133" w:lineRule="exact"/>
        <w:rPr>
          <w:sz w:val="20"/>
          <w:szCs w:val="20"/>
          <w:color w:val="auto"/>
        </w:rPr>
      </w:pPr>
    </w:p>
    <w:p>
      <w:pPr>
        <w:jc w:val="both"/>
        <w:ind w:firstLine="1254"/>
        <w:spacing w:after="0" w:line="214" w:lineRule="auto"/>
        <w:tabs>
          <w:tab w:leader="none" w:pos="1863"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Administrative Agent’s or the Lenders’ rights under this Agreement and other Loan Documents, the Borrower and the other Loan Parties hereby agree to: (i) give the Administrative Agent, the Lenders and their respective Representatives reasonable access during normal business hours to the offices, properties, officers, employees, accountants, auditors, counsel and other representatives, books and records of the Borrower and the other Loan Parties, (ii) furnish to the Administrative Agent, the Lenders and their respective Representatives such financial, operating and property related data and other information as such persons reasonably request, (iii) regularly consult with, and respond to the inquiries of, the Administrative Agent, the Lenders and their respective Representatives concerning any and all matters relating to the affairs, finances and businesses of the Borrower or any other Loan Party, the assets and capital stock of the Borrower or any other Loan Party (including, without limitation, communications outside the presence of any representatives of the Borrower or any other Loan Party or sponsor), (iv) provide the Administrative Agent, the Lenders and their respective Representatives copies of all reports, analyses and materials and (v) provide weekly updates on a conference call with the Administrative Agent, the Lenders and/or their respective Representatives and (iii) instruct the Borrower’s and any other Loan Party’s employees, management and financial advisors to cooperate reasonably with the Administrative Agent, the Lenders and their respective Representatives in respect of the aforementioned clauses (i) to (v) and clause (a) above. For purposes of this Section 6.20, the term “Representatives” shall mean the Administrative Agent’s or any Lender’s employees, agents, representatives, advisors and consultants (including any investment banker, Financial Advisor, accountant, legal counsel, agent, representative or expert retained by or acting on behalf the Administrative Agent and/or any Lender).</w:t>
      </w:r>
    </w:p>
    <w:p>
      <w:pPr>
        <w:spacing w:after="0" w:line="151" w:lineRule="exact"/>
        <w:rPr>
          <w:rFonts w:ascii="Times New Roman" w:cs="Times New Roman" w:eastAsia="Times New Roman" w:hAnsi="Times New Roman"/>
          <w:sz w:val="19"/>
          <w:szCs w:val="19"/>
          <w:color w:val="auto"/>
        </w:rPr>
      </w:pPr>
    </w:p>
    <w:p>
      <w:pPr>
        <w:ind w:firstLine="1254"/>
        <w:spacing w:after="0" w:line="249" w:lineRule="auto"/>
        <w:tabs>
          <w:tab w:leader="none" w:pos="1866"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reimburse the Administrative Agent for any fees any expenses owing to the Financial Advisor to the extent incurred during the first 60 days of the engagement, all in in accordance with </w:t>
      </w:r>
      <w:r>
        <w:rPr>
          <w:rFonts w:ascii="Times New Roman" w:cs="Times New Roman" w:eastAsia="Times New Roman" w:hAnsi="Times New Roman"/>
          <w:sz w:val="19"/>
          <w:szCs w:val="19"/>
          <w:u w:val="single" w:color="auto"/>
          <w:color w:val="auto"/>
        </w:rPr>
        <w:t>Section 10.5(a)</w:t>
      </w:r>
      <w:r>
        <w:rPr>
          <w:rFonts w:ascii="Times New Roman" w:cs="Times New Roman" w:eastAsia="Times New Roman" w:hAnsi="Times New Roman"/>
          <w:sz w:val="19"/>
          <w:szCs w:val="19"/>
          <w:color w:val="auto"/>
        </w:rPr>
        <w:t>.</w:t>
      </w:r>
    </w:p>
    <w:p>
      <w:pPr>
        <w:spacing w:after="0" w:line="1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Section 7</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color w:val="auto"/>
        </w:rPr>
        <w:t>NEGATIVE COVENANTS</w:t>
      </w:r>
    </w:p>
    <w:p>
      <w:pPr>
        <w:spacing w:after="0" w:line="176" w:lineRule="exact"/>
        <w:rPr>
          <w:sz w:val="20"/>
          <w:szCs w:val="20"/>
          <w:color w:val="auto"/>
        </w:rPr>
      </w:pPr>
    </w:p>
    <w:p>
      <w:pPr>
        <w:jc w:val="both"/>
        <w:ind w:firstLine="625"/>
        <w:spacing w:after="0" w:line="267" w:lineRule="auto"/>
        <w:rPr>
          <w:sz w:val="20"/>
          <w:szCs w:val="20"/>
          <w:color w:val="auto"/>
        </w:rPr>
      </w:pPr>
      <w:r>
        <w:rPr>
          <w:rFonts w:ascii="Times New Roman" w:cs="Times New Roman" w:eastAsia="Times New Roman" w:hAnsi="Times New Roman"/>
          <w:sz w:val="19"/>
          <w:szCs w:val="19"/>
          <w:color w:val="auto"/>
        </w:rPr>
        <w:t>Holdings, Intermediate Holdings and the Borrower hereby jointly and severally agree that, at all times prior to the Discharge of Obligations, neither Holdings, Intermediate Holdings nor the Borrower shall, nor shall Holdings, Intermediate Holdings and the Borrower permit any of their respective Subsidiaries to, directly or indirectly:</w:t>
      </w:r>
    </w:p>
    <w:p>
      <w:pPr>
        <w:spacing w:after="0" w:line="15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7.1</w:t>
      </w:r>
      <w:r>
        <w:rPr>
          <w:sz w:val="20"/>
          <w:szCs w:val="20"/>
          <w:color w:val="auto"/>
        </w:rPr>
        <w:tab/>
      </w:r>
      <w:r>
        <w:rPr>
          <w:rFonts w:ascii="Times New Roman" w:cs="Times New Roman" w:eastAsia="Times New Roman" w:hAnsi="Times New Roman"/>
          <w:sz w:val="19"/>
          <w:szCs w:val="19"/>
          <w:b w:val="1"/>
          <w:bCs w:val="1"/>
          <w:color w:val="auto"/>
        </w:rPr>
        <w:t>Financial Condition Covenants.</w:t>
      </w:r>
    </w:p>
    <w:p>
      <w:pPr>
        <w:spacing w:after="0" w:line="174" w:lineRule="exact"/>
        <w:rPr>
          <w:sz w:val="20"/>
          <w:szCs w:val="20"/>
          <w:color w:val="auto"/>
        </w:rPr>
      </w:pPr>
    </w:p>
    <w:p>
      <w:pPr>
        <w:jc w:val="both"/>
        <w:ind w:firstLine="1254"/>
        <w:spacing w:after="0" w:line="234" w:lineRule="auto"/>
        <w:tabs>
          <w:tab w:leader="none" w:pos="1866"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Consolidated Fixed Charge Coverage Ratio</w:t>
      </w:r>
      <w:r>
        <w:rPr>
          <w:rFonts w:ascii="Times New Roman" w:cs="Times New Roman" w:eastAsia="Times New Roman" w:hAnsi="Times New Roman"/>
          <w:sz w:val="19"/>
          <w:szCs w:val="19"/>
          <w:color w:val="auto"/>
        </w:rPr>
        <w:t>. Permit the Consolidated Fixed Charge Coverage Ratio of Holdings and its Subsidiaries as at the last day of any Test Period to be less than the ratios set forth below opposite such Fiscal Quarter, commencing with the Fiscal Quarter ending March 31, 2025:</w:t>
      </w:r>
    </w:p>
    <w:p>
      <w:pPr>
        <w:spacing w:after="0" w:line="181"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1100" w:type="dxa"/>
            <w:vAlign w:val="bottom"/>
          </w:tcPr>
          <w:p>
            <w:pPr>
              <w:spacing w:after="0"/>
              <w:rPr>
                <w:sz w:val="18"/>
                <w:szCs w:val="18"/>
                <w:color w:val="auto"/>
              </w:rPr>
            </w:pPr>
          </w:p>
        </w:tc>
        <w:tc>
          <w:tcPr>
            <w:tcW w:w="2840" w:type="dxa"/>
            <w:vAlign w:val="bottom"/>
            <w:gridSpan w:val="2"/>
          </w:tcPr>
          <w:p>
            <w:pPr>
              <w:jc w:val="center"/>
              <w:ind w:right="1160"/>
              <w:spacing w:after="0"/>
              <w:rPr>
                <w:sz w:val="20"/>
                <w:szCs w:val="20"/>
                <w:color w:val="auto"/>
              </w:rPr>
            </w:pPr>
            <w:r>
              <w:rPr>
                <w:rFonts w:ascii="Times New Roman" w:cs="Times New Roman" w:eastAsia="Times New Roman" w:hAnsi="Times New Roman"/>
                <w:sz w:val="19"/>
                <w:szCs w:val="19"/>
                <w:color w:val="auto"/>
              </w:rPr>
              <w:t>Fiscal Quarter Ending</w:t>
            </w:r>
          </w:p>
        </w:tc>
        <w:tc>
          <w:tcPr>
            <w:tcW w:w="22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Consolidated Fixed Charge Coverage Ratio</w:t>
            </w:r>
          </w:p>
        </w:tc>
      </w:tr>
      <w:tr>
        <w:trPr>
          <w:trHeight w:val="869"/>
        </w:trPr>
        <w:tc>
          <w:tcPr>
            <w:tcW w:w="1100" w:type="dxa"/>
            <w:vAlign w:val="bottom"/>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March 31, 2025</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0.50:1.00</w:t>
            </w:r>
          </w:p>
        </w:tc>
      </w:tr>
      <w:tr>
        <w:trPr>
          <w:trHeight w:val="247"/>
        </w:trPr>
        <w:tc>
          <w:tcPr>
            <w:tcW w:w="39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June 30, 2025</w:t>
            </w:r>
          </w:p>
        </w:tc>
        <w:tc>
          <w:tcPr>
            <w:tcW w:w="3540" w:type="dxa"/>
            <w:vAlign w:val="bottom"/>
            <w:gridSpan w:val="2"/>
          </w:tcPr>
          <w:p>
            <w:pPr>
              <w:jc w:val="right"/>
              <w:ind w:right="2645"/>
              <w:spacing w:after="0"/>
              <w:rPr>
                <w:sz w:val="20"/>
                <w:szCs w:val="20"/>
                <w:color w:val="auto"/>
              </w:rPr>
            </w:pPr>
            <w:r>
              <w:rPr>
                <w:rFonts w:ascii="Times New Roman" w:cs="Times New Roman" w:eastAsia="Times New Roman" w:hAnsi="Times New Roman"/>
                <w:sz w:val="19"/>
                <w:szCs w:val="19"/>
                <w:color w:val="auto"/>
              </w:rPr>
              <w:t>1.10:1.00</w:t>
            </w:r>
          </w:p>
        </w:tc>
      </w:tr>
      <w:tr>
        <w:trPr>
          <w:trHeight w:val="195"/>
        </w:trPr>
        <w:tc>
          <w:tcPr>
            <w:tcW w:w="3940" w:type="dxa"/>
            <w:vAlign w:val="bottom"/>
            <w:gridSpan w:val="3"/>
          </w:tcPr>
          <w:p>
            <w:pPr>
              <w:jc w:val="center"/>
              <w:ind w:right="60"/>
              <w:spacing w:after="0" w:line="195" w:lineRule="exact"/>
              <w:rPr>
                <w:sz w:val="20"/>
                <w:szCs w:val="20"/>
                <w:color w:val="auto"/>
              </w:rPr>
            </w:pPr>
            <w:r>
              <w:rPr>
                <w:rFonts w:ascii="Times New Roman" w:cs="Times New Roman" w:eastAsia="Times New Roman" w:hAnsi="Times New Roman"/>
                <w:sz w:val="19"/>
                <w:szCs w:val="19"/>
                <w:color w:val="auto"/>
              </w:rPr>
              <w:t>September 30, 2025 and the last day of each Fiscal</w:t>
            </w:r>
          </w:p>
        </w:tc>
        <w:tc>
          <w:tcPr>
            <w:tcW w:w="3540" w:type="dxa"/>
            <w:vAlign w:val="bottom"/>
            <w:gridSpan w:val="2"/>
          </w:tcPr>
          <w:p>
            <w:pPr>
              <w:jc w:val="center"/>
              <w:ind w:left="125"/>
              <w:spacing w:after="0" w:line="195" w:lineRule="exact"/>
              <w:rPr>
                <w:sz w:val="20"/>
                <w:szCs w:val="20"/>
                <w:color w:val="auto"/>
              </w:rPr>
            </w:pPr>
            <w:r>
              <w:rPr>
                <w:rFonts w:ascii="Times New Roman" w:cs="Times New Roman" w:eastAsia="Times New Roman" w:hAnsi="Times New Roman"/>
                <w:sz w:val="19"/>
                <w:szCs w:val="19"/>
                <w:color w:val="auto"/>
              </w:rPr>
              <w:t>1.25:1.00</w:t>
            </w:r>
          </w:p>
        </w:tc>
      </w:tr>
      <w:tr>
        <w:trPr>
          <w:trHeight w:val="250"/>
        </w:trPr>
        <w:tc>
          <w:tcPr>
            <w:tcW w:w="1100" w:type="dxa"/>
            <w:vAlign w:val="bottom"/>
          </w:tcPr>
          <w:p>
            <w:pPr>
              <w:spacing w:after="0"/>
              <w:rPr>
                <w:sz w:val="21"/>
                <w:szCs w:val="21"/>
                <w:color w:val="auto"/>
              </w:rPr>
            </w:pPr>
          </w:p>
        </w:tc>
        <w:tc>
          <w:tcPr>
            <w:tcW w:w="2840" w:type="dxa"/>
            <w:vAlign w:val="bottom"/>
            <w:gridSpan w:val="2"/>
          </w:tcPr>
          <w:p>
            <w:pPr>
              <w:jc w:val="center"/>
              <w:ind w:right="1160"/>
              <w:spacing w:after="0"/>
              <w:rPr>
                <w:sz w:val="20"/>
                <w:szCs w:val="20"/>
                <w:color w:val="auto"/>
              </w:rPr>
            </w:pPr>
            <w:r>
              <w:rPr>
                <w:rFonts w:ascii="Times New Roman" w:cs="Times New Roman" w:eastAsia="Times New Roman" w:hAnsi="Times New Roman"/>
                <w:sz w:val="19"/>
                <w:szCs w:val="19"/>
                <w:color w:val="auto"/>
              </w:rPr>
              <w:t>Quarter thereafter</w:t>
            </w:r>
          </w:p>
        </w:tc>
        <w:tc>
          <w:tcPr>
            <w:tcW w:w="220" w:type="dxa"/>
            <w:vAlign w:val="bottom"/>
          </w:tcPr>
          <w:p>
            <w:pPr>
              <w:spacing w:after="0"/>
              <w:rPr>
                <w:sz w:val="21"/>
                <w:szCs w:val="21"/>
                <w:color w:val="auto"/>
              </w:rPr>
            </w:pPr>
          </w:p>
        </w:tc>
        <w:tc>
          <w:tcPr>
            <w:tcW w:w="3320" w:type="dxa"/>
            <w:vAlign w:val="bottom"/>
          </w:tcPr>
          <w:p>
            <w:pPr>
              <w:spacing w:after="0"/>
              <w:rPr>
                <w:sz w:val="21"/>
                <w:szCs w:val="21"/>
                <w:color w:val="auto"/>
              </w:rPr>
            </w:pPr>
          </w:p>
        </w:tc>
      </w:tr>
      <w:tr>
        <w:trPr>
          <w:trHeight w:val="860"/>
        </w:trPr>
        <w:tc>
          <w:tcPr>
            <w:tcW w:w="1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2"/>
          </w:tcPr>
          <w:p>
            <w:pPr>
              <w:jc w:val="right"/>
              <w:ind w:right="2725"/>
              <w:spacing w:after="0"/>
              <w:rPr>
                <w:sz w:val="20"/>
                <w:szCs w:val="20"/>
                <w:color w:val="auto"/>
              </w:rPr>
            </w:pPr>
            <w:r>
              <w:rPr>
                <w:rFonts w:ascii="Times New Roman" w:cs="Times New Roman" w:eastAsia="Times New Roman" w:hAnsi="Times New Roman"/>
                <w:sz w:val="19"/>
                <w:szCs w:val="19"/>
                <w:color w:val="auto"/>
              </w:rPr>
              <w:t>92</w:t>
            </w:r>
          </w:p>
        </w:tc>
      </w:tr>
    </w:tbl>
    <w:p>
      <w:pPr>
        <w:sectPr>
          <w:pgSz w:w="11900" w:h="16838" w:orient="portrait"/>
          <w:cols w:equalWidth="0" w:num="1">
            <w:col w:w="11240"/>
          </w:cols>
          <w:pgMar w:left="320" w:top="1354" w:right="339" w:bottom="1440" w:gutter="0" w:footer="0" w:header="0"/>
        </w:sectPr>
      </w:pPr>
    </w:p>
    <w:bookmarkStart w:id="224" w:name="page225"/>
    <w:bookmarkEnd w:id="224"/>
    <w:p>
      <w:pPr>
        <w:ind w:left="1260"/>
        <w:spacing w:after="0"/>
        <w:rPr>
          <w:sz w:val="20"/>
          <w:szCs w:val="20"/>
          <w:color w:val="auto"/>
        </w:rPr>
      </w:pPr>
      <w:r>
        <w:rPr>
          <w:rFonts w:ascii="Times New Roman" w:cs="Times New Roman" w:eastAsia="Times New Roman" w:hAnsi="Times New Roman"/>
          <w:sz w:val="19"/>
          <w:szCs w:val="19"/>
          <w:color w:val="auto"/>
        </w:rPr>
        <w:t>(b)</w:t>
      </w:r>
    </w:p>
    <w:p>
      <w:pPr>
        <w:spacing w:after="0" w:line="211" w:lineRule="exact"/>
        <w:rPr>
          <w:sz w:val="20"/>
          <w:szCs w:val="20"/>
          <w:color w:val="auto"/>
        </w:rPr>
      </w:pPr>
    </w:p>
    <w:p>
      <w:pPr>
        <w:ind w:firstLine="1254"/>
        <w:spacing w:after="0" w:line="237" w:lineRule="auto"/>
        <w:tabs>
          <w:tab w:leader="none" w:pos="1866" w:val="left"/>
        </w:tabs>
        <w:numPr>
          <w:ilvl w:val="0"/>
          <w:numId w:val="2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Consolidated Leverage Ratio</w:t>
      </w:r>
      <w:r>
        <w:rPr>
          <w:rFonts w:ascii="Times New Roman" w:cs="Times New Roman" w:eastAsia="Times New Roman" w:hAnsi="Times New Roman"/>
          <w:sz w:val="19"/>
          <w:szCs w:val="19"/>
          <w:color w:val="auto"/>
        </w:rPr>
        <w:t>. Permit the Consolidated Leverage Ratio of Holdings and its Subsidiaries as at the last day of any Test Period to exceed the ratio set forth below opposite such Fiscal Quarter, commencing with the Fiscal Quarter ending March 31, 2025:</w:t>
      </w:r>
    </w:p>
    <w:p>
      <w:pPr>
        <w:spacing w:after="0" w:line="193"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1100" w:type="dxa"/>
            <w:vAlign w:val="bottom"/>
          </w:tcPr>
          <w:p>
            <w:pPr>
              <w:spacing w:after="0"/>
              <w:rPr>
                <w:sz w:val="18"/>
                <w:szCs w:val="18"/>
                <w:color w:val="auto"/>
              </w:rPr>
            </w:pPr>
          </w:p>
        </w:tc>
        <w:tc>
          <w:tcPr>
            <w:tcW w:w="2720" w:type="dxa"/>
            <w:vAlign w:val="bottom"/>
            <w:gridSpan w:val="2"/>
          </w:tcPr>
          <w:p>
            <w:pPr>
              <w:jc w:val="center"/>
              <w:ind w:right="1040"/>
              <w:spacing w:after="0"/>
              <w:rPr>
                <w:sz w:val="20"/>
                <w:szCs w:val="20"/>
                <w:color w:val="auto"/>
              </w:rPr>
            </w:pPr>
            <w:r>
              <w:rPr>
                <w:rFonts w:ascii="Times New Roman" w:cs="Times New Roman" w:eastAsia="Times New Roman" w:hAnsi="Times New Roman"/>
                <w:sz w:val="19"/>
                <w:szCs w:val="19"/>
                <w:color w:val="auto"/>
              </w:rPr>
              <w:t>Fiscal Quarter Ending</w:t>
            </w:r>
          </w:p>
        </w:tc>
        <w:tc>
          <w:tcPr>
            <w:tcW w:w="8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Consolidated Leverage Ratio</w:t>
            </w:r>
          </w:p>
        </w:tc>
      </w:tr>
      <w:tr>
        <w:trPr>
          <w:trHeight w:val="270"/>
        </w:trPr>
        <w:tc>
          <w:tcPr>
            <w:tcW w:w="1100" w:type="dxa"/>
            <w:vAlign w:val="bottom"/>
          </w:tcPr>
          <w:p>
            <w:pPr>
              <w:spacing w:after="0"/>
              <w:rPr>
                <w:sz w:val="23"/>
                <w:szCs w:val="23"/>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March 31, 2025</w:t>
            </w: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4.25:1.00</w:t>
            </w:r>
          </w:p>
        </w:tc>
      </w:tr>
      <w:tr>
        <w:trPr>
          <w:trHeight w:val="247"/>
        </w:trPr>
        <w:tc>
          <w:tcPr>
            <w:tcW w:w="1100" w:type="dxa"/>
            <w:vAlign w:val="bottom"/>
          </w:tcPr>
          <w:p>
            <w:pPr>
              <w:spacing w:after="0"/>
              <w:rPr>
                <w:sz w:val="21"/>
                <w:szCs w:val="21"/>
                <w:color w:val="auto"/>
              </w:rPr>
            </w:pPr>
          </w:p>
        </w:tc>
        <w:tc>
          <w:tcPr>
            <w:tcW w:w="2720" w:type="dxa"/>
            <w:vAlign w:val="bottom"/>
            <w:gridSpan w:val="2"/>
          </w:tcPr>
          <w:p>
            <w:pPr>
              <w:jc w:val="center"/>
              <w:ind w:right="1040"/>
              <w:spacing w:after="0"/>
              <w:rPr>
                <w:sz w:val="20"/>
                <w:szCs w:val="20"/>
                <w:color w:val="auto"/>
              </w:rPr>
            </w:pPr>
            <w:r>
              <w:rPr>
                <w:rFonts w:ascii="Times New Roman" w:cs="Times New Roman" w:eastAsia="Times New Roman" w:hAnsi="Times New Roman"/>
                <w:sz w:val="19"/>
                <w:szCs w:val="19"/>
                <w:color w:val="auto"/>
              </w:rPr>
              <w:t>June 30, 2025</w:t>
            </w:r>
          </w:p>
        </w:tc>
        <w:tc>
          <w:tcPr>
            <w:tcW w:w="3100" w:type="dxa"/>
            <w:vAlign w:val="bottom"/>
            <w:gridSpan w:val="2"/>
          </w:tcPr>
          <w:p>
            <w:pPr>
              <w:jc w:val="center"/>
              <w:ind w:left="805"/>
              <w:spacing w:after="0"/>
              <w:rPr>
                <w:sz w:val="20"/>
                <w:szCs w:val="20"/>
                <w:color w:val="auto"/>
              </w:rPr>
            </w:pPr>
            <w:r>
              <w:rPr>
                <w:rFonts w:ascii="Times New Roman" w:cs="Times New Roman" w:eastAsia="Times New Roman" w:hAnsi="Times New Roman"/>
                <w:sz w:val="19"/>
                <w:szCs w:val="19"/>
                <w:color w:val="auto"/>
              </w:rPr>
              <w:t>3.50:1.00</w:t>
            </w:r>
          </w:p>
        </w:tc>
      </w:tr>
      <w:tr>
        <w:trPr>
          <w:trHeight w:val="247"/>
        </w:trPr>
        <w:tc>
          <w:tcPr>
            <w:tcW w:w="38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September 30, 2025</w:t>
            </w:r>
          </w:p>
        </w:tc>
        <w:tc>
          <w:tcPr>
            <w:tcW w:w="3100" w:type="dxa"/>
            <w:vAlign w:val="bottom"/>
            <w:gridSpan w:val="2"/>
          </w:tcPr>
          <w:p>
            <w:pPr>
              <w:jc w:val="right"/>
              <w:ind w:right="2085"/>
              <w:spacing w:after="0"/>
              <w:rPr>
                <w:sz w:val="20"/>
                <w:szCs w:val="20"/>
                <w:color w:val="auto"/>
              </w:rPr>
            </w:pPr>
            <w:r>
              <w:rPr>
                <w:rFonts w:ascii="Times New Roman" w:cs="Times New Roman" w:eastAsia="Times New Roman" w:hAnsi="Times New Roman"/>
                <w:sz w:val="19"/>
                <w:szCs w:val="19"/>
                <w:color w:val="auto"/>
              </w:rPr>
              <w:t>3.25:1.00</w:t>
            </w:r>
          </w:p>
        </w:tc>
      </w:tr>
      <w:tr>
        <w:trPr>
          <w:trHeight w:val="247"/>
        </w:trPr>
        <w:tc>
          <w:tcPr>
            <w:tcW w:w="38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December 31, 2025</w:t>
            </w:r>
          </w:p>
        </w:tc>
        <w:tc>
          <w:tcPr>
            <w:tcW w:w="3100" w:type="dxa"/>
            <w:vAlign w:val="bottom"/>
            <w:gridSpan w:val="2"/>
          </w:tcPr>
          <w:p>
            <w:pPr>
              <w:jc w:val="right"/>
              <w:ind w:right="2085"/>
              <w:spacing w:after="0"/>
              <w:rPr>
                <w:sz w:val="20"/>
                <w:szCs w:val="20"/>
                <w:color w:val="auto"/>
              </w:rPr>
            </w:pPr>
            <w:r>
              <w:rPr>
                <w:rFonts w:ascii="Times New Roman" w:cs="Times New Roman" w:eastAsia="Times New Roman" w:hAnsi="Times New Roman"/>
                <w:sz w:val="19"/>
                <w:szCs w:val="19"/>
                <w:color w:val="auto"/>
              </w:rPr>
              <w:t>3.25:1.00</w:t>
            </w:r>
          </w:p>
        </w:tc>
      </w:tr>
      <w:tr>
        <w:trPr>
          <w:trHeight w:val="247"/>
        </w:trPr>
        <w:tc>
          <w:tcPr>
            <w:tcW w:w="382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March 31, 2026</w:t>
            </w:r>
          </w:p>
        </w:tc>
        <w:tc>
          <w:tcPr>
            <w:tcW w:w="3100" w:type="dxa"/>
            <w:vAlign w:val="bottom"/>
            <w:gridSpan w:val="2"/>
          </w:tcPr>
          <w:p>
            <w:pPr>
              <w:jc w:val="right"/>
              <w:ind w:right="2085"/>
              <w:spacing w:after="0"/>
              <w:rPr>
                <w:sz w:val="20"/>
                <w:szCs w:val="20"/>
                <w:color w:val="auto"/>
              </w:rPr>
            </w:pPr>
            <w:r>
              <w:rPr>
                <w:rFonts w:ascii="Times New Roman" w:cs="Times New Roman" w:eastAsia="Times New Roman" w:hAnsi="Times New Roman"/>
                <w:sz w:val="19"/>
                <w:szCs w:val="19"/>
                <w:color w:val="auto"/>
              </w:rPr>
              <w:t>2.75:1.00</w:t>
            </w:r>
          </w:p>
        </w:tc>
      </w:tr>
      <w:tr>
        <w:trPr>
          <w:trHeight w:val="195"/>
        </w:trPr>
        <w:tc>
          <w:tcPr>
            <w:tcW w:w="3820" w:type="dxa"/>
            <w:vAlign w:val="bottom"/>
            <w:gridSpan w:val="3"/>
          </w:tcPr>
          <w:p>
            <w:pPr>
              <w:jc w:val="center"/>
              <w:spacing w:after="0" w:line="195" w:lineRule="exact"/>
              <w:rPr>
                <w:sz w:val="20"/>
                <w:szCs w:val="20"/>
                <w:color w:val="auto"/>
              </w:rPr>
            </w:pPr>
            <w:r>
              <w:rPr>
                <w:rFonts w:ascii="Times New Roman" w:cs="Times New Roman" w:eastAsia="Times New Roman" w:hAnsi="Times New Roman"/>
                <w:sz w:val="19"/>
                <w:szCs w:val="19"/>
                <w:color w:val="auto"/>
              </w:rPr>
              <w:t>June 30, 2026 and the last day of each Fiscal</w:t>
            </w:r>
          </w:p>
        </w:tc>
        <w:tc>
          <w:tcPr>
            <w:tcW w:w="3100" w:type="dxa"/>
            <w:vAlign w:val="bottom"/>
            <w:gridSpan w:val="2"/>
          </w:tcPr>
          <w:p>
            <w:pPr>
              <w:jc w:val="center"/>
              <w:ind w:left="805"/>
              <w:spacing w:after="0" w:line="195" w:lineRule="exact"/>
              <w:rPr>
                <w:sz w:val="20"/>
                <w:szCs w:val="20"/>
                <w:color w:val="auto"/>
              </w:rPr>
            </w:pPr>
            <w:r>
              <w:rPr>
                <w:rFonts w:ascii="Times New Roman" w:cs="Times New Roman" w:eastAsia="Times New Roman" w:hAnsi="Times New Roman"/>
                <w:sz w:val="19"/>
                <w:szCs w:val="19"/>
                <w:color w:val="auto"/>
              </w:rPr>
              <w:t>2.25:1.00</w:t>
            </w:r>
          </w:p>
        </w:tc>
      </w:tr>
      <w:tr>
        <w:trPr>
          <w:trHeight w:val="250"/>
        </w:trPr>
        <w:tc>
          <w:tcPr>
            <w:tcW w:w="1100" w:type="dxa"/>
            <w:vAlign w:val="bottom"/>
          </w:tcPr>
          <w:p>
            <w:pPr>
              <w:spacing w:after="0"/>
              <w:rPr>
                <w:sz w:val="21"/>
                <w:szCs w:val="21"/>
                <w:color w:val="auto"/>
              </w:rPr>
            </w:pPr>
          </w:p>
        </w:tc>
        <w:tc>
          <w:tcPr>
            <w:tcW w:w="2720" w:type="dxa"/>
            <w:vAlign w:val="bottom"/>
            <w:gridSpan w:val="2"/>
          </w:tcPr>
          <w:p>
            <w:pPr>
              <w:jc w:val="center"/>
              <w:ind w:right="1040"/>
              <w:spacing w:after="0"/>
              <w:rPr>
                <w:sz w:val="20"/>
                <w:szCs w:val="20"/>
                <w:color w:val="auto"/>
              </w:rPr>
            </w:pPr>
            <w:r>
              <w:rPr>
                <w:rFonts w:ascii="Times New Roman" w:cs="Times New Roman" w:eastAsia="Times New Roman" w:hAnsi="Times New Roman"/>
                <w:sz w:val="19"/>
                <w:szCs w:val="19"/>
                <w:color w:val="auto"/>
              </w:rPr>
              <w:t>Quarter thereafter</w:t>
            </w:r>
          </w:p>
        </w:tc>
        <w:tc>
          <w:tcPr>
            <w:tcW w:w="880" w:type="dxa"/>
            <w:vAlign w:val="bottom"/>
          </w:tcPr>
          <w:p>
            <w:pPr>
              <w:spacing w:after="0"/>
              <w:rPr>
                <w:sz w:val="21"/>
                <w:szCs w:val="21"/>
                <w:color w:val="auto"/>
              </w:rPr>
            </w:pPr>
          </w:p>
        </w:tc>
        <w:tc>
          <w:tcPr>
            <w:tcW w:w="2220" w:type="dxa"/>
            <w:vAlign w:val="bottom"/>
          </w:tcPr>
          <w:p>
            <w:pPr>
              <w:spacing w:after="0"/>
              <w:rPr>
                <w:sz w:val="21"/>
                <w:szCs w:val="21"/>
                <w:color w:val="auto"/>
              </w:rPr>
            </w:pPr>
          </w:p>
        </w:tc>
      </w:tr>
    </w:tbl>
    <w:p>
      <w:pPr>
        <w:spacing w:after="0" w:line="200" w:lineRule="exact"/>
        <w:rPr>
          <w:sz w:val="20"/>
          <w:szCs w:val="20"/>
          <w:color w:val="auto"/>
        </w:rPr>
      </w:pPr>
    </w:p>
    <w:p>
      <w:pPr>
        <w:spacing w:after="0" w:line="292" w:lineRule="exact"/>
        <w:rPr>
          <w:sz w:val="20"/>
          <w:szCs w:val="20"/>
          <w:color w:val="auto"/>
        </w:rPr>
      </w:pPr>
    </w:p>
    <w:p>
      <w:pPr>
        <w:ind w:left="1860" w:hanging="606"/>
        <w:spacing w:after="0"/>
        <w:tabs>
          <w:tab w:leader="none" w:pos="1860" w:val="left"/>
        </w:tabs>
        <w:numPr>
          <w:ilvl w:val="0"/>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Liquidity</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color w:val="auto"/>
        </w:rPr>
      </w:pPr>
    </w:p>
    <w:p>
      <w:pPr>
        <w:jc w:val="both"/>
        <w:ind w:firstLine="1880"/>
        <w:spacing w:after="0" w:line="226" w:lineRule="auto"/>
        <w:tabs>
          <w:tab w:leader="none" w:pos="2498" w:val="left"/>
        </w:tabs>
        <w:numPr>
          <w:ilvl w:val="1"/>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Permit the Liquidity of Holdings and its Subsidiaries, as of the last day of each Fiscal Quarter, to be less than the amount set forth below opposite such Fiscal Quarter, commencing with the Fiscal Quarter ending March 31, 2025 (such compliance to be determined on the basis of the most recent Compliance Certificate received by the Administrative Agent pursuant to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xml:space="preserve"> for such Fiscal Quarter).</w:t>
      </w:r>
    </w:p>
    <w:p>
      <w:pPr>
        <w:spacing w:after="0" w:line="193" w:lineRule="exact"/>
        <w:rPr>
          <w:sz w:val="20"/>
          <w:szCs w:val="20"/>
          <w:color w:val="auto"/>
        </w:rPr>
      </w:pPr>
    </w:p>
    <w:tbl>
      <w:tblPr>
        <w:tblLayout w:type="fixed"/>
        <w:tblInd w:w="1300" w:type="dxa"/>
        <w:tblCellMar>
          <w:top w:w="0" w:type="dxa"/>
          <w:left w:w="0" w:type="dxa"/>
          <w:bottom w:w="0" w:type="dxa"/>
          <w:right w:w="0" w:type="dxa"/>
        </w:tblCellMar>
      </w:tblPr>
      <w:tr>
        <w:trPr>
          <w:trHeight w:val="218"/>
        </w:trPr>
        <w:tc>
          <w:tcPr>
            <w:tcW w:w="860" w:type="dxa"/>
            <w:vAlign w:val="bottom"/>
          </w:tcPr>
          <w:p>
            <w:pPr>
              <w:spacing w:after="0"/>
              <w:rPr>
                <w:sz w:val="18"/>
                <w:szCs w:val="18"/>
                <w:color w:val="auto"/>
              </w:rPr>
            </w:pPr>
          </w:p>
        </w:tc>
        <w:tc>
          <w:tcPr>
            <w:tcW w:w="3260" w:type="dxa"/>
            <w:vAlign w:val="bottom"/>
            <w:gridSpan w:val="2"/>
          </w:tcPr>
          <w:p>
            <w:pPr>
              <w:jc w:val="center"/>
              <w:ind w:right="1580"/>
              <w:spacing w:after="0"/>
              <w:rPr>
                <w:sz w:val="20"/>
                <w:szCs w:val="20"/>
                <w:color w:val="auto"/>
              </w:rPr>
            </w:pPr>
            <w:r>
              <w:rPr>
                <w:rFonts w:ascii="Times New Roman" w:cs="Times New Roman" w:eastAsia="Times New Roman" w:hAnsi="Times New Roman"/>
                <w:sz w:val="19"/>
                <w:szCs w:val="19"/>
                <w:color w:val="auto"/>
              </w:rPr>
              <w:t>Fiscal Quarter Ending</w:t>
            </w:r>
          </w:p>
        </w:tc>
        <w:tc>
          <w:tcPr>
            <w:tcW w:w="2220" w:type="dxa"/>
            <w:vAlign w:val="bottom"/>
            <w:gridSpan w:val="2"/>
          </w:tcPr>
          <w:p>
            <w:pPr>
              <w:jc w:val="center"/>
              <w:ind w:left="605"/>
              <w:spacing w:after="0"/>
              <w:rPr>
                <w:sz w:val="20"/>
                <w:szCs w:val="20"/>
                <w:color w:val="auto"/>
              </w:rPr>
            </w:pPr>
            <w:r>
              <w:rPr>
                <w:rFonts w:ascii="Times New Roman" w:cs="Times New Roman" w:eastAsia="Times New Roman" w:hAnsi="Times New Roman"/>
                <w:sz w:val="19"/>
                <w:szCs w:val="19"/>
                <w:color w:val="auto"/>
              </w:rPr>
              <w:t>Minimum Liquidity</w:t>
            </w:r>
          </w:p>
        </w:tc>
      </w:tr>
      <w:tr>
        <w:trPr>
          <w:trHeight w:val="270"/>
        </w:trPr>
        <w:tc>
          <w:tcPr>
            <w:tcW w:w="860" w:type="dxa"/>
            <w:vAlign w:val="bottom"/>
          </w:tcPr>
          <w:p>
            <w:pPr>
              <w:spacing w:after="0"/>
              <w:rPr>
                <w:sz w:val="23"/>
                <w:szCs w:val="23"/>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March 31, 2025</w:t>
            </w:r>
          </w:p>
        </w:tc>
        <w:tc>
          <w:tcPr>
            <w:tcW w:w="1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$3,000,000.00</w:t>
            </w:r>
          </w:p>
        </w:tc>
      </w:tr>
      <w:tr>
        <w:trPr>
          <w:trHeight w:val="195"/>
        </w:trPr>
        <w:tc>
          <w:tcPr>
            <w:tcW w:w="4120" w:type="dxa"/>
            <w:vAlign w:val="bottom"/>
            <w:gridSpan w:val="3"/>
          </w:tcPr>
          <w:p>
            <w:pPr>
              <w:jc w:val="center"/>
              <w:ind w:right="720"/>
              <w:spacing w:after="0" w:line="195" w:lineRule="exact"/>
              <w:rPr>
                <w:sz w:val="20"/>
                <w:szCs w:val="20"/>
                <w:color w:val="auto"/>
              </w:rPr>
            </w:pPr>
            <w:r>
              <w:rPr>
                <w:rFonts w:ascii="Times New Roman" w:cs="Times New Roman" w:eastAsia="Times New Roman" w:hAnsi="Times New Roman"/>
                <w:sz w:val="19"/>
                <w:szCs w:val="19"/>
                <w:color w:val="auto"/>
              </w:rPr>
              <w:t>June 30, 2025 and the last day of each Fiscal</w:t>
            </w:r>
          </w:p>
        </w:tc>
        <w:tc>
          <w:tcPr>
            <w:tcW w:w="2220" w:type="dxa"/>
            <w:vAlign w:val="bottom"/>
            <w:gridSpan w:val="2"/>
          </w:tcPr>
          <w:p>
            <w:pPr>
              <w:jc w:val="center"/>
              <w:ind w:left="585"/>
              <w:spacing w:after="0" w:line="195" w:lineRule="exact"/>
              <w:rPr>
                <w:sz w:val="20"/>
                <w:szCs w:val="20"/>
                <w:color w:val="auto"/>
              </w:rPr>
            </w:pPr>
            <w:r>
              <w:rPr>
                <w:rFonts w:ascii="Times New Roman" w:cs="Times New Roman" w:eastAsia="Times New Roman" w:hAnsi="Times New Roman"/>
                <w:sz w:val="19"/>
                <w:szCs w:val="19"/>
                <w:color w:val="auto"/>
              </w:rPr>
              <w:t>$7,500,000.00</w:t>
            </w:r>
          </w:p>
        </w:tc>
      </w:tr>
      <w:tr>
        <w:trPr>
          <w:trHeight w:val="250"/>
        </w:trPr>
        <w:tc>
          <w:tcPr>
            <w:tcW w:w="860" w:type="dxa"/>
            <w:vAlign w:val="bottom"/>
          </w:tcPr>
          <w:p>
            <w:pPr>
              <w:spacing w:after="0"/>
              <w:rPr>
                <w:sz w:val="21"/>
                <w:szCs w:val="21"/>
                <w:color w:val="auto"/>
              </w:rPr>
            </w:pPr>
          </w:p>
        </w:tc>
        <w:tc>
          <w:tcPr>
            <w:tcW w:w="3260" w:type="dxa"/>
            <w:vAlign w:val="bottom"/>
            <w:gridSpan w:val="2"/>
          </w:tcPr>
          <w:p>
            <w:pPr>
              <w:jc w:val="center"/>
              <w:ind w:right="1580"/>
              <w:spacing w:after="0"/>
              <w:rPr>
                <w:sz w:val="20"/>
                <w:szCs w:val="20"/>
                <w:color w:val="auto"/>
              </w:rPr>
            </w:pPr>
            <w:r>
              <w:rPr>
                <w:rFonts w:ascii="Times New Roman" w:cs="Times New Roman" w:eastAsia="Times New Roman" w:hAnsi="Times New Roman"/>
                <w:sz w:val="19"/>
                <w:szCs w:val="19"/>
                <w:color w:val="auto"/>
              </w:rPr>
              <w:t>Quarter thereafter</w:t>
            </w:r>
          </w:p>
        </w:tc>
        <w:tc>
          <w:tcPr>
            <w:tcW w:w="70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49" w:lineRule="exact"/>
        <w:rPr>
          <w:sz w:val="20"/>
          <w:szCs w:val="20"/>
          <w:color w:val="auto"/>
        </w:rPr>
      </w:pPr>
    </w:p>
    <w:p>
      <w:pPr>
        <w:jc w:val="both"/>
        <w:ind w:firstLine="1880"/>
        <w:spacing w:after="0" w:line="222" w:lineRule="auto"/>
        <w:tabs>
          <w:tab w:leader="none" w:pos="2499"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Monthly Liquidity Testing Period, permit the Liquidity of Holdings and its Subsidiaries, as of the close of business on the last calendar day of any calendar month (commencing with the calendar month ending March 31, 2025), to be less than the amount set forth below opposite such calendar month (such compliance to be determined on the basis of the most recent Monthly Liquidity Report received by the Administrative Agent pursuant to Section 6.2(i) for such calendar month):</w:t>
      </w:r>
    </w:p>
    <w:p>
      <w:pPr>
        <w:spacing w:after="0" w:line="194" w:lineRule="exact"/>
        <w:rPr>
          <w:sz w:val="20"/>
          <w:szCs w:val="20"/>
          <w:color w:val="auto"/>
        </w:rPr>
      </w:pPr>
    </w:p>
    <w:tbl>
      <w:tblPr>
        <w:tblLayout w:type="fixed"/>
        <w:tblInd w:w="1060" w:type="dxa"/>
        <w:tblCellMar>
          <w:top w:w="0" w:type="dxa"/>
          <w:left w:w="0" w:type="dxa"/>
          <w:bottom w:w="0" w:type="dxa"/>
          <w:right w:w="0" w:type="dxa"/>
        </w:tblCellMar>
      </w:tblPr>
      <w:tr>
        <w:trPr>
          <w:trHeight w:val="218"/>
        </w:trPr>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Calendar Month Ending</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w w:val="98"/>
              </w:rPr>
              <w:t>Minimum Liquidity</w:t>
            </w:r>
          </w:p>
        </w:tc>
      </w:tr>
      <w:tr>
        <w:trPr>
          <w:trHeight w:val="20"/>
        </w:trPr>
        <w:tc>
          <w:tcPr>
            <w:tcW w:w="18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70"/>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March 31, 2025</w:t>
            </w:r>
          </w:p>
        </w:tc>
        <w:tc>
          <w:tcPr>
            <w:tcW w:w="1960" w:type="dxa"/>
            <w:vAlign w:val="bottom"/>
          </w:tcPr>
          <w:p>
            <w:pPr>
              <w:spacing w:after="0"/>
              <w:rPr>
                <w:sz w:val="23"/>
                <w:szCs w:val="23"/>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$3,000,000.00</w:t>
            </w:r>
          </w:p>
        </w:tc>
      </w:tr>
      <w:tr>
        <w:trPr>
          <w:trHeight w:val="247"/>
        </w:trPr>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April 30, 2025</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$5,000,000.00</w:t>
            </w:r>
          </w:p>
        </w:tc>
      </w:tr>
      <w:tr>
        <w:trPr>
          <w:trHeight w:val="195"/>
        </w:trPr>
        <w:tc>
          <w:tcPr>
            <w:tcW w:w="3800" w:type="dxa"/>
            <w:vAlign w:val="bottom"/>
            <w:gridSpan w:val="2"/>
          </w:tcPr>
          <w:p>
            <w:pPr>
              <w:spacing w:after="0" w:line="195" w:lineRule="exact"/>
              <w:rPr>
                <w:sz w:val="20"/>
                <w:szCs w:val="20"/>
                <w:color w:val="auto"/>
              </w:rPr>
            </w:pPr>
            <w:r>
              <w:rPr>
                <w:rFonts w:ascii="Times New Roman" w:cs="Times New Roman" w:eastAsia="Times New Roman" w:hAnsi="Times New Roman"/>
                <w:sz w:val="19"/>
                <w:szCs w:val="19"/>
                <w:color w:val="auto"/>
              </w:rPr>
              <w:t>May 31, 2025 and the last day of each calendar</w:t>
            </w:r>
          </w:p>
        </w:tc>
        <w:tc>
          <w:tcPr>
            <w:tcW w:w="1740" w:type="dxa"/>
            <w:vAlign w:val="bottom"/>
            <w:gridSpan w:val="2"/>
          </w:tcPr>
          <w:p>
            <w:pPr>
              <w:ind w:left="220"/>
              <w:spacing w:after="0" w:line="195" w:lineRule="exact"/>
              <w:rPr>
                <w:sz w:val="20"/>
                <w:szCs w:val="20"/>
                <w:color w:val="auto"/>
              </w:rPr>
            </w:pPr>
            <w:r>
              <w:rPr>
                <w:rFonts w:ascii="Times New Roman" w:cs="Times New Roman" w:eastAsia="Times New Roman" w:hAnsi="Times New Roman"/>
                <w:sz w:val="19"/>
                <w:szCs w:val="19"/>
                <w:color w:val="auto"/>
              </w:rPr>
              <w:t>$7,500,000.00</w:t>
            </w:r>
          </w:p>
        </w:tc>
      </w:tr>
      <w:tr>
        <w:trPr>
          <w:trHeight w:val="250"/>
        </w:trPr>
        <w:tc>
          <w:tcPr>
            <w:tcW w:w="38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month thereafter</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spacing w:after="0" w:line="200" w:lineRule="exact"/>
        <w:rPr>
          <w:sz w:val="20"/>
          <w:szCs w:val="20"/>
          <w:color w:val="auto"/>
        </w:rPr>
      </w:pPr>
    </w:p>
    <w:p>
      <w:pPr>
        <w:spacing w:after="0" w:line="29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7.2</w:t>
      </w:r>
      <w:r>
        <w:rPr>
          <w:sz w:val="20"/>
          <w:szCs w:val="20"/>
          <w:color w:val="auto"/>
        </w:rPr>
        <w:tab/>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Create, issue, incur, assume, become liable in respect of or suffer to exist any Indebtedness, except:</w:t>
      </w:r>
    </w:p>
    <w:p>
      <w:pPr>
        <w:spacing w:after="0" w:line="174" w:lineRule="exact"/>
        <w:rPr>
          <w:sz w:val="20"/>
          <w:szCs w:val="20"/>
          <w:color w:val="auto"/>
        </w:rPr>
      </w:pPr>
    </w:p>
    <w:p>
      <w:pPr>
        <w:ind w:firstLine="1254"/>
        <w:spacing w:after="0" w:line="249" w:lineRule="auto"/>
        <w:tabs>
          <w:tab w:leader="none" w:pos="1866"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any Loan Party pursuant to any Loan Document, including, for the avoidance of doubt, any Incremental Commitment and any Indebtedness under any Cash Management Agreement;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1900" w:h="16838" w:orient="portrait"/>
          <w:cols w:equalWidth="0" w:num="1">
            <w:col w:w="11240"/>
          </w:cols>
          <w:pgMar w:left="320" w:top="1367" w:right="339" w:bottom="1440" w:gutter="0" w:footer="0" w:header="0"/>
        </w:sectPr>
      </w:pPr>
    </w:p>
    <w:bookmarkStart w:id="225" w:name="page226"/>
    <w:bookmarkEnd w:id="225"/>
    <w:p>
      <w:pPr>
        <w:jc w:val="both"/>
        <w:ind w:firstLine="1254"/>
        <w:spacing w:after="0" w:line="217" w:lineRule="auto"/>
        <w:tabs>
          <w:tab w:leader="none" w:pos="1863" w:val="left"/>
        </w:tabs>
        <w:numPr>
          <w:ilvl w:val="1"/>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intercompany Indebtedness between or among Holdings and any of its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amount of all Indebtedness owing by any Subsidiary of Holdings that is not a Loan Party to any Loan Party (together with investments in Subsidiaries that are not Loan Parties permitted under </w:t>
      </w:r>
      <w:r>
        <w:rPr>
          <w:rFonts w:ascii="Times New Roman" w:cs="Times New Roman" w:eastAsia="Times New Roman" w:hAnsi="Times New Roman"/>
          <w:sz w:val="19"/>
          <w:szCs w:val="19"/>
          <w:u w:val="single" w:color="auto"/>
          <w:color w:val="auto"/>
        </w:rPr>
        <w:t>Section 7.8(f)</w:t>
      </w:r>
      <w:r>
        <w:rPr>
          <w:rFonts w:ascii="Times New Roman" w:cs="Times New Roman" w:eastAsia="Times New Roman" w:hAnsi="Times New Roman"/>
          <w:sz w:val="19"/>
          <w:szCs w:val="19"/>
          <w:color w:val="auto"/>
        </w:rPr>
        <w:t>) shall not exceed $5,000,000 (determined at the time of such incurrence) and</w:t>
      </w:r>
    </w:p>
    <w:p>
      <w:pPr>
        <w:spacing w:after="0" w:line="2" w:lineRule="exact"/>
        <w:rPr>
          <w:rFonts w:ascii="Times New Roman" w:cs="Times New Roman" w:eastAsia="Times New Roman" w:hAnsi="Times New Roman"/>
          <w:sz w:val="19"/>
          <w:szCs w:val="19"/>
          <w:color w:val="auto"/>
        </w:rPr>
      </w:pPr>
    </w:p>
    <w:p>
      <w:pPr>
        <w:ind w:firstLine="4"/>
        <w:spacing w:after="0" w:line="232" w:lineRule="auto"/>
        <w:tabs>
          <w:tab w:leader="none" w:pos="292"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unsecured Indebtedness owing by any Loan Party to any Subsidiary or Affiliate of such Loan Party that is not a Loan Party that is permitted pursuant to </w:t>
      </w:r>
      <w:r>
        <w:rPr>
          <w:rFonts w:ascii="Times New Roman" w:cs="Times New Roman" w:eastAsia="Times New Roman" w:hAnsi="Times New Roman"/>
          <w:sz w:val="19"/>
          <w:szCs w:val="19"/>
          <w:u w:val="single" w:color="auto"/>
          <w:color w:val="auto"/>
        </w:rPr>
        <w:t>Section 7.8(f)</w:t>
      </w:r>
      <w:r>
        <w:rPr>
          <w:rFonts w:ascii="Times New Roman" w:cs="Times New Roman" w:eastAsia="Times New Roman" w:hAnsi="Times New Roman"/>
          <w:sz w:val="19"/>
          <w:szCs w:val="19"/>
          <w:color w:val="auto"/>
        </w:rPr>
        <w:t xml:space="preserve"> shall be subordinated to the Obligations on terms reasonably acceptable to the Administrative Agent;</w:t>
      </w:r>
    </w:p>
    <w:p>
      <w:pPr>
        <w:spacing w:after="0" w:line="141"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6"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 Obligations incurred in the ordinary course of business by Holdings and its Subsidiaries of obligations of (i) the Borrower any Subsidiary Guarantor and (ii) any Qualified PC Entity under an ordinary course merchant services agreement entered by such Qualified PC Entity in order to facilitate the processing of credit card payments constituting revenue of such Qualified PC;</w:t>
      </w:r>
    </w:p>
    <w:p>
      <w:pPr>
        <w:spacing w:after="0" w:line="142"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outstanding on the date hereof and listed on </w:t>
      </w:r>
      <w:r>
        <w:rPr>
          <w:rFonts w:ascii="Times New Roman" w:cs="Times New Roman" w:eastAsia="Times New Roman" w:hAnsi="Times New Roman"/>
          <w:sz w:val="19"/>
          <w:szCs w:val="19"/>
          <w:u w:val="single" w:color="auto"/>
          <w:color w:val="auto"/>
        </w:rPr>
        <w:t>Schedule 7.2(d)</w:t>
      </w:r>
      <w:r>
        <w:rPr>
          <w:rFonts w:ascii="Times New Roman" w:cs="Times New Roman" w:eastAsia="Times New Roman" w:hAnsi="Times New Roman"/>
          <w:sz w:val="19"/>
          <w:szCs w:val="19"/>
          <w:color w:val="auto"/>
        </w:rPr>
        <w:t xml:space="preserve"> and any refinancings, refundings, renewals or extensions thereof (which do not shorten the maturity thereof or increase the principal amount thereof);</w:t>
      </w:r>
    </w:p>
    <w:p>
      <w:pPr>
        <w:spacing w:after="0" w:line="145"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6"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(including, without limitation, Capital Lease Obligations) secured by Liens permitted by </w:t>
      </w:r>
      <w:r>
        <w:rPr>
          <w:rFonts w:ascii="Times New Roman" w:cs="Times New Roman" w:eastAsia="Times New Roman" w:hAnsi="Times New Roman"/>
          <w:sz w:val="19"/>
          <w:szCs w:val="19"/>
          <w:u w:val="single" w:color="auto"/>
          <w:color w:val="auto"/>
        </w:rPr>
        <w:t>Section 7.3(g)</w:t>
      </w:r>
      <w:r>
        <w:rPr>
          <w:rFonts w:ascii="Times New Roman" w:cs="Times New Roman" w:eastAsia="Times New Roman" w:hAnsi="Times New Roman"/>
          <w:sz w:val="19"/>
          <w:szCs w:val="19"/>
          <w:color w:val="auto"/>
        </w:rPr>
        <w:t xml:space="preserve"> in an aggregate principal amount not to exceed $1,000,000 at any one time outstanding and any refinancings, refundings, renewals or extensions thereof (which do not shorten the maturity thereof or increase the principal amount thereof);</w:t>
      </w:r>
    </w:p>
    <w:p>
      <w:pPr>
        <w:spacing w:after="0" w:line="156" w:lineRule="exact"/>
        <w:rPr>
          <w:rFonts w:ascii="Times New Roman" w:cs="Times New Roman" w:eastAsia="Times New Roman" w:hAnsi="Times New Roman"/>
          <w:sz w:val="19"/>
          <w:szCs w:val="19"/>
          <w:color w:val="auto"/>
        </w:rPr>
      </w:pPr>
    </w:p>
    <w:p>
      <w:pPr>
        <w:ind w:firstLine="1254"/>
        <w:spacing w:after="0" w:line="237" w:lineRule="auto"/>
        <w:tabs>
          <w:tab w:leader="none" w:pos="1871"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in respect of Permitted Earnouts;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earn-out obligations are subordinated in right of payment to the Obligations hereunder on terms and conditions reasonably satisfactory to the Administrative Agent;</w:t>
      </w:r>
    </w:p>
    <w:p>
      <w:pPr>
        <w:spacing w:after="0" w:line="154"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3"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unsecured Indebtedness incurred by Holdings or any Subsidiary thereof (i) incurred in the ordinary course of business of such Loan Party and its Subsidiaries in respect of open accounts extended by suppliers on normal trade terms in connection with purchases of goods and services which are not overdue for a period of more than 90 days or, if overdue for more than 90 days, as to which a dispute exists and adequate reserves in conformity with GAAP have been established on the books of such Loan Party and (ii) in respect of performance, surety or appeal bonds provided in the ordinary course of business, but excluding (in each case) Indebtedness incurred through the borrowing of money or contingent liabilities in respect thereof;</w:t>
      </w:r>
    </w:p>
    <w:p>
      <w:pPr>
        <w:spacing w:after="0" w:line="158"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3"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(i)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Indebtedness is extinguished within 10 Business Days of incurrence and/or (ii) in respect of Cash Management Services;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Indebtedness is unsecured or has been subordinated to the reasonable satisfaction of the Administrative Agent and is in an amount not to exceed $50,000 in the aggregate at any one time outstanding;</w:t>
      </w:r>
    </w:p>
    <w:p>
      <w:pPr>
        <w:spacing w:after="0" w:line="140"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73"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obligations (contingent or otherwise) of Holdings or any of its Subsidiaries existing or arising under any Specified Swap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obligations are (or were) entered into by such Person in accordance with </w:t>
      </w:r>
      <w:r>
        <w:rPr>
          <w:rFonts w:ascii="Times New Roman" w:cs="Times New Roman" w:eastAsia="Times New Roman" w:hAnsi="Times New Roman"/>
          <w:sz w:val="19"/>
          <w:szCs w:val="19"/>
          <w:u w:val="single" w:color="auto"/>
          <w:color w:val="auto"/>
        </w:rPr>
        <w:t>Section 7.13</w:t>
      </w:r>
      <w:r>
        <w:rPr>
          <w:rFonts w:ascii="Times New Roman" w:cs="Times New Roman" w:eastAsia="Times New Roman" w:hAnsi="Times New Roman"/>
          <w:sz w:val="19"/>
          <w:szCs w:val="19"/>
          <w:color w:val="auto"/>
        </w:rPr>
        <w:t xml:space="preserve"> and not for purposes of speculation;</w:t>
      </w:r>
    </w:p>
    <w:p>
      <w:pPr>
        <w:spacing w:after="0" w:line="142" w:lineRule="exact"/>
        <w:rPr>
          <w:rFonts w:ascii="Times New Roman" w:cs="Times New Roman" w:eastAsia="Times New Roman" w:hAnsi="Times New Roman"/>
          <w:sz w:val="19"/>
          <w:szCs w:val="19"/>
          <w:color w:val="auto"/>
        </w:rPr>
      </w:pPr>
    </w:p>
    <w:p>
      <w:pPr>
        <w:jc w:val="both"/>
        <w:ind w:firstLine="1254"/>
        <w:spacing w:after="0" w:line="217" w:lineRule="auto"/>
        <w:tabs>
          <w:tab w:leader="none" w:pos="1873" w:val="left"/>
        </w:tabs>
        <w:numPr>
          <w:ilvl w:val="1"/>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of a Person (other than the Borrower or a Subsidiary) existing at the time such Person is merged with or into a Borrower or a Subsidiary or becomes a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Indebtedness was not, in any case, incurred by such other Person in connection with, or in contemplation of, such merger or acquisition, (ii) such merger or acquisition constitutes a Permitted Acquisition, and</w:t>
      </w:r>
    </w:p>
    <w:p>
      <w:pPr>
        <w:spacing w:after="0" w:line="2" w:lineRule="exact"/>
        <w:rPr>
          <w:rFonts w:ascii="Times New Roman" w:cs="Times New Roman" w:eastAsia="Times New Roman" w:hAnsi="Times New Roman"/>
          <w:sz w:val="19"/>
          <w:szCs w:val="19"/>
          <w:color w:val="auto"/>
        </w:rPr>
      </w:pPr>
    </w:p>
    <w:p>
      <w:pPr>
        <w:ind w:firstLine="4"/>
        <w:spacing w:after="0" w:line="232" w:lineRule="auto"/>
        <w:tabs>
          <w:tab w:leader="none" w:pos="336" w:val="left"/>
        </w:tabs>
        <w:numPr>
          <w:ilvl w:val="0"/>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such Person who becomes a Subsidiary, (A) such Subsidiary is the only obligor in respect of such Indebtedness, and (B) to the extent such Indebtedness is permitted to be secured hereunder, only the assets of such Subsidiary secure such Indebtedness;</w:t>
      </w:r>
    </w:p>
    <w:p>
      <w:pPr>
        <w:spacing w:after="0" w:line="154"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1"/>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of the Loan Parties and their Subsidiaries arising in the ordinary course of business with respect to bid, surety and appeals bonds, performance bonds, completion guarantees, workers compensation claims and other similar obligations, including guarantees or obligations of any Loan Party with respect to letters of credit supporting such bid, performance or surety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ectPr>
          <w:pgSz w:w="11900" w:h="16838" w:orient="portrait"/>
          <w:cols w:equalWidth="0" w:num="1">
            <w:col w:w="11240"/>
          </w:cols>
          <w:pgMar w:left="320" w:top="1354"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9"/>
          <w:szCs w:val="19"/>
          <w:color w:val="auto"/>
        </w:rPr>
        <w:t>bonds, workers’ compensation claims, and other similar obligations (in each case other than for an obligation for borrowed money);</w:t>
      </w:r>
    </w:p>
    <w:p>
      <w:pPr>
        <w:spacing w:after="0" w:line="185" w:lineRule="exact"/>
        <w:rPr>
          <w:sz w:val="20"/>
          <w:szCs w:val="20"/>
          <w:color w:val="auto"/>
        </w:rPr>
      </w:pPr>
    </w:p>
    <w:p>
      <w:pPr>
        <w:jc w:val="both"/>
        <w:ind w:firstLine="1254"/>
        <w:spacing w:after="0" w:line="226" w:lineRule="auto"/>
        <w:tabs>
          <w:tab w:leader="none" w:pos="1873"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consisting of the financing of insurance premiums for the insurance of Holdings or any of its Subsidiaries in the ordinary course of business,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40" w:lineRule="exact"/>
        <w:rPr>
          <w:rFonts w:ascii="Times New Roman" w:cs="Times New Roman" w:eastAsia="Times New Roman" w:hAnsi="Times New Roman"/>
          <w:sz w:val="19"/>
          <w:szCs w:val="19"/>
          <w:color w:val="auto"/>
        </w:rPr>
      </w:pPr>
    </w:p>
    <w:p>
      <w:pPr>
        <w:ind w:firstLine="1254"/>
        <w:spacing w:after="0" w:line="249" w:lineRule="auto"/>
        <w:tabs>
          <w:tab w:leader="none" w:pos="1864"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representing deferred compensation (other than earn-outs) owed to employees of Holdings, the Borrower or any of its Subsidiaries incurred in the ordinary course of business;</w:t>
      </w:r>
    </w:p>
    <w:p>
      <w:pPr>
        <w:spacing w:after="0" w:line="145"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3"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consisting of unsecured promissory notes issued by the Borrower to future, current or former officers, directors, employees, managers and consultants or their respective estates, spouses or former spouses, in each case to finance the purchase or redemption of Capital Stock of Holdings, to the extent such repurchase would be permitted under </w:t>
      </w:r>
      <w:r>
        <w:rPr>
          <w:rFonts w:ascii="Times New Roman" w:cs="Times New Roman" w:eastAsia="Times New Roman" w:hAnsi="Times New Roman"/>
          <w:sz w:val="19"/>
          <w:szCs w:val="19"/>
          <w:u w:val="single" w:color="auto"/>
          <w:color w:val="auto"/>
        </w:rPr>
        <w:t>Section 7.6(f)</w:t>
      </w:r>
      <w:r>
        <w:rPr>
          <w:rFonts w:ascii="Times New Roman" w:cs="Times New Roman" w:eastAsia="Times New Roman" w:hAnsi="Times New Roman"/>
          <w:sz w:val="19"/>
          <w:szCs w:val="19"/>
          <w:color w:val="auto"/>
        </w:rPr>
        <w:t xml:space="preserve"> (which secured Indebtedness is issued in lieu of cash Restricted Payments permitted under </w:t>
      </w:r>
      <w:r>
        <w:rPr>
          <w:rFonts w:ascii="Times New Roman" w:cs="Times New Roman" w:eastAsia="Times New Roman" w:hAnsi="Times New Roman"/>
          <w:sz w:val="19"/>
          <w:szCs w:val="19"/>
          <w:u w:val="single" w:color="auto"/>
          <w:color w:val="auto"/>
        </w:rPr>
        <w:t>Section 7.6(f)</w:t>
      </w:r>
      <w:r>
        <w:rPr>
          <w:rFonts w:ascii="Times New Roman" w:cs="Times New Roman" w:eastAsia="Times New Roman" w:hAnsi="Times New Roman"/>
          <w:sz w:val="19"/>
          <w:szCs w:val="19"/>
          <w:color w:val="auto"/>
        </w:rPr>
        <w:t xml:space="preserve"> (it being understood that any such issuance of Indebtedness will reduce dollar for dollar the amounts available for payment under </w:t>
      </w:r>
      <w:r>
        <w:rPr>
          <w:rFonts w:ascii="Times New Roman" w:cs="Times New Roman" w:eastAsia="Times New Roman" w:hAnsi="Times New Roman"/>
          <w:sz w:val="19"/>
          <w:szCs w:val="19"/>
          <w:u w:val="single" w:color="auto"/>
          <w:color w:val="auto"/>
        </w:rPr>
        <w:t>Section 7.6(f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all Indebtedness under this </w:t>
      </w:r>
      <w:r>
        <w:rPr>
          <w:rFonts w:ascii="Times New Roman" w:cs="Times New Roman" w:eastAsia="Times New Roman" w:hAnsi="Times New Roman"/>
          <w:sz w:val="19"/>
          <w:szCs w:val="19"/>
          <w:u w:val="single" w:color="auto"/>
          <w:color w:val="auto"/>
        </w:rPr>
        <w:t>clause (n)</w:t>
      </w:r>
      <w:r>
        <w:rPr>
          <w:rFonts w:ascii="Times New Roman" w:cs="Times New Roman" w:eastAsia="Times New Roman" w:hAnsi="Times New Roman"/>
          <w:sz w:val="19"/>
          <w:szCs w:val="19"/>
          <w:color w:val="auto"/>
        </w:rPr>
        <w:t xml:space="preserve"> shall not exceed $1,000,000 at any time outstanding; and</w:t>
      </w:r>
    </w:p>
    <w:p>
      <w:pPr>
        <w:spacing w:after="0" w:line="158"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unsecured Indebtedness in an aggregate amount not to exceed $625,000 at any time outstanding.</w:t>
      </w:r>
    </w:p>
    <w:p>
      <w:pPr>
        <w:spacing w:after="0" w:line="17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7.3</w:t>
      </w:r>
      <w:r>
        <w:rPr>
          <w:sz w:val="20"/>
          <w:szCs w:val="20"/>
          <w:color w:val="auto"/>
        </w:rPr>
        <w:tab/>
      </w:r>
      <w:r>
        <w:rPr>
          <w:rFonts w:ascii="Times New Roman" w:cs="Times New Roman" w:eastAsia="Times New Roman" w:hAnsi="Times New Roman"/>
          <w:sz w:val="19"/>
          <w:szCs w:val="19"/>
          <w:b w:val="1"/>
          <w:bCs w:val="1"/>
          <w:color w:val="auto"/>
        </w:rPr>
        <w:t>Liens</w:t>
      </w:r>
      <w:r>
        <w:rPr>
          <w:rFonts w:ascii="Times New Roman" w:cs="Times New Roman" w:eastAsia="Times New Roman" w:hAnsi="Times New Roman"/>
          <w:sz w:val="19"/>
          <w:szCs w:val="19"/>
          <w:color w:val="auto"/>
        </w:rPr>
        <w:t>. Create, incur, assume or suffer to exist any Lien upon any of its property, whether now owned or hereafter acquired,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except:</w:t>
      </w:r>
    </w:p>
    <w:p>
      <w:pPr>
        <w:spacing w:after="0" w:line="163" w:lineRule="exact"/>
        <w:rPr>
          <w:sz w:val="20"/>
          <w:szCs w:val="20"/>
          <w:color w:val="auto"/>
        </w:rPr>
      </w:pPr>
    </w:p>
    <w:p>
      <w:pPr>
        <w:ind w:firstLine="1254"/>
        <w:spacing w:after="0" w:line="237" w:lineRule="auto"/>
        <w:tabs>
          <w:tab w:leader="none" w:pos="1866"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for taxes not yet due or that are being contested in good faith by appropriate proceedings;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adequate reserves with respect thereto are maintained on the books of the applicable Group Member in conformity with GAAP;</w:t>
      </w:r>
    </w:p>
    <w:p>
      <w:pPr>
        <w:spacing w:after="0" w:line="154" w:lineRule="exact"/>
        <w:rPr>
          <w:rFonts w:ascii="Times New Roman" w:cs="Times New Roman" w:eastAsia="Times New Roman" w:hAnsi="Times New Roman"/>
          <w:sz w:val="19"/>
          <w:szCs w:val="19"/>
          <w:color w:val="auto"/>
        </w:rPr>
      </w:pPr>
    </w:p>
    <w:p>
      <w:pPr>
        <w:ind w:firstLine="1254"/>
        <w:spacing w:after="0" w:line="237" w:lineRule="auto"/>
        <w:tabs>
          <w:tab w:leader="none" w:pos="1863"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carriers’, warehousemen’s, landlord’s, mechanics’, materialmen’s, repairmen’s or other like Liens arising in the ordinary course of business that are not overdue for a period of more than 30 days or that are being contested in good faith by appropriate proceedings;</w:t>
      </w:r>
    </w:p>
    <w:p>
      <w:pPr>
        <w:spacing w:after="0" w:line="153"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pledges or deposits in connection with workers’ compensation, unemployment insurance and other social security</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legislation;</w:t>
      </w:r>
    </w:p>
    <w:p>
      <w:pPr>
        <w:spacing w:after="0" w:line="150"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3"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deposits to secure the performance of bids, trade contracts (other than for borrowed money), leases, statutory obligations, surety and appeal bonds, performance bonds and other obligations of a like nature incurred in the ordinary course of business (other than for indebtedness or any Liens arising under ERISA);</w:t>
      </w:r>
    </w:p>
    <w:p>
      <w:pPr>
        <w:spacing w:after="0" w:line="142"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6"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applicable Group Member;</w:t>
      </w:r>
    </w:p>
    <w:p>
      <w:pPr>
        <w:spacing w:after="0" w:line="142"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71"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in existence on the date hereof listed on </w:t>
      </w:r>
      <w:r>
        <w:rPr>
          <w:rFonts w:ascii="Times New Roman" w:cs="Times New Roman" w:eastAsia="Times New Roman" w:hAnsi="Times New Roman"/>
          <w:sz w:val="19"/>
          <w:szCs w:val="19"/>
          <w:u w:val="single" w:color="auto"/>
          <w:color w:val="auto"/>
        </w:rPr>
        <w:t>Schedule 7.3(f)</w:t>
      </w:r>
      <w:r>
        <w:rPr>
          <w:rFonts w:ascii="Times New Roman" w:cs="Times New Roman" w:eastAsia="Times New Roman" w:hAnsi="Times New Roman"/>
          <w:sz w:val="19"/>
          <w:szCs w:val="19"/>
          <w:color w:val="auto"/>
        </w:rPr>
        <w:t xml:space="preserve">, securing Indebtedness permitted by </w:t>
      </w:r>
      <w:r>
        <w:rPr>
          <w:rFonts w:ascii="Times New Roman" w:cs="Times New Roman" w:eastAsia="Times New Roman" w:hAnsi="Times New Roman"/>
          <w:sz w:val="19"/>
          <w:szCs w:val="19"/>
          <w:u w:val="single" w:color="auto"/>
          <w:color w:val="auto"/>
        </w:rPr>
        <w:t>Section 7.2(d)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 such Lien is spread to cover any additional property after the Closing Date, (ii) the amount of Indebtedness secured or benefitted thereby is not increased, (iii) the direct or any contingent obligor with respect thereto is not changed, and (iv) any renewal or extension of the obligations secured thereby is permitted by </w:t>
      </w:r>
      <w:r>
        <w:rPr>
          <w:rFonts w:ascii="Times New Roman" w:cs="Times New Roman" w:eastAsia="Times New Roman" w:hAnsi="Times New Roman"/>
          <w:sz w:val="19"/>
          <w:szCs w:val="19"/>
          <w:u w:val="single" w:color="auto"/>
          <w:color w:val="auto"/>
        </w:rPr>
        <w:t>Section 7.2(d)</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securing Indebtedness incurred pursuant to </w:t>
      </w:r>
      <w:r>
        <w:rPr>
          <w:rFonts w:ascii="Times New Roman" w:cs="Times New Roman" w:eastAsia="Times New Roman" w:hAnsi="Times New Roman"/>
          <w:sz w:val="19"/>
          <w:szCs w:val="19"/>
          <w:u w:val="single" w:color="auto"/>
          <w:color w:val="auto"/>
        </w:rPr>
        <w:t>Section 7.2(e)</w:t>
      </w:r>
      <w:r>
        <w:rPr>
          <w:rFonts w:ascii="Times New Roman" w:cs="Times New Roman" w:eastAsia="Times New Roman" w:hAnsi="Times New Roman"/>
          <w:sz w:val="19"/>
          <w:szCs w:val="19"/>
          <w:color w:val="auto"/>
        </w:rPr>
        <w:t xml:space="preserve"> to finance the acquisition of fixed or capital assets;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Liens shall be created substantially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95</w:t>
      </w:r>
    </w:p>
    <w:p>
      <w:pPr>
        <w:sectPr>
          <w:pgSz w:w="11900" w:h="16838" w:orient="portrait"/>
          <w:cols w:equalWidth="0" w:num="1">
            <w:col w:w="11240"/>
          </w:cols>
          <w:pgMar w:left="320" w:top="1354" w:right="339" w:bottom="1440" w:gutter="0" w:footer="0" w:header="0"/>
        </w:sectPr>
      </w:pPr>
    </w:p>
    <w:bookmarkStart w:id="227" w:name="page228"/>
    <w:bookmarkEnd w:id="227"/>
    <w:p>
      <w:pPr>
        <w:spacing w:after="0" w:line="249" w:lineRule="auto"/>
        <w:rPr>
          <w:sz w:val="20"/>
          <w:szCs w:val="20"/>
          <w:color w:val="auto"/>
        </w:rPr>
      </w:pPr>
      <w:r>
        <w:rPr>
          <w:rFonts w:ascii="Times New Roman" w:cs="Times New Roman" w:eastAsia="Times New Roman" w:hAnsi="Times New Roman"/>
          <w:sz w:val="19"/>
          <w:szCs w:val="19"/>
          <w:color w:val="auto"/>
        </w:rPr>
        <w:t>simultaneously with the acquisition of such fixed or capital assets, (ii) such Liens do not at any time encumber any property other than the property financed by such Indebtedness, and (iii) the amount of Indebtedness secured thereby is not increased;</w:t>
      </w:r>
    </w:p>
    <w:p>
      <w:pPr>
        <w:spacing w:after="0" w:line="133" w:lineRule="exact"/>
        <w:rPr>
          <w:sz w:val="20"/>
          <w:szCs w:val="20"/>
          <w:color w:val="auto"/>
        </w:rPr>
      </w:pPr>
    </w:p>
    <w:p>
      <w:pPr>
        <w:ind w:left="1860" w:hanging="606"/>
        <w:spacing w:after="0"/>
        <w:tabs>
          <w:tab w:leader="none" w:pos="1860"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created pursuant to the Security Documents;</w:t>
      </w:r>
    </w:p>
    <w:p>
      <w:pPr>
        <w:spacing w:after="0" w:line="185" w:lineRule="exact"/>
        <w:rPr>
          <w:rFonts w:ascii="Times New Roman" w:cs="Times New Roman" w:eastAsia="Times New Roman" w:hAnsi="Times New Roman"/>
          <w:sz w:val="19"/>
          <w:szCs w:val="19"/>
          <w:color w:val="auto"/>
        </w:rPr>
      </w:pPr>
    </w:p>
    <w:p>
      <w:pPr>
        <w:ind w:firstLine="1254"/>
        <w:spacing w:after="0" w:line="249" w:lineRule="auto"/>
        <w:tabs>
          <w:tab w:leader="none" w:pos="1873"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interest or title of a lessor or licensor under any lease or license entered into by a Group Member in the ordinary course of its business and covering only the assets so leased or licensed;</w:t>
      </w:r>
    </w:p>
    <w:p>
      <w:pPr>
        <w:spacing w:after="0" w:line="132"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judgment Liens that do not constitute an Event of Default under </w:t>
      </w:r>
      <w:r>
        <w:rPr>
          <w:rFonts w:ascii="Times New Roman" w:cs="Times New Roman" w:eastAsia="Times New Roman" w:hAnsi="Times New Roman"/>
          <w:sz w:val="19"/>
          <w:szCs w:val="19"/>
          <w:u w:val="single" w:color="auto"/>
          <w:color w:val="auto"/>
        </w:rPr>
        <w:t>Section 8.1(h)</w:t>
      </w:r>
      <w:r>
        <w:rPr>
          <w:rFonts w:ascii="Times New Roman" w:cs="Times New Roman" w:eastAsia="Times New Roman" w:hAnsi="Times New Roman"/>
          <w:sz w:val="19"/>
          <w:szCs w:val="19"/>
          <w:color w:val="auto"/>
        </w:rPr>
        <w:t xml:space="preserve"> of this Agreement;</w:t>
      </w:r>
    </w:p>
    <w:p>
      <w:pPr>
        <w:spacing w:after="0" w:line="185"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3"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143"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1"/>
          <w:numId w:val="2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cash deposits and liens on cash and Cash Equivalents pledged to secure Indebtedness permitted under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w:t>
      </w:r>
    </w:p>
    <w:p>
      <w:pPr>
        <w:ind w:firstLine="4"/>
        <w:spacing w:after="0" w:line="232" w:lineRule="auto"/>
        <w:tabs>
          <w:tab w:leader="none" w:pos="306"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securing reimbursement obligations with respect to letters of credit permitted by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 xml:space="preserve"> that encumber documents and other property relating to such letters of credit, and (iii) Liens securing Swap Obligations permitted by </w:t>
      </w:r>
      <w:r>
        <w:rPr>
          <w:rFonts w:ascii="Times New Roman" w:cs="Times New Roman" w:eastAsia="Times New Roman" w:hAnsi="Times New Roman"/>
          <w:sz w:val="19"/>
          <w:szCs w:val="19"/>
          <w:u w:val="single" w:color="auto"/>
          <w:color w:val="auto"/>
        </w:rPr>
        <w:t>Section 7.2(i)</w:t>
      </w:r>
      <w:r>
        <w:rPr>
          <w:rFonts w:ascii="Times New Roman" w:cs="Times New Roman" w:eastAsia="Times New Roman" w:hAnsi="Times New Roman"/>
          <w:sz w:val="19"/>
          <w:szCs w:val="19"/>
          <w:color w:val="auto"/>
        </w:rPr>
        <w:t>;</w:t>
      </w:r>
    </w:p>
    <w:p>
      <w:pPr>
        <w:spacing w:after="0" w:line="141"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4"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property of a Person existing at the time such Person is acquired by, merged into or consolidated with a Group Member or becomes a Subsidiary of a Group Member or acquired by a Group Member;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Liens were not created in contemplation of such acquisition, merger, consolidation or Investment, (ii) such Liens do not extend to any assets other than those of such Person, and (iii) the applicable Indebtedness secured by such Lien is permitted under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w:t>
      </w:r>
    </w:p>
    <w:p>
      <w:pPr>
        <w:spacing w:after="0" w:line="153"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replacement, extension or renewal of any Lien permitted by </w:t>
      </w:r>
      <w:r>
        <w:rPr>
          <w:rFonts w:ascii="Times New Roman" w:cs="Times New Roman" w:eastAsia="Times New Roman" w:hAnsi="Times New Roman"/>
          <w:sz w:val="19"/>
          <w:szCs w:val="19"/>
          <w:u w:val="single" w:color="auto"/>
          <w:color w:val="auto"/>
        </w:rPr>
        <w:t>clause (m)</w:t>
      </w:r>
      <w:r>
        <w:rPr>
          <w:rFonts w:ascii="Times New Roman" w:cs="Times New Roman" w:eastAsia="Times New Roman" w:hAnsi="Times New Roman"/>
          <w:sz w:val="19"/>
          <w:szCs w:val="19"/>
          <w:color w:val="auto"/>
        </w:rPr>
        <w:t xml:space="preserve"> above upon or in the same property theretofore subject thereto or the replacement, extension or renewal (without increase in the amount or change in any direct or contingent obligor) of the Indebtedness secured thereby;</w:t>
      </w:r>
    </w:p>
    <w:p>
      <w:pPr>
        <w:spacing w:after="0" w:line="156" w:lineRule="exact"/>
        <w:rPr>
          <w:rFonts w:ascii="Times New Roman" w:cs="Times New Roman" w:eastAsia="Times New Roman" w:hAnsi="Times New Roman"/>
          <w:sz w:val="19"/>
          <w:szCs w:val="19"/>
          <w:color w:val="auto"/>
        </w:rPr>
      </w:pPr>
    </w:p>
    <w:p>
      <w:pPr>
        <w:ind w:firstLine="1254"/>
        <w:spacing w:after="0" w:line="237" w:lineRule="auto"/>
        <w:tabs>
          <w:tab w:leader="none" w:pos="1863"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solely on any cash earnest money deposits made by a Loan Party Borrower or any of its Subsidiaries in connection with any letter of intent or purchase agreement with respect to a Permitted Acquisition;</w:t>
      </w:r>
    </w:p>
    <w:p>
      <w:pPr>
        <w:spacing w:after="0" w:line="154"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customary rights of first refusal or first offer, and tag, drag and similar rights in joint venture agreements;</w:t>
      </w:r>
    </w:p>
    <w:p>
      <w:pPr>
        <w:spacing w:after="0" w:line="185" w:lineRule="exact"/>
        <w:rPr>
          <w:rFonts w:ascii="Times New Roman" w:cs="Times New Roman" w:eastAsia="Times New Roman" w:hAnsi="Times New Roman"/>
          <w:sz w:val="19"/>
          <w:szCs w:val="19"/>
          <w:color w:val="auto"/>
        </w:rPr>
      </w:pPr>
    </w:p>
    <w:p>
      <w:pPr>
        <w:ind w:firstLine="1254"/>
        <w:spacing w:after="0" w:line="237" w:lineRule="auto"/>
        <w:tabs>
          <w:tab w:leader="none" w:pos="1863"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insurance policies and the proceeds thereof (whether accrued or not) and rights or claims against an insurer in each case securing insurance premium financings permitted under </w:t>
      </w:r>
      <w:r>
        <w:rPr>
          <w:rFonts w:ascii="Times New Roman" w:cs="Times New Roman" w:eastAsia="Times New Roman" w:hAnsi="Times New Roman"/>
          <w:sz w:val="19"/>
          <w:szCs w:val="19"/>
          <w:u w:val="single" w:color="auto"/>
          <w:color w:val="auto"/>
        </w:rPr>
        <w:t>Section 7.2.(l)</w:t>
      </w:r>
      <w:r>
        <w:rPr>
          <w:rFonts w:ascii="Times New Roman" w:cs="Times New Roman" w:eastAsia="Times New Roman" w:hAnsi="Times New Roman"/>
          <w:sz w:val="19"/>
          <w:szCs w:val="19"/>
          <w:color w:val="auto"/>
        </w:rPr>
        <w:t>; and</w:t>
      </w:r>
    </w:p>
    <w:p>
      <w:pPr>
        <w:spacing w:after="0" w:line="154"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1"/>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Liens securing Indebtedness in an aggregate principal amount not to exceed $625,000 at any time outstanding.</w:t>
      </w:r>
    </w:p>
    <w:p>
      <w:pPr>
        <w:spacing w:after="0" w:line="183" w:lineRule="exact"/>
        <w:rPr>
          <w:sz w:val="20"/>
          <w:szCs w:val="20"/>
          <w:color w:val="auto"/>
        </w:rPr>
      </w:pPr>
    </w:p>
    <w:p>
      <w:pPr>
        <w:ind w:firstLine="625"/>
        <w:spacing w:after="0" w:line="238" w:lineRule="auto"/>
        <w:rPr>
          <w:sz w:val="20"/>
          <w:szCs w:val="20"/>
          <w:color w:val="auto"/>
        </w:rPr>
      </w:pPr>
      <w:r>
        <w:rPr>
          <w:rFonts w:ascii="Times New Roman" w:cs="Times New Roman" w:eastAsia="Times New Roman" w:hAnsi="Times New Roman"/>
          <w:sz w:val="19"/>
          <w:szCs w:val="19"/>
          <w:b w:val="1"/>
          <w:bCs w:val="1"/>
          <w:color w:val="auto"/>
        </w:rPr>
        <w:t>7.4 Fundamental Changes</w:t>
      </w:r>
      <w:r>
        <w:rPr>
          <w:rFonts w:ascii="Times New Roman" w:cs="Times New Roman" w:eastAsia="Times New Roman" w:hAnsi="Times New Roman"/>
          <w:sz w:val="19"/>
          <w:szCs w:val="19"/>
          <w:color w:val="auto"/>
        </w:rPr>
        <w:t>. Enter into any merger, consolidation or amalgamation, or liquidate, wind up or dissolve itself (or suffer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liquidation or dissolution), or Dispose of all or substantially all of its property or business, except that:</w:t>
      </w:r>
    </w:p>
    <w:p>
      <w:pPr>
        <w:spacing w:after="0" w:line="155" w:lineRule="exact"/>
        <w:rPr>
          <w:sz w:val="20"/>
          <w:szCs w:val="20"/>
          <w:color w:val="auto"/>
        </w:rPr>
      </w:pPr>
    </w:p>
    <w:p>
      <w:pPr>
        <w:ind w:firstLine="1254"/>
        <w:spacing w:after="0" w:line="249" w:lineRule="auto"/>
        <w:tabs>
          <w:tab w:leader="none" w:pos="1866"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Subsidiary of Holdings may be merged or consolidated with or into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be the continuing or surviving corporation) or with or into</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ectPr>
          <w:pgSz w:w="11900" w:h="16838" w:orient="portrait"/>
          <w:cols w:equalWidth="0" w:num="1">
            <w:col w:w="11240"/>
          </w:cols>
          <w:pgMar w:left="320" w:top="1354"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9"/>
          <w:szCs w:val="19"/>
          <w:color w:val="auto"/>
        </w:rPr>
        <w:t>any Subsidiary Guarantor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Subsidiary Guarantor shall be the continuing or surviving corporation);</w:t>
      </w:r>
    </w:p>
    <w:p>
      <w:pPr>
        <w:spacing w:after="0" w:line="185" w:lineRule="exact"/>
        <w:rPr>
          <w:sz w:val="20"/>
          <w:szCs w:val="20"/>
          <w:color w:val="auto"/>
        </w:rPr>
      </w:pPr>
    </w:p>
    <w:p>
      <w:pPr>
        <w:ind w:firstLine="1254"/>
        <w:spacing w:after="0" w:line="237" w:lineRule="auto"/>
        <w:tabs>
          <w:tab w:leader="none" w:pos="1863"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Subsidiary of Holdings may Dispose of any or all of its assets (i) to the Borrower or any other Subsidiary Guarantor (upon voluntary liquidation or otherwise) or (ii) pursuant to a Disposition permitted by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and</w:t>
      </w:r>
    </w:p>
    <w:p>
      <w:pPr>
        <w:spacing w:after="0" w:line="154"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Investment expressly permitted by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may be structured as a merger, consolidation or amalgamation.</w:t>
      </w:r>
    </w:p>
    <w:p>
      <w:pPr>
        <w:spacing w:after="0" w:line="17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7.5</w:t>
      </w:r>
      <w:r>
        <w:rPr>
          <w:sz w:val="20"/>
          <w:szCs w:val="20"/>
          <w:color w:val="auto"/>
        </w:rPr>
        <w:tab/>
      </w:r>
      <w:r>
        <w:rPr>
          <w:rFonts w:ascii="Times New Roman" w:cs="Times New Roman" w:eastAsia="Times New Roman" w:hAnsi="Times New Roman"/>
          <w:sz w:val="19"/>
          <w:szCs w:val="19"/>
          <w:b w:val="1"/>
          <w:bCs w:val="1"/>
          <w:color w:val="auto"/>
        </w:rPr>
        <w:t>Disposition of Property</w:t>
      </w:r>
      <w:r>
        <w:rPr>
          <w:rFonts w:ascii="Times New Roman" w:cs="Times New Roman" w:eastAsia="Times New Roman" w:hAnsi="Times New Roman"/>
          <w:sz w:val="19"/>
          <w:szCs w:val="19"/>
          <w:color w:val="auto"/>
        </w:rPr>
        <w:t>. Dispose of any of its property, whether now owned or hereafter acquired, or, in the case of any</w:t>
      </w:r>
    </w:p>
    <w:p>
      <w:pPr>
        <w:spacing w:after="0"/>
        <w:rPr>
          <w:sz w:val="20"/>
          <w:szCs w:val="20"/>
          <w:color w:val="auto"/>
        </w:rPr>
      </w:pPr>
      <w:r>
        <w:rPr>
          <w:rFonts w:ascii="Times New Roman" w:cs="Times New Roman" w:eastAsia="Times New Roman" w:hAnsi="Times New Roman"/>
          <w:sz w:val="19"/>
          <w:szCs w:val="19"/>
          <w:color w:val="auto"/>
        </w:rPr>
        <w:t>Subsidiary of Holdings, issue or sell any shares of such Subsidiary’s Capital Stock to any Person, except:</w:t>
      </w:r>
    </w:p>
    <w:p>
      <w:pPr>
        <w:spacing w:after="0" w:line="163" w:lineRule="exact"/>
        <w:rPr>
          <w:sz w:val="20"/>
          <w:szCs w:val="20"/>
          <w:color w:val="auto"/>
        </w:rPr>
      </w:pPr>
    </w:p>
    <w:p>
      <w:pPr>
        <w:ind w:left="1880" w:hanging="626"/>
        <w:spacing w:after="0"/>
        <w:tabs>
          <w:tab w:leader="none" w:pos="188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obsolete or worn out property in the ordinary course of business;</w:t>
      </w:r>
    </w:p>
    <w:p>
      <w:pPr>
        <w:spacing w:after="0" w:line="185"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Inventory or immaterial assets in the ordinary course of business;</w:t>
      </w:r>
    </w:p>
    <w:p>
      <w:pPr>
        <w:spacing w:after="0" w:line="172"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permitted by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7.4(b)</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or issuance of the Capital Stock of any Subsidiary of Holdings to the Borrower or to any Subsidiary Guarantor;</w:t>
      </w:r>
    </w:p>
    <w:p>
      <w:pPr>
        <w:spacing w:after="0" w:line="171"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use or transfer of money or Cash Equivalents in a manner that is not prohibited by the terms of this Agreement or the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Loan Documents;</w:t>
      </w:r>
    </w:p>
    <w:p>
      <w:pPr>
        <w:spacing w:after="0" w:line="162"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non-exclusive licensing of patents, trademarks, copyrights, and other Intellectual Property rights in the ordinary course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business;</w:t>
      </w:r>
    </w:p>
    <w:p>
      <w:pPr>
        <w:spacing w:after="0" w:line="150"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Disposition of property (i) from any Loan Party to any other Loan Party, and (ii) from any Subsidiary that is not a Loan Party to any other Group Member;</w:t>
      </w:r>
    </w:p>
    <w:p>
      <w:pPr>
        <w:spacing w:after="0" w:line="145"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property subject to a Casualty Event;</w:t>
      </w:r>
    </w:p>
    <w:p>
      <w:pPr>
        <w:spacing w:after="0" w:line="172"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leases or subleases of real property;</w:t>
      </w:r>
    </w:p>
    <w:p>
      <w:pPr>
        <w:spacing w:after="0" w:line="185"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72"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3"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abandonment, cancellation, non-renewal or discontinuance of use or maintenance of Intellectual Property (or rights relating thereto) of any Group Member that the Borrower determines in good faith is desirable in the conduct of its business and not materially disadvantageous to the interests of the Lenders;</w:t>
      </w:r>
    </w:p>
    <w:p>
      <w:pPr>
        <w:spacing w:after="0" w:line="142" w:lineRule="exact"/>
        <w:rPr>
          <w:rFonts w:ascii="Times New Roman" w:cs="Times New Roman" w:eastAsia="Times New Roman" w:hAnsi="Times New Roman"/>
          <w:sz w:val="19"/>
          <w:szCs w:val="19"/>
          <w:color w:val="auto"/>
        </w:rPr>
      </w:pPr>
    </w:p>
    <w:p>
      <w:pPr>
        <w:ind w:firstLine="1254"/>
        <w:spacing w:after="0" w:line="249" w:lineRule="auto"/>
        <w:tabs>
          <w:tab w:leader="none" w:pos="1873"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leases, as lessor, of real or personal property (other than intellectual property) no longer used or useful in such Person’s business and otherwise in the ordinary course of business;</w:t>
      </w:r>
    </w:p>
    <w:p>
      <w:pPr>
        <w:spacing w:after="0" w:line="145"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4"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assets to the extent that such assets are exchanged for credit against the purchase price of similar replacement assets, or the proceeds of such Dispositions are reasonably promptly applied to the purchase price of similar replacement assets, all in the ordinary course of business;</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or forgiveness of accounts receivable solely in connection with the collection or compromise thereof (including sales to factors or other third parties) and not as part of any financing transaction, in each case, in the ordinary course of business and without recourse;</w:t>
      </w:r>
    </w:p>
    <w:p>
      <w:pPr>
        <w:spacing w:after="0" w:line="156" w:lineRule="exact"/>
        <w:rPr>
          <w:rFonts w:ascii="Times New Roman" w:cs="Times New Roman" w:eastAsia="Times New Roman" w:hAnsi="Times New Roman"/>
          <w:sz w:val="19"/>
          <w:szCs w:val="19"/>
          <w:color w:val="auto"/>
        </w:rPr>
      </w:pPr>
    </w:p>
    <w:p>
      <w:pPr>
        <w:ind w:firstLine="1254"/>
        <w:spacing w:after="0" w:line="237" w:lineRule="auto"/>
        <w:tabs>
          <w:tab w:leader="none" w:pos="1863" w:val="left"/>
        </w:tabs>
        <w:numPr>
          <w:ilvl w:val="0"/>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leases, subleases, service agreements, product sales, transfers, licenses or sublicenses (including transfers and non-exclusive licenses and sublicenses of intellectual property), in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97</w:t>
      </w:r>
    </w:p>
    <w:p>
      <w:pPr>
        <w:sectPr>
          <w:pgSz w:w="11900" w:h="16838" w:orient="portrait"/>
          <w:cols w:equalWidth="0" w:num="1">
            <w:col w:w="11240"/>
          </w:cols>
          <w:pgMar w:left="320" w:top="1354" w:right="339" w:bottom="1440" w:gutter="0" w:footer="0" w:header="0"/>
        </w:sectPr>
      </w:pPr>
    </w:p>
    <w:bookmarkStart w:id="229" w:name="page230"/>
    <w:bookmarkEnd w:id="229"/>
    <w:p>
      <w:pPr>
        <w:spacing w:after="0" w:line="249" w:lineRule="auto"/>
        <w:rPr>
          <w:sz w:val="20"/>
          <w:szCs w:val="20"/>
          <w:color w:val="auto"/>
        </w:rPr>
      </w:pPr>
      <w:r>
        <w:rPr>
          <w:rFonts w:ascii="Times New Roman" w:cs="Times New Roman" w:eastAsia="Times New Roman" w:hAnsi="Times New Roman"/>
          <w:sz w:val="19"/>
          <w:szCs w:val="19"/>
          <w:color w:val="auto"/>
        </w:rPr>
        <w:t>each case in the ordinary course of business and that do not interfere in any material respect with the business of Holdings, the Borrower or any of its Subsidiaries;</w:t>
      </w:r>
    </w:p>
    <w:p>
      <w:pPr>
        <w:spacing w:after="0" w:line="133" w:lineRule="exact"/>
        <w:rPr>
          <w:sz w:val="20"/>
          <w:szCs w:val="20"/>
          <w:color w:val="auto"/>
        </w:rPr>
      </w:pPr>
    </w:p>
    <w:p>
      <w:pPr>
        <w:jc w:val="both"/>
        <w:ind w:firstLine="1254"/>
        <w:spacing w:after="0" w:line="234" w:lineRule="auto"/>
        <w:tabs>
          <w:tab w:leader="none" w:pos="1863"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Investments in joint ventures or non-wholly owned Subsidiaries of the Borrower solely to the extent required by, or made pursuant to customary buy/sell arrangements between, the joint venture parties set forth in joint venture arrangements and similar binding arrangements;</w:t>
      </w:r>
    </w:p>
    <w:p>
      <w:pPr>
        <w:spacing w:after="0" w:line="142"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3"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made for fair market value, subject to the satisfaction of the following conditions: (i) the aggregate fair market value, as well as the aggregate book value, of the assets subject to such Dispositions shall not exceed $750,000 in any Fiscal Year; (ii) immediately prior to and immediately after giving effect to such Disposition, no Default or Event of Default shall have occurred and be continuing or would result therefrom; (iii) the Net Cash Proceeds thereof are used to prepay the Term Loans in accordance with </w:t>
      </w:r>
      <w:r>
        <w:rPr>
          <w:rFonts w:ascii="Times New Roman" w:cs="Times New Roman" w:eastAsia="Times New Roman" w:hAnsi="Times New Roman"/>
          <w:sz w:val="19"/>
          <w:szCs w:val="19"/>
          <w:u w:val="single" w:color="auto"/>
          <w:color w:val="auto"/>
        </w:rPr>
        <w:t>Section 2.12(c)</w:t>
      </w:r>
      <w:r>
        <w:rPr>
          <w:rFonts w:ascii="Times New Roman" w:cs="Times New Roman" w:eastAsia="Times New Roman" w:hAnsi="Times New Roman"/>
          <w:sz w:val="19"/>
          <w:szCs w:val="19"/>
          <w:color w:val="auto"/>
        </w:rPr>
        <w:t>; and (iv) at least 75.0% of the consideration received for such sale, transfer, lease, contribution or conveyance is received in cash; and</w:t>
      </w:r>
    </w:p>
    <w:p>
      <w:pPr>
        <w:spacing w:after="0" w:line="157" w:lineRule="exact"/>
        <w:rPr>
          <w:rFonts w:ascii="Times New Roman" w:cs="Times New Roman" w:eastAsia="Times New Roman" w:hAnsi="Times New Roman"/>
          <w:sz w:val="19"/>
          <w:szCs w:val="19"/>
          <w:color w:val="auto"/>
        </w:rPr>
      </w:pPr>
    </w:p>
    <w:p>
      <w:pPr>
        <w:jc w:val="both"/>
        <w:ind w:firstLine="1254"/>
        <w:spacing w:after="0" w:line="220" w:lineRule="auto"/>
        <w:tabs>
          <w:tab w:leader="none" w:pos="1871" w:val="left"/>
        </w:tabs>
        <w:numPr>
          <w:ilvl w:val="0"/>
          <w:numId w:val="2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of any non-core assets acquired in connection with any Permitted Acquisition;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fair market value of such assets shall not exceed 10.0% of the consideration paid in such Permitted Acquisition, (ii) both before and after giving effect to any such Disposition, no Default or Event of Default shall exist or would result therefrom and (iii) the Net Cash Proceeds shall be (A) in an amount at least equal to the fair market value of the asset(s) subject to such Disposition and (B) to the extent paid in cash, applied in accordance with </w:t>
      </w:r>
      <w:r>
        <w:rPr>
          <w:rFonts w:ascii="Times New Roman" w:cs="Times New Roman" w:eastAsia="Times New Roman" w:hAnsi="Times New Roman"/>
          <w:sz w:val="19"/>
          <w:szCs w:val="19"/>
          <w:u w:val="single" w:color="auto"/>
          <w:color w:val="auto"/>
        </w:rPr>
        <w:t>Section 2.12(c)</w:t>
      </w:r>
      <w:r>
        <w:rPr>
          <w:rFonts w:ascii="Times New Roman" w:cs="Times New Roman" w:eastAsia="Times New Roman" w:hAnsi="Times New Roman"/>
          <w:sz w:val="19"/>
          <w:szCs w:val="19"/>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that any Disposition made pursuant to this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xml:space="preserve"> shall be made in good faith on an arm’s length basis for fair value.</w:t>
      </w:r>
    </w:p>
    <w:p>
      <w:pPr>
        <w:spacing w:after="0" w:line="198"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7.6 Restricted Payments</w:t>
      </w:r>
      <w:r>
        <w:rPr>
          <w:rFonts w:ascii="Times New Roman" w:cs="Times New Roman" w:eastAsia="Times New Roman" w:hAnsi="Times New Roman"/>
          <w:sz w:val="19"/>
          <w:szCs w:val="19"/>
          <w:color w:val="auto"/>
        </w:rPr>
        <w:t>. Make any payment or prepayment of principal of, premium, if any, or interest on, or redemption, purchase,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retirement, defeasance (including in-substance or legal defeasance), sinking fund or similar payment with respect to, any Subordinated</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Indebtedness, pay any earn-out payment, seller debt or other deferred purchase payments, declare or pay any dividend (other than dividends payable solely in common stock of the Person making such dividend) on, or make any payment on account of, or set apart assets for a sinking or</w:t>
      </w:r>
    </w:p>
    <w:p>
      <w:pPr>
        <w:spacing w:after="0" w:line="215" w:lineRule="auto"/>
        <w:rPr>
          <w:sz w:val="20"/>
          <w:szCs w:val="20"/>
          <w:color w:val="auto"/>
        </w:rPr>
      </w:pPr>
      <w:r>
        <w:rPr>
          <w:rFonts w:ascii="Times New Roman" w:cs="Times New Roman" w:eastAsia="Times New Roman" w:hAnsi="Times New Roman"/>
          <w:sz w:val="19"/>
          <w:szCs w:val="19"/>
          <w:color w:val="auto"/>
        </w:rPr>
        <w:t>other analogous fund for, the purchase, redemption, defeasance, retirement or other acquisition of, any Capital Stock of any Group Member,</w:t>
      </w:r>
    </w:p>
    <w:p>
      <w:pPr>
        <w:spacing w:after="0" w:line="207" w:lineRule="auto"/>
        <w:rPr>
          <w:sz w:val="20"/>
          <w:szCs w:val="20"/>
          <w:color w:val="auto"/>
        </w:rPr>
      </w:pPr>
      <w:r>
        <w:rPr>
          <w:rFonts w:ascii="Times New Roman" w:cs="Times New Roman" w:eastAsia="Times New Roman" w:hAnsi="Times New Roman"/>
          <w:sz w:val="19"/>
          <w:szCs w:val="19"/>
          <w:color w:val="auto"/>
        </w:rPr>
        <w:t>whether now or hereafter outstanding, or make any other distribution in respect thereof, either directly or indirectly, whether in cash or property or in obligations of any Group Member (collectively, “</w:t>
      </w:r>
      <w:r>
        <w:rPr>
          <w:rFonts w:ascii="Times New Roman" w:cs="Times New Roman" w:eastAsia="Times New Roman" w:hAnsi="Times New Roman"/>
          <w:sz w:val="19"/>
          <w:szCs w:val="19"/>
          <w:b w:val="1"/>
          <w:bCs w:val="1"/>
          <w:i w:val="1"/>
          <w:iCs w:val="1"/>
          <w:color w:val="auto"/>
        </w:rPr>
        <w:t>Restricted Payments</w:t>
      </w:r>
      <w:r>
        <w:rPr>
          <w:rFonts w:ascii="Times New Roman" w:cs="Times New Roman" w:eastAsia="Times New Roman" w:hAnsi="Times New Roman"/>
          <w:sz w:val="19"/>
          <w:szCs w:val="19"/>
          <w:color w:val="auto"/>
        </w:rPr>
        <w:t>”), except that, so long as no Event of Default shall have occurred and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continuing at the time of any action described below or would result therefrom:</w:t>
      </w:r>
    </w:p>
    <w:p>
      <w:pPr>
        <w:spacing w:after="0" w:line="149" w:lineRule="exact"/>
        <w:rPr>
          <w:sz w:val="20"/>
          <w:szCs w:val="20"/>
          <w:color w:val="auto"/>
        </w:rPr>
      </w:pPr>
    </w:p>
    <w:p>
      <w:pPr>
        <w:ind w:left="1880" w:hanging="626"/>
        <w:spacing w:after="0"/>
        <w:tabs>
          <w:tab w:leader="none" w:pos="1880"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Subsidiary of any Group Member may make Restricted Payments to the Borrower or any Subsidiary of the Borrower</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is a Loan Party;</w:t>
      </w:r>
    </w:p>
    <w:p>
      <w:pPr>
        <w:spacing w:after="0" w:line="163"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3"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repurchase, redeem or otherwise acquire or retire for value any Capital Stock of Holdings held by any employee, director, consultant or officer of any Loan Party or Subsidiary of any Loan Party pursuant to any employee equity subscription agreement, stock option agreement, stock ownership arrangement or any similar arrangement upon the death, disability, retirement or termination of employment of such employee, director, consultant or officer to the extent (i) not exceeding $500,000 in any Fiscal Year and (ii) no Default or Event of Default shall have occurred and be continuing or would result therefrom;</w:t>
      </w:r>
    </w:p>
    <w:p>
      <w:pPr>
        <w:spacing w:after="0" w:line="144"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6"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make cash payments in lieu of issuing fractional shares in connection with the exercise of warrants, options or other securities convertible into or exchangeable for Capital Stock of Holdings;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such payments shall not exceed $500,000 in any Fiscal Year;</w:t>
      </w:r>
    </w:p>
    <w:p>
      <w:pPr>
        <w:spacing w:after="0" w:line="142"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3" w:val="left"/>
        </w:tabs>
        <w:numPr>
          <w:ilvl w:val="0"/>
          <w:numId w:val="2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purchase, redeem or otherwise acquire Capital Stock issued by it with the proceeds received from the substantially concurrent issue of new shares of its common stock or other common Capital Stock;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issuance is otherwise permitted hereunder (including by </w:t>
      </w:r>
      <w:r>
        <w:rPr>
          <w:rFonts w:ascii="Times New Roman" w:cs="Times New Roman" w:eastAsia="Times New Roman" w:hAnsi="Times New Roman"/>
          <w:sz w:val="19"/>
          <w:szCs w:val="19"/>
          <w:u w:val="single" w:color="auto"/>
          <w:color w:val="auto"/>
        </w:rPr>
        <w:t>Section 7.5(d)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ectPr>
          <w:pgSz w:w="11900" w:h="16838" w:orient="portrait"/>
          <w:cols w:equalWidth="0" w:num="1">
            <w:col w:w="11240"/>
          </w:cols>
          <w:pgMar w:left="320" w:top="1354" w:right="339" w:bottom="1440" w:gutter="0" w:footer="0" w:header="0"/>
        </w:sectPr>
      </w:pPr>
    </w:p>
    <w:bookmarkStart w:id="230" w:name="page231"/>
    <w:bookmarkEnd w:id="230"/>
    <w:p>
      <w:pPr>
        <w:jc w:val="both"/>
        <w:ind w:firstLine="1254"/>
        <w:spacing w:after="0" w:line="219" w:lineRule="auto"/>
        <w:tabs>
          <w:tab w:leader="none" w:pos="1866"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taxable year during which the Borrower is a member of a consolidated group of which the parent entity is Holdings, the Borrower may make cash Restricted Payments to Intermediate Holdings, and Intermediate Holdings may in turn make cash Restricted Payments to Holdings, to enable Intermediate Holdings or Holdings to pay, and in amounts not to exceed the amount necessary to pay the amount that the Borrower would have been required to pay for federal, state, local or other taxes on income if it were deemed to be the common parent of an affiliated group (within the meaning of Section 1504 of the Code) of which only it and its Subsidiaries were members, taking into account any net operating losses or other attributes of the Borrower or its Subsidiaries, less any amounts paid directly by the Borrower and its Subsidiaries with respect to such Taxes;</w:t>
      </w:r>
    </w:p>
    <w:p>
      <w:pPr>
        <w:spacing w:after="0" w:line="154"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71"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Borrower may make repurchases of Capital Stock deemed to occur upon exercise of stock options or warrants if such repurchased Capital Stock represents a portion of the exercise price of such options or warrants, and (ii) repurchases of Capital Stock deemed to occur upon the withholding of a portion of the Capital Stock granted or awarded to a current or former officer, director, employee or consultant to pay for the taxes payable by such Person upon such grant or award (or upon vesting thereof);</w:t>
      </w:r>
    </w:p>
    <w:p>
      <w:pPr>
        <w:spacing w:after="0" w:line="140"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deliver its common Capital Stock upon conversion of any convertible Indebtedness having been issued by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Indebtedness is otherwise permitted by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and</w:t>
      </w:r>
    </w:p>
    <w:p>
      <w:pPr>
        <w:spacing w:after="0" w:line="145" w:lineRule="exact"/>
        <w:rPr>
          <w:rFonts w:ascii="Times New Roman" w:cs="Times New Roman" w:eastAsia="Times New Roman" w:hAnsi="Times New Roman"/>
          <w:sz w:val="19"/>
          <w:szCs w:val="19"/>
          <w:color w:val="auto"/>
        </w:rPr>
      </w:pPr>
    </w:p>
    <w:p>
      <w:pPr>
        <w:jc w:val="both"/>
        <w:ind w:firstLine="1254"/>
        <w:spacing w:after="0" w:line="220" w:lineRule="auto"/>
        <w:tabs>
          <w:tab w:leader="none" w:pos="1863"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Holdings and its Subsidiaries may make additional Restricted Payments not otherwise permitted by one of the foregoing clauses of this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before and immediately after giving effect to the applicable payment or transaction, (i) no Default or Event of Default shall have occurred and be continuing and (ii) immediately after giving effect to such payment or transaction, (A) Holdings and its Subsidiaries shall maintain Liquidity of at least $15,000,000, (B) Holdings and its Subsidiaries shall be in compliance with each of the covenants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and (C) the Consolidated Leverage Ratio of Holdings and its Subsidiaries shall not exceed 1.60:1.00.</w:t>
      </w:r>
    </w:p>
    <w:p>
      <w:pPr>
        <w:spacing w:after="0" w:line="15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7.7</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72"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7.8 Investments</w:t>
      </w:r>
      <w:r>
        <w:rPr>
          <w:rFonts w:ascii="Times New Roman" w:cs="Times New Roman" w:eastAsia="Times New Roman" w:hAnsi="Times New Roman"/>
          <w:sz w:val="19"/>
          <w:szCs w:val="19"/>
          <w:color w:val="auto"/>
        </w:rPr>
        <w:t>. Make any advance, loan, extension of credit (by way of guarantee or otherwise) or capital contribution to,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purchase any Capital Stock, bonds, notes, debentures or other debt securities of, or any assets constituting a business unit of, or make any other</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investment in, any Person, including, without limitation, the opening of any de novo treatment facility or the opening or acquisition of any PC Entity (all of the foregoing, “</w:t>
      </w:r>
      <w:r>
        <w:rPr>
          <w:rFonts w:ascii="Times New Roman" w:cs="Times New Roman" w:eastAsia="Times New Roman" w:hAnsi="Times New Roman"/>
          <w:sz w:val="19"/>
          <w:szCs w:val="19"/>
          <w:b w:val="1"/>
          <w:bCs w:val="1"/>
          <w:i w:val="1"/>
          <w:iCs w:val="1"/>
          <w:color w:val="auto"/>
        </w:rPr>
        <w:t>Investments</w:t>
      </w:r>
      <w:r>
        <w:rPr>
          <w:rFonts w:ascii="Times New Roman" w:cs="Times New Roman" w:eastAsia="Times New Roman" w:hAnsi="Times New Roman"/>
          <w:sz w:val="19"/>
          <w:szCs w:val="19"/>
          <w:color w:val="auto"/>
        </w:rPr>
        <w:t>”), except:</w:t>
      </w:r>
    </w:p>
    <w:p>
      <w:pPr>
        <w:spacing w:after="0" w:line="154" w:lineRule="exact"/>
        <w:rPr>
          <w:sz w:val="20"/>
          <w:szCs w:val="20"/>
          <w:color w:val="auto"/>
        </w:rPr>
      </w:pPr>
    </w:p>
    <w:p>
      <w:pPr>
        <w:ind w:left="1880" w:hanging="626"/>
        <w:spacing w:after="0"/>
        <w:tabs>
          <w:tab w:leader="none" w:pos="188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extensions of trade credit in the ordinary course of business;</w:t>
      </w:r>
    </w:p>
    <w:p>
      <w:pPr>
        <w:spacing w:after="0" w:line="185"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cash and Cash Equivalents;</w:t>
      </w:r>
    </w:p>
    <w:p>
      <w:pPr>
        <w:spacing w:after="0" w:line="172"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Guarantee Obligations permitted by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and advances to officers, directors and employees of any Loan Party for reasonable and customary business related travel expenses, entertainment expenses, moving expenses and similar expenses, in each case incurred in the ordinary course of business, in an aggregate principal amount at any time not to exceed $500,000 for all such outstanding loans and advances, after giving effect to </w:t>
      </w:r>
      <w:r>
        <w:rPr>
          <w:rFonts w:ascii="Times New Roman" w:cs="Times New Roman" w:eastAsia="Times New Roman" w:hAnsi="Times New Roman"/>
          <w:sz w:val="19"/>
          <w:szCs w:val="19"/>
          <w:u w:val="single" w:color="auto"/>
          <w:color w:val="auto"/>
        </w:rPr>
        <w:t>Section 7.6(b)</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6"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any joint ventures in the same business or a business reasonably related, complementary or ancillary to the line of business of the Loan Parties in an aggregate amount not to exceed $1,000,000 at any time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before and after giving effect to any such Investment, no Default or Event of Default shall exist or would result therefrom;</w:t>
      </w:r>
    </w:p>
    <w:p>
      <w:pPr>
        <w:spacing w:after="0" w:line="156"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71" w:val="left"/>
        </w:tabs>
        <w:numPr>
          <w:ilvl w:val="0"/>
          <w:numId w:val="2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consisting of intercompany loans or other extensions of credit (i) between or among the Borrower and its Subsidiaries that are Loan Parties, (ii) by the Borrower or a Subsidiary that is a Loan Party to any Subsidiary that is not a Loan Party so long as (x) no Default or Event of Default shall have occurred and be continuing or would result therefrom and (y) the aggregate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99</w:t>
      </w:r>
    </w:p>
    <w:p>
      <w:pPr>
        <w:sectPr>
          <w:pgSz w:w="11900" w:h="16838" w:orient="portrait"/>
          <w:cols w:equalWidth="0" w:num="1">
            <w:col w:w="11240"/>
          </w:cols>
          <w:pgMar w:left="320" w:top="1354"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9"/>
          <w:szCs w:val="19"/>
          <w:color w:val="auto"/>
        </w:rPr>
        <w:t xml:space="preserve">amount of any such loans or extensions of credit does not exceed (together with Indebtedness of non-Loan Parties permitted under </w:t>
      </w:r>
      <w:r>
        <w:rPr>
          <w:rFonts w:ascii="Times New Roman" w:cs="Times New Roman" w:eastAsia="Times New Roman" w:hAnsi="Times New Roman"/>
          <w:sz w:val="19"/>
          <w:szCs w:val="19"/>
          <w:u w:val="single" w:color="auto"/>
          <w:color w:val="auto"/>
        </w:rPr>
        <w:t>Section 7.2(b)</w:t>
      </w:r>
      <w:r>
        <w:rPr>
          <w:rFonts w:ascii="Times New Roman" w:cs="Times New Roman" w:eastAsia="Times New Roman" w:hAnsi="Times New Roman"/>
          <w:sz w:val="19"/>
          <w:szCs w:val="19"/>
          <w:color w:val="auto"/>
        </w:rPr>
        <w:t>)</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$1,000,000 at any one time outstanding, and (iii) by any Subsidiary that is not a Loan Party to the Borrower or a Subsidiary that is a 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intercompany Indebtedness described in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shall be subordinated to the Obligations on terms reasonably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acceptable to the Administrative Agent;</w:t>
      </w:r>
    </w:p>
    <w:p>
      <w:pPr>
        <w:spacing w:after="0" w:line="149" w:lineRule="exact"/>
        <w:rPr>
          <w:sz w:val="20"/>
          <w:szCs w:val="20"/>
          <w:color w:val="auto"/>
        </w:rPr>
      </w:pPr>
    </w:p>
    <w:p>
      <w:pPr>
        <w:ind w:left="1860" w:hanging="606"/>
        <w:spacing w:after="0"/>
        <w:tabs>
          <w:tab w:leader="none" w:pos="1860"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the ordinary course of business consisting of endorsements of negotiable instruments for collection or</w:t>
      </w:r>
    </w:p>
    <w:p>
      <w:pPr>
        <w:spacing w:after="0"/>
        <w:rPr>
          <w:sz w:val="20"/>
          <w:szCs w:val="20"/>
          <w:color w:val="auto"/>
        </w:rPr>
      </w:pPr>
      <w:r>
        <w:rPr>
          <w:rFonts w:ascii="Times New Roman" w:cs="Times New Roman" w:eastAsia="Times New Roman" w:hAnsi="Times New Roman"/>
          <w:sz w:val="19"/>
          <w:szCs w:val="19"/>
          <w:color w:val="auto"/>
        </w:rPr>
        <w:t>deposit;</w:t>
      </w:r>
    </w:p>
    <w:p>
      <w:pPr>
        <w:spacing w:after="0" w:line="163" w:lineRule="exact"/>
        <w:rPr>
          <w:sz w:val="20"/>
          <w:szCs w:val="20"/>
          <w:color w:val="auto"/>
        </w:rPr>
      </w:pPr>
    </w:p>
    <w:p>
      <w:pPr>
        <w:jc w:val="both"/>
        <w:ind w:firstLine="1254"/>
        <w:spacing w:after="0" w:line="229" w:lineRule="auto"/>
        <w:tabs>
          <w:tab w:leader="none" w:pos="1863"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w:t>
      </w:r>
    </w:p>
    <w:p>
      <w:pPr>
        <w:spacing w:after="0" w:line="156"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73"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held by any Person as of the date such Person is acquired in connection with a Permitted Acquisition,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Investments were not made, in any case, by such Person in connection with, or in contemplation of, such Permitted Acquisition, and (B) with respect to any such Person which becomes a Subsidiary as a result of such Permitted Acquisition, such Subsidiary remains the only holder of such Investment;</w:t>
      </w:r>
    </w:p>
    <w:p>
      <w:pPr>
        <w:spacing w:after="0" w:line="153" w:lineRule="exact"/>
        <w:rPr>
          <w:rFonts w:ascii="Times New Roman" w:cs="Times New Roman" w:eastAsia="Times New Roman" w:hAnsi="Times New Roman"/>
          <w:sz w:val="19"/>
          <w:szCs w:val="19"/>
          <w:color w:val="auto"/>
        </w:rPr>
      </w:pPr>
    </w:p>
    <w:p>
      <w:pPr>
        <w:ind w:firstLine="1254"/>
        <w:spacing w:after="0" w:line="237" w:lineRule="auto"/>
        <w:tabs>
          <w:tab w:leader="none" w:pos="1873"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no Default or Event of Default shall have occurred and be continuing or would result therefrom, other Investments in an aggregate principal amount at any time not to exceed $1,000,000;</w:t>
      </w:r>
    </w:p>
    <w:p>
      <w:pPr>
        <w:spacing w:after="0" w:line="154"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deposits made to secure the performance of leases, licenses or contracts in the ordinary course of business, and other deposits made in connection with the incurrence of Liens permitted under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w:t>
      </w:r>
    </w:p>
    <w:p>
      <w:pPr>
        <w:spacing w:after="0" w:line="132" w:lineRule="exact"/>
        <w:rPr>
          <w:rFonts w:ascii="Times New Roman" w:cs="Times New Roman" w:eastAsia="Times New Roman" w:hAnsi="Times New Roman"/>
          <w:sz w:val="19"/>
          <w:szCs w:val="19"/>
          <w:color w:val="auto"/>
        </w:rPr>
      </w:pPr>
    </w:p>
    <w:p>
      <w:pPr>
        <w:ind w:firstLine="1254"/>
        <w:spacing w:after="0" w:line="249" w:lineRule="auto"/>
        <w:tabs>
          <w:tab w:leader="none" w:pos="1873"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licensing or contribution of Intellectual Property pursuant to joint marketing arrangements with other Persons in the ordinary course of business;</w:t>
      </w:r>
    </w:p>
    <w:p>
      <w:pPr>
        <w:spacing w:after="0" w:line="132"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4"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consisting of demand loans, capital contributions or other Investments made to PC Entities in accordance with the terms of the PC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amount of all such Investments to any PC Entity shall not exceed $1,000,000 at any one time and (ii) the aggregate amount of all such Investments shall not exceed $2,500,000 over the course of this Agreement;</w:t>
      </w:r>
    </w:p>
    <w:p>
      <w:pPr>
        <w:spacing w:after="0" w:line="142"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3"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 of, any Person (each, a “</w:t>
      </w:r>
      <w:r>
        <w:rPr>
          <w:rFonts w:ascii="Times New Roman" w:cs="Times New Roman" w:eastAsia="Times New Roman" w:hAnsi="Times New Roman"/>
          <w:sz w:val="19"/>
          <w:szCs w:val="19"/>
          <w:b w:val="1"/>
          <w:bCs w:val="1"/>
          <w:i w:val="1"/>
          <w:iCs w:val="1"/>
          <w:color w:val="auto"/>
        </w:rPr>
        <w:t>Permitted Acquisition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each such purchase or other acquisition:</w:t>
      </w:r>
    </w:p>
    <w:p>
      <w:pPr>
        <w:spacing w:after="0" w:line="142" w:lineRule="exact"/>
        <w:rPr>
          <w:rFonts w:ascii="Times New Roman" w:cs="Times New Roman" w:eastAsia="Times New Roman" w:hAnsi="Times New Roman"/>
          <w:sz w:val="19"/>
          <w:szCs w:val="19"/>
          <w:color w:val="auto"/>
        </w:rPr>
      </w:pPr>
    </w:p>
    <w:p>
      <w:pPr>
        <w:jc w:val="both"/>
        <w:ind w:firstLine="1880"/>
        <w:spacing w:after="0" w:line="234" w:lineRule="auto"/>
        <w:tabs>
          <w:tab w:leader="none" w:pos="2498" w:val="left"/>
        </w:tabs>
        <w:numPr>
          <w:ilvl w:val="1"/>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newly-created or acquired Subsidiary (or assets acquired in connection with such asset sale) shall be (x) in the same or a related line of business as that conducted by the Borrower on the date hereof, or (y) in a business that is ancillary to and in furtherance of the line of business as that conducted by the Borrower on the date hereof;</w:t>
      </w:r>
    </w:p>
    <w:p>
      <w:pPr>
        <w:spacing w:after="0" w:line="142" w:lineRule="exact"/>
        <w:rPr>
          <w:rFonts w:ascii="Times New Roman" w:cs="Times New Roman" w:eastAsia="Times New Roman" w:hAnsi="Times New Roman"/>
          <w:sz w:val="19"/>
          <w:szCs w:val="19"/>
          <w:color w:val="auto"/>
        </w:rPr>
      </w:pPr>
    </w:p>
    <w:p>
      <w:pPr>
        <w:ind w:firstLine="1880"/>
        <w:spacing w:after="0" w:line="249" w:lineRule="auto"/>
        <w:tabs>
          <w:tab w:leader="none" w:pos="2499" w:val="left"/>
        </w:tabs>
        <w:numPr>
          <w:ilvl w:val="1"/>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transactions related to such purchase or acquisition shall be consummated in all material respects in accordance with all Requirements of Law;</w:t>
      </w:r>
    </w:p>
    <w:p>
      <w:pPr>
        <w:spacing w:after="0" w:line="145" w:lineRule="exact"/>
        <w:rPr>
          <w:rFonts w:ascii="Times New Roman" w:cs="Times New Roman" w:eastAsia="Times New Roman" w:hAnsi="Times New Roman"/>
          <w:sz w:val="19"/>
          <w:szCs w:val="19"/>
          <w:color w:val="auto"/>
        </w:rPr>
      </w:pPr>
    </w:p>
    <w:p>
      <w:pPr>
        <w:jc w:val="both"/>
        <w:ind w:firstLine="1880"/>
        <w:spacing w:after="0" w:line="229" w:lineRule="auto"/>
        <w:tabs>
          <w:tab w:leader="none" w:pos="2500" w:val="left"/>
        </w:tabs>
        <w:numPr>
          <w:ilvl w:val="1"/>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shall, as a result of or in connection with any such purchase or acquisition, assume or incur any direct or contingent liabilities (whether relating to environmental, tax, litigation or other matters) that, as of the date of such purchase or acquisition, could reasonably be expected to result in the existence or incurrence of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100</w:t>
      </w:r>
    </w:p>
    <w:p>
      <w:pPr>
        <w:sectPr>
          <w:pgSz w:w="11900" w:h="16838" w:orient="portrait"/>
          <w:cols w:equalWidth="0" w:num="1">
            <w:col w:w="11240"/>
          </w:cols>
          <w:pgMar w:left="320" w:top="1353" w:right="339" w:bottom="1440" w:gutter="0" w:footer="0" w:header="0"/>
        </w:sectPr>
      </w:pPr>
    </w:p>
    <w:bookmarkStart w:id="232" w:name="page233"/>
    <w:bookmarkEnd w:id="232"/>
    <w:p>
      <w:pPr>
        <w:ind w:firstLine="1880"/>
        <w:spacing w:after="0" w:line="249" w:lineRule="auto"/>
        <w:tabs>
          <w:tab w:leader="none" w:pos="249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acquired assets shall be located in the United States and any acquired entity shall be organized under the laws of the United States or any state thereof;</w:t>
      </w:r>
    </w:p>
    <w:p>
      <w:pPr>
        <w:spacing w:after="0" w:line="132" w:lineRule="exact"/>
        <w:rPr>
          <w:rFonts w:ascii="Times New Roman" w:cs="Times New Roman" w:eastAsia="Times New Roman" w:hAnsi="Times New Roman"/>
          <w:sz w:val="19"/>
          <w:szCs w:val="19"/>
          <w:color w:val="auto"/>
        </w:rPr>
      </w:pPr>
    </w:p>
    <w:p>
      <w:pPr>
        <w:jc w:val="both"/>
        <w:ind w:firstLine="1880"/>
        <w:spacing w:after="0" w:line="234" w:lineRule="auto"/>
        <w:tabs>
          <w:tab w:leader="none" w:pos="2489"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provide to the Administrative Agent as soon as available but in any event not later than five Business Days after the execution thereof, a copy of any executed purchase agreement or similar agreement with respect to any such purchase or acquisition;</w:t>
      </w:r>
    </w:p>
    <w:p>
      <w:pPr>
        <w:spacing w:after="0" w:line="142" w:lineRule="exact"/>
        <w:rPr>
          <w:rFonts w:ascii="Times New Roman" w:cs="Times New Roman" w:eastAsia="Times New Roman" w:hAnsi="Times New Roman"/>
          <w:sz w:val="19"/>
          <w:szCs w:val="19"/>
          <w:color w:val="auto"/>
        </w:rPr>
      </w:pPr>
    </w:p>
    <w:p>
      <w:pPr>
        <w:jc w:val="both"/>
        <w:ind w:firstLine="1880"/>
        <w:spacing w:after="0" w:line="234" w:lineRule="auto"/>
        <w:tabs>
          <w:tab w:leader="none" w:pos="249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such newly-created or acquired Subsidiary (or the Loan Party that is the acquirer of assets in connection with an asset acquisition) shall comply with the requirements of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except to the extent compliance with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is prohibited by pre-existing Contractual Obligations or Requirements of Law binding on such Subsidiary or its properties;</w:t>
      </w:r>
    </w:p>
    <w:p>
      <w:pPr>
        <w:spacing w:after="0" w:line="142" w:lineRule="exact"/>
        <w:rPr>
          <w:rFonts w:ascii="Times New Roman" w:cs="Times New Roman" w:eastAsia="Times New Roman" w:hAnsi="Times New Roman"/>
          <w:sz w:val="19"/>
          <w:szCs w:val="19"/>
          <w:color w:val="auto"/>
        </w:rPr>
      </w:pPr>
    </w:p>
    <w:p>
      <w:pPr>
        <w:ind w:firstLine="1880"/>
        <w:spacing w:after="0" w:line="249" w:lineRule="auto"/>
        <w:tabs>
          <w:tab w:leader="none" w:pos="249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Liquidity shall equal or exceed $10,000,000 as of the date the definitive agreements relating to any such acquisition or other purchase are executed (after giving effect, on a Pro Forma Basis, to the consummation of such acquisition or other purchase);</w:t>
      </w:r>
    </w:p>
    <w:p>
      <w:pPr>
        <w:spacing w:after="0" w:line="145" w:lineRule="exact"/>
        <w:rPr>
          <w:rFonts w:ascii="Times New Roman" w:cs="Times New Roman" w:eastAsia="Times New Roman" w:hAnsi="Times New Roman"/>
          <w:sz w:val="19"/>
          <w:szCs w:val="19"/>
          <w:color w:val="auto"/>
        </w:rPr>
      </w:pPr>
    </w:p>
    <w:p>
      <w:pPr>
        <w:jc w:val="both"/>
        <w:ind w:firstLine="1880"/>
        <w:spacing w:after="0" w:line="226" w:lineRule="auto"/>
        <w:tabs>
          <w:tab w:leader="none" w:pos="2491"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before and immediately after giving effect to any such purchase or other acquisition, (x) no Default or Event of Default shall have occurred and be continuing, (y) Holdings and its Subsidiaries shall be in compliance with each of the covenants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based upon financial statements delivered to the Administrative Agent which give effect, on a Pro Forma Basis, to such acquisition or other purchase and (z) the Consolidated Leverage Ratio of Holdings and its Subsidiaries shall not exceed 1.75:1.00;</w:t>
      </w:r>
    </w:p>
    <w:p>
      <w:pPr>
        <w:spacing w:after="0" w:line="140" w:lineRule="exact"/>
        <w:rPr>
          <w:rFonts w:ascii="Times New Roman" w:cs="Times New Roman" w:eastAsia="Times New Roman" w:hAnsi="Times New Roman"/>
          <w:sz w:val="19"/>
          <w:szCs w:val="19"/>
          <w:color w:val="auto"/>
        </w:rPr>
      </w:pPr>
    </w:p>
    <w:p>
      <w:pPr>
        <w:jc w:val="both"/>
        <w:ind w:firstLine="1880"/>
        <w:spacing w:after="0" w:line="234" w:lineRule="auto"/>
        <w:tabs>
          <w:tab w:leader="none" w:pos="249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 based upon the knowledge of Holdings or the Borrower as of the date any such acquisition or other purchase is consummated, reasonably expect such acquisition or other purchase to result in an Event of Default under </w:t>
      </w:r>
      <w:r>
        <w:rPr>
          <w:rFonts w:ascii="Times New Roman" w:cs="Times New Roman" w:eastAsia="Times New Roman" w:hAnsi="Times New Roman"/>
          <w:sz w:val="19"/>
          <w:szCs w:val="19"/>
          <w:u w:val="single" w:color="auto"/>
          <w:color w:val="auto"/>
        </w:rPr>
        <w:t>Section 8.1(c)</w:t>
      </w:r>
      <w:r>
        <w:rPr>
          <w:rFonts w:ascii="Times New Roman" w:cs="Times New Roman" w:eastAsia="Times New Roman" w:hAnsi="Times New Roman"/>
          <w:sz w:val="19"/>
          <w:szCs w:val="19"/>
          <w:color w:val="auto"/>
        </w:rPr>
        <w:t xml:space="preserve">, at any time during the term of this Agreement, as a result of a breach of any of the financial covenants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w:t>
      </w:r>
    </w:p>
    <w:p>
      <w:pPr>
        <w:spacing w:after="0" w:line="142" w:lineRule="exact"/>
        <w:rPr>
          <w:rFonts w:ascii="Times New Roman" w:cs="Times New Roman" w:eastAsia="Times New Roman" w:hAnsi="Times New Roman"/>
          <w:sz w:val="19"/>
          <w:szCs w:val="19"/>
          <w:color w:val="auto"/>
        </w:rPr>
      </w:pPr>
    </w:p>
    <w:p>
      <w:pPr>
        <w:ind w:firstLine="1880"/>
        <w:spacing w:after="0" w:line="249" w:lineRule="auto"/>
        <w:tabs>
          <w:tab w:leader="none" w:pos="2489"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Indebtedness is assumed or incurred in connection with any such purchase or acquisition other than Indebtedness permitted by the terms of </w:t>
      </w:r>
      <w:r>
        <w:rPr>
          <w:rFonts w:ascii="Times New Roman" w:cs="Times New Roman" w:eastAsia="Times New Roman" w:hAnsi="Times New Roman"/>
          <w:sz w:val="19"/>
          <w:szCs w:val="19"/>
          <w:u w:val="single" w:color="auto"/>
          <w:color w:val="auto"/>
        </w:rPr>
        <w:t>Section 7.2(j)</w:t>
      </w:r>
      <w:r>
        <w:rPr>
          <w:rFonts w:ascii="Times New Roman" w:cs="Times New Roman" w:eastAsia="Times New Roman" w:hAnsi="Times New Roman"/>
          <w:sz w:val="19"/>
          <w:szCs w:val="19"/>
          <w:color w:val="auto"/>
        </w:rPr>
        <w:t>;</w:t>
      </w:r>
    </w:p>
    <w:p>
      <w:pPr>
        <w:spacing w:after="0" w:line="132" w:lineRule="exact"/>
        <w:rPr>
          <w:rFonts w:ascii="Times New Roman" w:cs="Times New Roman" w:eastAsia="Times New Roman" w:hAnsi="Times New Roman"/>
          <w:sz w:val="19"/>
          <w:szCs w:val="19"/>
          <w:color w:val="auto"/>
        </w:rPr>
      </w:pPr>
    </w:p>
    <w:p>
      <w:pPr>
        <w:jc w:val="both"/>
        <w:ind w:firstLine="1880"/>
        <w:spacing w:after="0" w:line="234" w:lineRule="auto"/>
        <w:tabs>
          <w:tab w:leader="none" w:pos="249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aggregate amount of the cash consideration (A) paid by such Group Member in connection with any particular Permitted Acquisition shall not exceed $5,000,000, and (B) paid by all Group Members in connection with all such Permitted Acquisitions consummated from and after the Closing Date shall not exceed $25,000,000;</w:t>
      </w:r>
    </w:p>
    <w:p>
      <w:pPr>
        <w:spacing w:after="0" w:line="142"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purchase or acquisition shall not constitute an Unfriendly Acquisition; and</w:t>
      </w:r>
    </w:p>
    <w:p>
      <w:pPr>
        <w:spacing w:after="0" w:line="185" w:lineRule="exact"/>
        <w:rPr>
          <w:rFonts w:ascii="Times New Roman" w:cs="Times New Roman" w:eastAsia="Times New Roman" w:hAnsi="Times New Roman"/>
          <w:sz w:val="19"/>
          <w:szCs w:val="19"/>
          <w:color w:val="auto"/>
        </w:rPr>
      </w:pPr>
    </w:p>
    <w:p>
      <w:pPr>
        <w:jc w:val="both"/>
        <w:ind w:firstLine="1880"/>
        <w:spacing w:after="0" w:line="223" w:lineRule="auto"/>
        <w:tabs>
          <w:tab w:leader="none" w:pos="2491" w:val="left"/>
        </w:tabs>
        <w:numPr>
          <w:ilvl w:val="1"/>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have delivered to the Administrative Agent, at least five Business Days prior to the date on which any such purchase or other acquisition is to be consummated (or such later date as is agreed by the Administrative Agent in its sole discretion), a certificate of a Responsible Officer, in form and substance reasonably satisfactory to the Administrative Agent, certifying that all of the requirements set forth in this definition have been satisfied or will be satisfied on or prior to the consummation of such purchase or other acquisition;</w:t>
      </w:r>
    </w:p>
    <w:p>
      <w:pPr>
        <w:spacing w:after="0" w:line="144" w:lineRule="exact"/>
        <w:rPr>
          <w:rFonts w:ascii="Times New Roman" w:cs="Times New Roman" w:eastAsia="Times New Roman" w:hAnsi="Times New Roman"/>
          <w:sz w:val="19"/>
          <w:szCs w:val="19"/>
          <w:color w:val="auto"/>
        </w:rPr>
      </w:pPr>
    </w:p>
    <w:p>
      <w:pPr>
        <w:jc w:val="both"/>
        <w:ind w:firstLine="1254"/>
        <w:spacing w:after="0" w:line="222" w:lineRule="auto"/>
        <w:tabs>
          <w:tab w:leader="none" w:pos="1863"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consisting of, or related to, the opening and startup of any de novo treatment facility that will constitute a PC Entity;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 Default or Event of Default shall have occurred and be continuing or would result therefrom, (ii) the aggregate amount of all such Investments made pursuant to this </w:t>
      </w:r>
      <w:r>
        <w:rPr>
          <w:rFonts w:ascii="Times New Roman" w:cs="Times New Roman" w:eastAsia="Times New Roman" w:hAnsi="Times New Roman"/>
          <w:sz w:val="19"/>
          <w:szCs w:val="19"/>
          <w:u w:val="single" w:color="auto"/>
          <w:color w:val="auto"/>
        </w:rPr>
        <w:t>clause (o)</w:t>
      </w:r>
      <w:r>
        <w:rPr>
          <w:rFonts w:ascii="Times New Roman" w:cs="Times New Roman" w:eastAsia="Times New Roman" w:hAnsi="Times New Roman"/>
          <w:sz w:val="19"/>
          <w:szCs w:val="19"/>
          <w:color w:val="auto"/>
        </w:rPr>
        <w:t xml:space="preserve"> in any Fiscal Year shall not exceed $5,000,000 without the prior written consent of Administrative Agent and (iii) the aggregate amount of de novo facility Investments in jurisdictions outside of the United States (excluding the existing de novo facility in Toronto, Canada) during the term of this Agreement shall not exceed $10,000,000 without the prior written consent of Administrative Agent; and</w:t>
      </w:r>
    </w:p>
    <w:p>
      <w:pPr>
        <w:spacing w:after="0" w:line="141"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3"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Holdings and its Subsidiaries may make additional Investments not otherwise permitted by one of the foregoing clauses of this </w:t>
      </w:r>
      <w:r>
        <w:rPr>
          <w:rFonts w:ascii="Times New Roman" w:cs="Times New Roman" w:eastAsia="Times New Roman" w:hAnsi="Times New Roman"/>
          <w:sz w:val="19"/>
          <w:szCs w:val="19"/>
          <w:u w:val="single" w:color="auto"/>
          <w:color w:val="auto"/>
        </w:rPr>
        <w:t>Section 7.8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before and immediately after giving effect to such Investment, (i) no Default or Event of Default shall have occurred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101</w:t>
      </w:r>
    </w:p>
    <w:p>
      <w:pPr>
        <w:sectPr>
          <w:pgSz w:w="11900" w:h="16838" w:orient="portrait"/>
          <w:cols w:equalWidth="0" w:num="1">
            <w:col w:w="11240"/>
          </w:cols>
          <w:pgMar w:left="320" w:top="1354"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9"/>
          <w:szCs w:val="19"/>
          <w:color w:val="auto"/>
        </w:rPr>
        <w:t>and be continuing and (ii) immediately after giving effect to such Investment (A) Holdings and its Subsidiaries shall maintain Liquidity of at least</w:t>
      </w:r>
    </w:p>
    <w:p>
      <w:pPr>
        <w:jc w:val="both"/>
        <w:spacing w:after="0" w:line="225" w:lineRule="auto"/>
        <w:rPr>
          <w:sz w:val="20"/>
          <w:szCs w:val="20"/>
          <w:color w:val="auto"/>
        </w:rPr>
      </w:pPr>
      <w:r>
        <w:rPr>
          <w:rFonts w:ascii="Times New Roman" w:cs="Times New Roman" w:eastAsia="Times New Roman" w:hAnsi="Times New Roman"/>
          <w:sz w:val="19"/>
          <w:szCs w:val="19"/>
          <w:color w:val="auto"/>
        </w:rPr>
        <w:t xml:space="preserve">$10,000,000, (B) Holdings and its Subsidiaries shall be in compliance with each of the covenants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and (C) the Consolidated Leverage Ratio of Holdings and its Subsidiaries shall not exceed 1.75:1.00.</w:t>
      </w:r>
    </w:p>
    <w:p>
      <w:pPr>
        <w:spacing w:after="0" w:line="167" w:lineRule="exact"/>
        <w:rPr>
          <w:sz w:val="20"/>
          <w:szCs w:val="20"/>
          <w:color w:val="auto"/>
        </w:rPr>
      </w:pPr>
    </w:p>
    <w:p>
      <w:pPr>
        <w:jc w:val="both"/>
        <w:ind w:firstLine="1250"/>
        <w:spacing w:after="0" w:line="267" w:lineRule="auto"/>
        <w:rPr>
          <w:sz w:val="20"/>
          <w:szCs w:val="20"/>
          <w:color w:val="auto"/>
        </w:rPr>
      </w:pPr>
      <w:r>
        <w:rPr>
          <w:rFonts w:ascii="Times New Roman" w:cs="Times New Roman" w:eastAsia="Times New Roman" w:hAnsi="Times New Roman"/>
          <w:sz w:val="19"/>
          <w:szCs w:val="19"/>
          <w:color w:val="auto"/>
        </w:rPr>
        <w:t>Notwithstanding the foregoing, in no event shall any Loan Party be permitted to transfer or dispose to any Person that is not a Loan Party any legal or beneficial ownership of, or an exclusive license to, any Intellectual Property rights, in each case, that are material to the business of the Loan Parties, taken as a whole.</w:t>
      </w:r>
    </w:p>
    <w:p>
      <w:pPr>
        <w:spacing w:after="0" w:line="154" w:lineRule="exact"/>
        <w:rPr>
          <w:sz w:val="20"/>
          <w:szCs w:val="20"/>
          <w:color w:val="auto"/>
        </w:rPr>
      </w:pPr>
    </w:p>
    <w:p>
      <w:pPr>
        <w:jc w:val="both"/>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7.9 ERISA. </w:t>
      </w:r>
      <w:r>
        <w:rPr>
          <w:rFonts w:ascii="Times New Roman" w:cs="Times New Roman" w:eastAsia="Times New Roman" w:hAnsi="Times New Roman"/>
          <w:sz w:val="19"/>
          <w:szCs w:val="19"/>
          <w:color w:val="auto"/>
        </w:rPr>
        <w:t>The Borrower shall not, and shall not permit any of its ERISA Affiliates to: (a) terminate any Pension Plan so as to result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any material liability to the Borrower or any ERISA Affiliate, (b) permit to exist any ERISA Event, or any other event or condition, which</w:t>
      </w:r>
    </w:p>
    <w:p>
      <w:pPr>
        <w:spacing w:after="0" w:line="215" w:lineRule="auto"/>
        <w:rPr>
          <w:sz w:val="20"/>
          <w:szCs w:val="20"/>
          <w:color w:val="auto"/>
        </w:rPr>
      </w:pPr>
      <w:r>
        <w:rPr>
          <w:rFonts w:ascii="Times New Roman" w:cs="Times New Roman" w:eastAsia="Times New Roman" w:hAnsi="Times New Roman"/>
          <w:sz w:val="19"/>
          <w:szCs w:val="19"/>
          <w:color w:val="auto"/>
        </w:rPr>
        <w:t>presents the risk of a material liability to any ERISA Affiliate, (c) make a complete or partial withdrawal (within the meaning of ERISA</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Section 4201) from any Multiemployer Plan so as to result in any material liability to the Borrower or any ERISA Affiliate, (d) enter into any new Plan or modify any existing Plan so as to increase its obligations thereunder which could result in any material liability to any ERISA Affiliate,</w:t>
      </w:r>
    </w:p>
    <w:p>
      <w:pPr>
        <w:spacing w:after="0" w:line="1" w:lineRule="exact"/>
        <w:rPr>
          <w:sz w:val="20"/>
          <w:szCs w:val="20"/>
          <w:color w:val="auto"/>
        </w:rPr>
      </w:pPr>
    </w:p>
    <w:p>
      <w:pPr>
        <w:jc w:val="both"/>
        <w:ind w:firstLine="4"/>
        <w:spacing w:after="0" w:line="218" w:lineRule="auto"/>
        <w:tabs>
          <w:tab w:leader="none" w:pos="281" w:val="left"/>
        </w:tabs>
        <w:numPr>
          <w:ilvl w:val="0"/>
          <w:numId w:val="2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permit the present value of all nonforfeitable accrued benefits under any Plan (using the actuarial assumptions utilized by the PBGC upon termination of a Plan) materially to exceed the fair market value of Plan assets allocable to such benefits, all determined as of the most recent valuation date for each such Plan, or (f)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ERISA or Section 4975 of the Code.</w:t>
      </w:r>
    </w:p>
    <w:p>
      <w:pPr>
        <w:spacing w:after="0" w:line="143"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7.10 Optional Payments and Modifications of Debt Instruments</w:t>
      </w:r>
      <w:r>
        <w:rPr>
          <w:rFonts w:ascii="Times New Roman" w:cs="Times New Roman" w:eastAsia="Times New Roman" w:hAnsi="Times New Roman"/>
          <w:sz w:val="19"/>
          <w:szCs w:val="19"/>
          <w:color w:val="auto"/>
        </w:rPr>
        <w:t>. Amend, modify, waive or otherwise change, or consent or agree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any amendment, modification, waiver or other change to, any of the terms of any Indebtedness permitted by </w:t>
      </w:r>
      <w:r>
        <w:rPr>
          <w:rFonts w:ascii="Times New Roman" w:cs="Times New Roman" w:eastAsia="Times New Roman" w:hAnsi="Times New Roman"/>
          <w:sz w:val="19"/>
          <w:szCs w:val="19"/>
          <w:u w:val="single" w:color="auto"/>
          <w:color w:val="auto"/>
        </w:rPr>
        <w:t>Section 7.2</w:t>
      </w:r>
      <w:r>
        <w:rPr>
          <w:rFonts w:ascii="Times New Roman" w:cs="Times New Roman" w:eastAsia="Times New Roman" w:hAnsi="Times New Roman"/>
          <w:sz w:val="19"/>
          <w:szCs w:val="19"/>
          <w:color w:val="auto"/>
        </w:rPr>
        <w:t xml:space="preserve"> (other than Indebtedness</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pursuant to any Loan Document) that would shorten the maturity or increase the amount of any payment of principal thereof or the rate of interest thereon or shorten any date for payment of interest thereon or that would be otherwise materially adverse to any Lender or any other Secured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w:t>
      </w:r>
    </w:p>
    <w:p>
      <w:pPr>
        <w:spacing w:after="0" w:line="161"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7.11 Transactions with Affiliates</w:t>
      </w:r>
      <w:r>
        <w:rPr>
          <w:rFonts w:ascii="Times New Roman" w:cs="Times New Roman" w:eastAsia="Times New Roman" w:hAnsi="Times New Roman"/>
          <w:sz w:val="19"/>
          <w:szCs w:val="19"/>
          <w:color w:val="auto"/>
        </w:rPr>
        <w:t>. Enter into any transaction, including any purchase, sale, lease or exchange of property,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rendering of any service or the payment of any management, advisory or similar fees, with any Affiliate (other than transactions between or among</w:t>
      </w:r>
    </w:p>
    <w:p>
      <w:pPr>
        <w:spacing w:after="0" w:line="215" w:lineRule="auto"/>
        <w:rPr>
          <w:sz w:val="20"/>
          <w:szCs w:val="20"/>
          <w:color w:val="auto"/>
        </w:rPr>
      </w:pPr>
      <w:r>
        <w:rPr>
          <w:rFonts w:ascii="Times New Roman" w:cs="Times New Roman" w:eastAsia="Times New Roman" w:hAnsi="Times New Roman"/>
          <w:sz w:val="19"/>
          <w:szCs w:val="19"/>
          <w:color w:val="auto"/>
        </w:rPr>
        <w:t>Loan Parties and PC Entities to the extent expressly permitted hereunder) unless such transaction is (a) otherwise permitted under this Agreement,</w:t>
      </w:r>
    </w:p>
    <w:p>
      <w:pPr>
        <w:spacing w:after="0" w:line="1" w:lineRule="exact"/>
        <w:rPr>
          <w:sz w:val="20"/>
          <w:szCs w:val="20"/>
          <w:color w:val="auto"/>
        </w:rPr>
      </w:pPr>
    </w:p>
    <w:p>
      <w:pPr>
        <w:ind w:firstLine="4"/>
        <w:spacing w:after="0" w:line="225" w:lineRule="auto"/>
        <w:tabs>
          <w:tab w:leader="none" w:pos="291" w:val="left"/>
        </w:tabs>
        <w:numPr>
          <w:ilvl w:val="0"/>
          <w:numId w:val="2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ordinary course of business of the relevant Group Member, and (c) upon fair and reasonable terms no less favorable to the relevant Group Member than it would obtain in a comparable arm’s length transaction with a Person that is not an Affiliate.</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7.12</w:t>
        <w:tab/>
        <w:t>Sale Leaseback Transactions</w:t>
      </w:r>
      <w:r>
        <w:rPr>
          <w:rFonts w:ascii="Times New Roman" w:cs="Times New Roman" w:eastAsia="Times New Roman" w:hAnsi="Times New Roman"/>
          <w:sz w:val="19"/>
          <w:szCs w:val="19"/>
          <w:color w:val="auto"/>
        </w:rPr>
        <w:t>. Enter into any Sale Leaseback Transaction.</w:t>
      </w:r>
    </w:p>
    <w:p>
      <w:pPr>
        <w:spacing w:after="0" w:line="185"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7.13 Swap Agreements</w:t>
      </w:r>
      <w:r>
        <w:rPr>
          <w:rFonts w:ascii="Times New Roman" w:cs="Times New Roman" w:eastAsia="Times New Roman" w:hAnsi="Times New Roman"/>
          <w:sz w:val="19"/>
          <w:szCs w:val="19"/>
          <w:color w:val="auto"/>
        </w:rPr>
        <w:t>. Enter into any Swap Agreement, except Specified Swap Agreements which are entered into by a Group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Member to (a) hedge or mitigate risks to which such Group Member has actual exposure (other than those in respect of Capital Stock), or</w:t>
      </w:r>
    </w:p>
    <w:p>
      <w:pPr>
        <w:spacing w:after="0" w:line="1" w:lineRule="exact"/>
        <w:rPr>
          <w:sz w:val="20"/>
          <w:szCs w:val="20"/>
          <w:color w:val="auto"/>
        </w:rPr>
      </w:pPr>
    </w:p>
    <w:p>
      <w:pPr>
        <w:ind w:firstLine="4"/>
        <w:spacing w:after="0" w:line="232" w:lineRule="auto"/>
        <w:tabs>
          <w:tab w:leader="none" w:pos="277"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effectively cap, collar or exchange interest rates (from fixed to floating rates, from one floating rate to another floating rate or otherwise) with respect to any interest-bearing liability or investment of such Group Member.</w:t>
      </w:r>
    </w:p>
    <w:p>
      <w:pPr>
        <w:spacing w:after="0" w:line="140" w:lineRule="exact"/>
        <w:rPr>
          <w:sz w:val="20"/>
          <w:szCs w:val="20"/>
          <w:color w:val="auto"/>
        </w:rPr>
      </w:pPr>
    </w:p>
    <w:p>
      <w:pPr>
        <w:ind w:firstLine="625"/>
        <w:spacing w:after="0" w:line="251" w:lineRule="auto"/>
        <w:rPr>
          <w:sz w:val="20"/>
          <w:szCs w:val="20"/>
          <w:color w:val="auto"/>
        </w:rPr>
      </w:pPr>
      <w:r>
        <w:rPr>
          <w:rFonts w:ascii="Times New Roman" w:cs="Times New Roman" w:eastAsia="Times New Roman" w:hAnsi="Times New Roman"/>
          <w:sz w:val="19"/>
          <w:szCs w:val="19"/>
          <w:b w:val="1"/>
          <w:bCs w:val="1"/>
          <w:color w:val="auto"/>
        </w:rPr>
        <w:t>7.14 Accounting Changes</w:t>
      </w:r>
      <w:r>
        <w:rPr>
          <w:rFonts w:ascii="Times New Roman" w:cs="Times New Roman" w:eastAsia="Times New Roman" w:hAnsi="Times New Roman"/>
          <w:sz w:val="19"/>
          <w:szCs w:val="19"/>
          <w:color w:val="auto"/>
        </w:rPr>
        <w:t>. Make any change in its (a) accounting policies or reporting practices, except as required by GAAP,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 Fiscal Year.</w:t>
      </w:r>
    </w:p>
    <w:p>
      <w:pPr>
        <w:spacing w:after="0" w:line="129"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7.15 Negative Pledge Clauses</w:t>
      </w:r>
      <w:r>
        <w:rPr>
          <w:rFonts w:ascii="Times New Roman" w:cs="Times New Roman" w:eastAsia="Times New Roman" w:hAnsi="Times New Roman"/>
          <w:sz w:val="19"/>
          <w:szCs w:val="19"/>
          <w:color w:val="auto"/>
        </w:rPr>
        <w:t>. Enter into or suffer to exist or become effective any agreement that prohibits or limits the ability of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Loan Party to create, incur, assume or suffer to exist any Lien upon any of its property or revenues, whether now owned or hereafter acquired, to</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secure its Obligations under the Loan Documents to which it is a party, other than (a) this Agreement and the other Loan Documents, (b) any agreements governing any purchase money Liens or Capital Lease Obligations otherwise permitted hereby (in which case, any prohibition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limitation shall only be effective against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102</w:t>
      </w:r>
    </w:p>
    <w:p>
      <w:pPr>
        <w:sectPr>
          <w:pgSz w:w="11900" w:h="16838" w:orient="portrait"/>
          <w:cols w:equalWidth="0" w:num="1">
            <w:col w:w="11240"/>
          </w:cols>
          <w:pgMar w:left="320" w:top="1353"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9"/>
          <w:szCs w:val="19"/>
          <w:color w:val="auto"/>
        </w:rPr>
        <w:t>assets financed thereby), (c) customary restrictions on the assignment of leases, licenses and other agreements, (d) any agreement in effect at the</w:t>
      </w:r>
    </w:p>
    <w:p>
      <w:pPr>
        <w:spacing w:after="0" w:line="207" w:lineRule="auto"/>
        <w:rPr>
          <w:sz w:val="20"/>
          <w:szCs w:val="20"/>
          <w:color w:val="auto"/>
        </w:rPr>
      </w:pPr>
      <w:r>
        <w:rPr>
          <w:rFonts w:ascii="Times New Roman" w:cs="Times New Roman" w:eastAsia="Times New Roman" w:hAnsi="Times New Roman"/>
          <w:sz w:val="19"/>
          <w:szCs w:val="19"/>
          <w:color w:val="auto"/>
        </w:rPr>
        <w:t>time any Subsidiary becomes a Subsidiary of a Loan Party, so long as (i) any such prohibition contained in any such agreement applies solely with respect to the creation, incurrence, assumption or sufferance by such Subsidiary of a Lien upon Excluded Assets, and (ii) such agreement was not</w:t>
      </w:r>
    </w:p>
    <w:p>
      <w:pPr>
        <w:spacing w:after="0" w:line="215" w:lineRule="auto"/>
        <w:rPr>
          <w:sz w:val="20"/>
          <w:szCs w:val="20"/>
          <w:color w:val="auto"/>
        </w:rPr>
      </w:pPr>
      <w:r>
        <w:rPr>
          <w:rFonts w:ascii="Times New Roman" w:cs="Times New Roman" w:eastAsia="Times New Roman" w:hAnsi="Times New Roman"/>
          <w:sz w:val="19"/>
          <w:szCs w:val="19"/>
          <w:color w:val="auto"/>
        </w:rPr>
        <w:t>entered into solely in contemplation of such Person becoming a Subsidiary or, in any such case, that is set forth in any agreement evidencing any</w:t>
      </w:r>
    </w:p>
    <w:p>
      <w:pPr>
        <w:spacing w:after="0" w:line="207" w:lineRule="auto"/>
        <w:rPr>
          <w:sz w:val="20"/>
          <w:szCs w:val="20"/>
          <w:color w:val="auto"/>
        </w:rPr>
      </w:pPr>
      <w:r>
        <w:rPr>
          <w:rFonts w:ascii="Times New Roman" w:cs="Times New Roman" w:eastAsia="Times New Roman" w:hAnsi="Times New Roman"/>
          <w:sz w:val="19"/>
          <w:szCs w:val="19"/>
          <w:color w:val="auto"/>
        </w:rPr>
        <w:t>amendments, restatements, supplements, modifications, extensions, renewals and replacements of the foregoing, so long as such amendment, restatement, supplement, modification, extension, renewal or replacement applies only to such Subsidiary and does not otherwise expand in any</w:t>
      </w:r>
    </w:p>
    <w:p>
      <w:pPr>
        <w:spacing w:after="0" w:line="215" w:lineRule="auto"/>
        <w:rPr>
          <w:sz w:val="20"/>
          <w:szCs w:val="20"/>
          <w:color w:val="auto"/>
        </w:rPr>
      </w:pPr>
      <w:r>
        <w:rPr>
          <w:rFonts w:ascii="Times New Roman" w:cs="Times New Roman" w:eastAsia="Times New Roman" w:hAnsi="Times New Roman"/>
          <w:sz w:val="19"/>
          <w:szCs w:val="19"/>
          <w:color w:val="auto"/>
        </w:rPr>
        <w:t>material respect the scope of any restriction or condition contained therein, and (e) any restriction pursuant to any document, agreement or</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instrument governing or relating to any Lien permitted under </w:t>
      </w:r>
      <w:r>
        <w:rPr>
          <w:rFonts w:ascii="Times New Roman" w:cs="Times New Roman" w:eastAsia="Times New Roman" w:hAnsi="Times New Roman"/>
          <w:sz w:val="19"/>
          <w:szCs w:val="19"/>
          <w:u w:val="single" w:color="auto"/>
          <w:color w:val="auto"/>
        </w:rPr>
        <w:t>Sections 7.3(c)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(p)</w:t>
      </w:r>
      <w:r>
        <w:rPr>
          <w:rFonts w:ascii="Times New Roman" w:cs="Times New Roman" w:eastAsia="Times New Roman" w:hAnsi="Times New Roman"/>
          <w:sz w:val="19"/>
          <w:szCs w:val="19"/>
          <w:color w:val="auto"/>
        </w:rPr>
        <w:t xml:space="preserve"> or any agreement or option to Dispose any asset of any Group Member, the Disposition of which is permitted by any other provision of this Agreements (in each case,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restriction relates only to the assets or property subject to such Lien or being Disposed).</w:t>
      </w:r>
    </w:p>
    <w:p>
      <w:pPr>
        <w:spacing w:after="0" w:line="161" w:lineRule="exact"/>
        <w:rPr>
          <w:sz w:val="20"/>
          <w:szCs w:val="20"/>
          <w:color w:val="auto"/>
        </w:rPr>
      </w:pPr>
    </w:p>
    <w:p>
      <w:pPr>
        <w:jc w:val="both"/>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7.16 Clauses Restricting Subsidiary Distributions</w:t>
      </w:r>
      <w:r>
        <w:rPr>
          <w:rFonts w:ascii="Times New Roman" w:cs="Times New Roman" w:eastAsia="Times New Roman" w:hAnsi="Times New Roman"/>
          <w:sz w:val="19"/>
          <w:szCs w:val="19"/>
          <w:color w:val="auto"/>
        </w:rPr>
        <w:t>. Enter into or suffer to exist or become effective any consensual encumbrance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restriction on the ability of any Subsidiary of Holdings to (a) make Restricted Payments in respect of any Capital Stock of such Subsidiary held by,</w:t>
      </w:r>
    </w:p>
    <w:p>
      <w:pPr>
        <w:spacing w:after="0" w:line="215" w:lineRule="auto"/>
        <w:rPr>
          <w:sz w:val="20"/>
          <w:szCs w:val="20"/>
          <w:color w:val="auto"/>
        </w:rPr>
      </w:pPr>
      <w:r>
        <w:rPr>
          <w:rFonts w:ascii="Times New Roman" w:cs="Times New Roman" w:eastAsia="Times New Roman" w:hAnsi="Times New Roman"/>
          <w:sz w:val="19"/>
          <w:szCs w:val="19"/>
          <w:color w:val="auto"/>
        </w:rPr>
        <w:t>or pay any Indebtedness owed to, any other Group Member, (b) make loans or advances to, or other Investments in, any other Group Member, or</w:t>
      </w:r>
    </w:p>
    <w:p>
      <w:pPr>
        <w:spacing w:after="0" w:line="1" w:lineRule="exact"/>
        <w:rPr>
          <w:sz w:val="20"/>
          <w:szCs w:val="20"/>
          <w:color w:val="auto"/>
        </w:rPr>
      </w:pPr>
    </w:p>
    <w:p>
      <w:pPr>
        <w:jc w:val="both"/>
        <w:ind w:firstLine="4"/>
        <w:spacing w:after="0" w:line="209" w:lineRule="auto"/>
        <w:tabs>
          <w:tab w:leader="none" w:pos="283" w:val="left"/>
        </w:tabs>
        <w:numPr>
          <w:ilvl w:val="0"/>
          <w:numId w:val="2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w:t>
      </w:r>
    </w:p>
    <w:p>
      <w:pPr>
        <w:spacing w:after="0" w:line="2" w:lineRule="exact"/>
        <w:rPr>
          <w:rFonts w:ascii="Times New Roman" w:cs="Times New Roman" w:eastAsia="Times New Roman" w:hAnsi="Times New Roman"/>
          <w:sz w:val="19"/>
          <w:szCs w:val="19"/>
          <w:color w:val="auto"/>
        </w:rPr>
      </w:pPr>
    </w:p>
    <w:p>
      <w:pPr>
        <w:jc w:val="both"/>
        <w:ind w:firstLine="4"/>
        <w:spacing w:after="0" w:line="213" w:lineRule="auto"/>
        <w:tabs>
          <w:tab w:leader="none" w:pos="338" w:val="left"/>
        </w:tabs>
        <w:numPr>
          <w:ilvl w:val="0"/>
          <w:numId w:val="2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customary restrictions on the assignment of leases, licenses and other agreements, (iv) restrictions of the nature referred to in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above under agreements governing purchase money liens or Capital Lease Obligations otherwise permitted hereby which restrictions are only effective against the assets financed thereby (v) any agreement in effect at the time any Subsidiary becomes a Subsidiary of a Borrower, so long as such agreement applies only to such Subsidiary, was not entered into solely in contemplation of such Person becoming a Subsidiary or in each case that is set forth in any agreement evidencing any amendments, restatements, supplements, modifications, extensions, renewals and replacements of the foregoing, so long as such amendment, restatement, supplement, modification, extension, renewal or replacement does not expand in any material respect the scope of any restriction or condition contained therein, or (vi) any restriction pursuant to any document, agreement or instrument governing or relating to any Lien permitted under </w:t>
      </w:r>
      <w:r>
        <w:rPr>
          <w:rFonts w:ascii="Times New Roman" w:cs="Times New Roman" w:eastAsia="Times New Roman" w:hAnsi="Times New Roman"/>
          <w:sz w:val="19"/>
          <w:szCs w:val="19"/>
          <w:u w:val="single" w:color="auto"/>
          <w:color w:val="auto"/>
        </w:rPr>
        <w:t>Section 7.3(c)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restriction relates only to the assets or property subject to such Lien or being Disposed).</w:t>
      </w:r>
    </w:p>
    <w:p>
      <w:pPr>
        <w:spacing w:after="0" w:line="145" w:lineRule="exact"/>
        <w:rPr>
          <w:sz w:val="20"/>
          <w:szCs w:val="20"/>
          <w:color w:val="auto"/>
        </w:rPr>
      </w:pPr>
    </w:p>
    <w:p>
      <w:pPr>
        <w:ind w:firstLine="625"/>
        <w:spacing w:after="0" w:line="251" w:lineRule="auto"/>
        <w:rPr>
          <w:sz w:val="20"/>
          <w:szCs w:val="20"/>
          <w:color w:val="auto"/>
        </w:rPr>
      </w:pPr>
      <w:r>
        <w:rPr>
          <w:rFonts w:ascii="Times New Roman" w:cs="Times New Roman" w:eastAsia="Times New Roman" w:hAnsi="Times New Roman"/>
          <w:sz w:val="19"/>
          <w:szCs w:val="19"/>
          <w:b w:val="1"/>
          <w:bCs w:val="1"/>
          <w:color w:val="auto"/>
        </w:rPr>
        <w:t>7.17 Lines of Business</w:t>
      </w:r>
      <w:r>
        <w:rPr>
          <w:rFonts w:ascii="Times New Roman" w:cs="Times New Roman" w:eastAsia="Times New Roman" w:hAnsi="Times New Roman"/>
          <w:sz w:val="19"/>
          <w:szCs w:val="19"/>
          <w:color w:val="auto"/>
        </w:rPr>
        <w:t>. Enter into any business, either directly or through any Subsidiary, except for those businesses in which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Holdings and its Subsidiaries are engaged on the date of this Agreement or that are reasonably related, ancillary or incidental thereto.</w:t>
      </w:r>
    </w:p>
    <w:p>
      <w:pPr>
        <w:spacing w:after="0" w:line="142" w:lineRule="exact"/>
        <w:rPr>
          <w:sz w:val="20"/>
          <w:szCs w:val="20"/>
          <w:color w:val="auto"/>
        </w:rPr>
      </w:pPr>
    </w:p>
    <w:p>
      <w:pPr>
        <w:ind w:firstLine="625"/>
        <w:spacing w:after="0" w:line="238" w:lineRule="auto"/>
        <w:rPr>
          <w:sz w:val="20"/>
          <w:szCs w:val="20"/>
          <w:color w:val="auto"/>
        </w:rPr>
      </w:pPr>
      <w:r>
        <w:rPr>
          <w:rFonts w:ascii="Times New Roman" w:cs="Times New Roman" w:eastAsia="Times New Roman" w:hAnsi="Times New Roman"/>
          <w:sz w:val="19"/>
          <w:szCs w:val="19"/>
          <w:b w:val="1"/>
          <w:bCs w:val="1"/>
          <w:color w:val="auto"/>
        </w:rPr>
        <w:t xml:space="preserve">7.18 Designation of other Indebtedness. </w:t>
      </w:r>
      <w:r>
        <w:rPr>
          <w:rFonts w:ascii="Times New Roman" w:cs="Times New Roman" w:eastAsia="Times New Roman" w:hAnsi="Times New Roman"/>
          <w:sz w:val="19"/>
          <w:szCs w:val="19"/>
          <w:color w:val="auto"/>
        </w:rPr>
        <w:t>Designate any Indebtedness or indebtedness other than the Obligations as “Designated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Senior Indebtedness” or a similar concept thereto, if applicable.</w:t>
      </w:r>
    </w:p>
    <w:p>
      <w:pPr>
        <w:spacing w:after="0" w:line="15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7.19</w:t>
        <w:tab/>
        <w:t>PC Entities; PC Documents.</w:t>
      </w:r>
    </w:p>
    <w:p>
      <w:pPr>
        <w:spacing w:after="0" w:line="187" w:lineRule="exact"/>
        <w:rPr>
          <w:sz w:val="20"/>
          <w:szCs w:val="20"/>
          <w:color w:val="auto"/>
        </w:rPr>
      </w:pPr>
    </w:p>
    <w:p>
      <w:pPr>
        <w:ind w:left="1880" w:hanging="626"/>
        <w:spacing w:after="0"/>
        <w:tabs>
          <w:tab w:leader="none" w:pos="1880" w:val="left"/>
        </w:tabs>
        <w:numPr>
          <w:ilvl w:val="0"/>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 into any Management Services Agreement with any PC Entity after the Closing Date unless:</w:t>
      </w:r>
    </w:p>
    <w:p>
      <w:pPr>
        <w:spacing w:after="0" w:line="172"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Management Services Agreement is Freely Assignable;</w:t>
      </w:r>
    </w:p>
    <w:p>
      <w:pPr>
        <w:spacing w:after="0" w:line="185" w:lineRule="exact"/>
        <w:rPr>
          <w:rFonts w:ascii="Times New Roman" w:cs="Times New Roman" w:eastAsia="Times New Roman" w:hAnsi="Times New Roman"/>
          <w:sz w:val="19"/>
          <w:szCs w:val="19"/>
          <w:color w:val="auto"/>
        </w:rPr>
      </w:pPr>
    </w:p>
    <w:p>
      <w:pPr>
        <w:ind w:firstLine="1880"/>
        <w:spacing w:after="0" w:line="249" w:lineRule="auto"/>
        <w:tabs>
          <w:tab w:leader="none" w:pos="2499"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the execution thereof, the applicable Loan Party shall deliver a copy of such Management Services Agreement to the Administrative Agent;</w:t>
      </w:r>
    </w:p>
    <w:p>
      <w:pPr>
        <w:spacing w:after="0" w:line="132" w:lineRule="exact"/>
        <w:rPr>
          <w:rFonts w:ascii="Times New Roman" w:cs="Times New Roman" w:eastAsia="Times New Roman" w:hAnsi="Times New Roman"/>
          <w:sz w:val="19"/>
          <w:szCs w:val="19"/>
          <w:color w:val="auto"/>
        </w:rPr>
      </w:pPr>
    </w:p>
    <w:p>
      <w:pPr>
        <w:jc w:val="both"/>
        <w:ind w:firstLine="1880"/>
        <w:spacing w:after="0" w:line="234" w:lineRule="auto"/>
        <w:tabs>
          <w:tab w:leader="none" w:pos="2500" w:val="left"/>
        </w:tabs>
        <w:numPr>
          <w:ilvl w:val="1"/>
          <w:numId w:val="2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prohibited under applicable law, such PC Entity shall have granted to the applicable Loan Party a continuing Lien on its Accounts (as defined in the UCC) as collateral security for the payment in full of all amounts and other obligations from time to time owing to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103</w:t>
      </w:r>
    </w:p>
    <w:p>
      <w:pPr>
        <w:sectPr>
          <w:pgSz w:w="11900" w:h="16838" w:orient="portrait"/>
          <w:cols w:equalWidth="0" w:num="1">
            <w:col w:w="11240"/>
          </w:cols>
          <w:pgMar w:left="320" w:top="1353" w:right="339" w:bottom="1440" w:gutter="0" w:footer="0" w:header="0"/>
        </w:sectPr>
      </w:pPr>
    </w:p>
    <w:bookmarkStart w:id="235" w:name="page236"/>
    <w:bookmarkEnd w:id="235"/>
    <w:p>
      <w:pPr>
        <w:spacing w:after="0" w:line="249" w:lineRule="auto"/>
        <w:rPr>
          <w:sz w:val="20"/>
          <w:szCs w:val="20"/>
          <w:color w:val="auto"/>
        </w:rPr>
      </w:pPr>
      <w:r>
        <w:rPr>
          <w:rFonts w:ascii="Times New Roman" w:cs="Times New Roman" w:eastAsia="Times New Roman" w:hAnsi="Times New Roman"/>
          <w:sz w:val="19"/>
          <w:szCs w:val="19"/>
          <w:color w:val="auto"/>
        </w:rPr>
        <w:t>the applicable Loan Party by such PC Entity under any Management Services Agreement or any Deficit Funding Agreement pursuant to a Freely Assignable Deficit Funding Agreement;</w:t>
      </w:r>
    </w:p>
    <w:p>
      <w:pPr>
        <w:spacing w:after="0" w:line="133" w:lineRule="exact"/>
        <w:rPr>
          <w:sz w:val="20"/>
          <w:szCs w:val="20"/>
          <w:color w:val="auto"/>
        </w:rPr>
      </w:pPr>
    </w:p>
    <w:p>
      <w:pPr>
        <w:jc w:val="both"/>
        <w:ind w:firstLine="1880"/>
        <w:spacing w:after="0" w:line="226" w:lineRule="auto"/>
        <w:tabs>
          <w:tab w:leader="none" w:pos="2490" w:val="left"/>
        </w:tabs>
        <w:numPr>
          <w:ilvl w:val="1"/>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prohibited (or, based on the advice of experienced healthcare counsel, not legally advisable) under applicable law, the applicable Loan Party, such PC Entity and the member(s) or other equityholder(s) of such PC Entity shall have entered into a Freely Assignable Continuity Agreement, and the applicable Loan Party shall deliver a copy of such Continuity Agreement to the Administrative Agent;</w:t>
      </w:r>
    </w:p>
    <w:p>
      <w:pPr>
        <w:spacing w:after="0" w:line="153" w:lineRule="exact"/>
        <w:rPr>
          <w:rFonts w:ascii="Times New Roman" w:cs="Times New Roman" w:eastAsia="Times New Roman" w:hAnsi="Times New Roman"/>
          <w:sz w:val="19"/>
          <w:szCs w:val="19"/>
          <w:color w:val="auto"/>
        </w:rPr>
      </w:pPr>
    </w:p>
    <w:p>
      <w:pPr>
        <w:jc w:val="both"/>
        <w:ind w:firstLine="1880"/>
        <w:spacing w:after="0" w:line="229" w:lineRule="auto"/>
        <w:tabs>
          <w:tab w:leader="none" w:pos="2489" w:val="left"/>
        </w:tabs>
        <w:numPr>
          <w:ilvl w:val="1"/>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prohibited under applicable law, the applicable Loan Party and such PC Entity shall enter into a Freely Assignable Deficit Funding Agreement, and the applicable Loan Party shall deliver a copy of such Deficit Funding Agreement to the Administrative Agent; and</w:t>
      </w:r>
    </w:p>
    <w:p>
      <w:pPr>
        <w:spacing w:after="0" w:line="156" w:lineRule="exact"/>
        <w:rPr>
          <w:rFonts w:ascii="Times New Roman" w:cs="Times New Roman" w:eastAsia="Times New Roman" w:hAnsi="Times New Roman"/>
          <w:sz w:val="19"/>
          <w:szCs w:val="19"/>
          <w:color w:val="auto"/>
        </w:rPr>
      </w:pPr>
    </w:p>
    <w:p>
      <w:pPr>
        <w:jc w:val="both"/>
        <w:ind w:firstLine="1880"/>
        <w:spacing w:after="0" w:line="229" w:lineRule="auto"/>
        <w:tabs>
          <w:tab w:leader="none" w:pos="2490" w:val="left"/>
        </w:tabs>
        <w:numPr>
          <w:ilvl w:val="1"/>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prohibited under applicable law, the applicable Loan Party shall execute and deliver to the Administrative Agent a Collateral Assignment of PC Documents (or a supplement to an applicable existing Collateral Assignment of PC Documents).</w:t>
      </w:r>
    </w:p>
    <w:p>
      <w:pPr>
        <w:spacing w:after="0" w:line="156"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3"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shall, and no Loan Party shall cause or permit any of its Subsidiaries to, amend or modify in any manner adverse in any material respect to the Lenders or the Agent, or grant any waiver under (if such granting shall be adverse to the Lenders), any PC Documents, except for any amendment, modification or waiver, in each case, reasonably required to comply with applicable law (including Health Care Laws and state corporate laws)</w:t>
      </w:r>
    </w:p>
    <w:p>
      <w:pPr>
        <w:spacing w:after="0" w:line="152"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7.20 Amendments to Organizational Agreements and Material Contracts</w:t>
      </w:r>
      <w:r>
        <w:rPr>
          <w:rFonts w:ascii="Times New Roman" w:cs="Times New Roman" w:eastAsia="Times New Roman" w:hAnsi="Times New Roman"/>
          <w:sz w:val="19"/>
          <w:szCs w:val="19"/>
          <w:color w:val="auto"/>
        </w:rPr>
        <w:t>. (a) Amend or permit any amendments to any Loan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Party’s organizational documents; (b) amend or permit any amendments to, or terminate or waive any provision of the PC Documents, other than</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any amendment, modification or other change that is not adverse to the Administrative Agent or the Lenders in any material respect (it being understood and agreed that, with respect to the PC Documents, any decrease in fees, removal of existing fees, delay of any date on which fees are</w:t>
      </w:r>
    </w:p>
    <w:p>
      <w:pPr>
        <w:spacing w:after="0" w:line="215" w:lineRule="auto"/>
        <w:rPr>
          <w:sz w:val="20"/>
          <w:szCs w:val="20"/>
          <w:color w:val="auto"/>
        </w:rPr>
      </w:pPr>
      <w:r>
        <w:rPr>
          <w:rFonts w:ascii="Times New Roman" w:cs="Times New Roman" w:eastAsia="Times New Roman" w:hAnsi="Times New Roman"/>
          <w:sz w:val="19"/>
          <w:szCs w:val="19"/>
          <w:color w:val="auto"/>
        </w:rPr>
        <w:t>due or modification of any assignment provisions with respect thereto shall be deemed to be adverse to the Administrative Agent and the Lenders)</w:t>
      </w:r>
    </w:p>
    <w:p>
      <w:pPr>
        <w:spacing w:after="0" w:line="225" w:lineRule="auto"/>
        <w:rPr>
          <w:sz w:val="20"/>
          <w:szCs w:val="20"/>
          <w:color w:val="auto"/>
        </w:rPr>
      </w:pPr>
      <w:r>
        <w:rPr>
          <w:rFonts w:ascii="Times New Roman" w:cs="Times New Roman" w:eastAsia="Times New Roman" w:hAnsi="Times New Roman"/>
          <w:sz w:val="19"/>
          <w:szCs w:val="19"/>
          <w:color w:val="auto"/>
        </w:rPr>
        <w:t>or (c) amend or permit any amendments to, or terminate or waive any provision of, any material Contractual Obligation if such amendment, termination, or waiver would be adverse to Administrative Agent or the Lenders in any material respect.</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7.21</w:t>
        <w:tab/>
        <w:t>Use of Proceeds</w:t>
      </w:r>
      <w:r>
        <w:rPr>
          <w:rFonts w:ascii="Times New Roman" w:cs="Times New Roman" w:eastAsia="Times New Roman" w:hAnsi="Times New Roman"/>
          <w:sz w:val="19"/>
          <w:szCs w:val="19"/>
          <w:color w:val="auto"/>
        </w:rPr>
        <w:t>. Use the proceeds of any Credit Extension hereunder, whether directly or indirectly, and whether immediately,</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incidentally or ultimately, (a) to purchase or carry margin stock (within the meaning of Regulation U of the Federal Reserve Board) or to extend credit to others for the purpose of purchasing or carrying margin stock or to refund indebtedness originally incurred for such purpose, in each case</w:t>
      </w:r>
    </w:p>
    <w:p>
      <w:pPr>
        <w:spacing w:after="0" w:line="215" w:lineRule="auto"/>
        <w:rPr>
          <w:sz w:val="20"/>
          <w:szCs w:val="20"/>
          <w:color w:val="auto"/>
        </w:rPr>
      </w:pPr>
      <w:r>
        <w:rPr>
          <w:rFonts w:ascii="Times New Roman" w:cs="Times New Roman" w:eastAsia="Times New Roman" w:hAnsi="Times New Roman"/>
          <w:sz w:val="19"/>
          <w:szCs w:val="19"/>
          <w:color w:val="auto"/>
        </w:rPr>
        <w:t>in violation of, or for a purpose which violates, or would be inconsistent with, Regulation T, U or X of the Federal Reserve Board; (b) to finance</w:t>
      </w:r>
    </w:p>
    <w:p>
      <w:pPr>
        <w:spacing w:after="0" w:line="207" w:lineRule="auto"/>
        <w:rPr>
          <w:sz w:val="20"/>
          <w:szCs w:val="20"/>
          <w:color w:val="auto"/>
        </w:rPr>
      </w:pPr>
      <w:r>
        <w:rPr>
          <w:rFonts w:ascii="Times New Roman" w:cs="Times New Roman" w:eastAsia="Times New Roman" w:hAnsi="Times New Roman"/>
          <w:sz w:val="19"/>
          <w:szCs w:val="19"/>
          <w:color w:val="auto"/>
        </w:rPr>
        <w:t>an Unfriendly Acquisition; (c) to fund any activities of or business with any individual or entity, or in any Designated Jurisdiction, that, at the time of such funding, is the subject of Sanctions, or in any other manner that will result in a violation by any individual or entity (including any</w:t>
      </w:r>
    </w:p>
    <w:p>
      <w:pPr>
        <w:spacing w:after="0" w:line="215" w:lineRule="auto"/>
        <w:rPr>
          <w:sz w:val="20"/>
          <w:szCs w:val="20"/>
          <w:color w:val="auto"/>
        </w:rPr>
      </w:pPr>
      <w:r>
        <w:rPr>
          <w:rFonts w:ascii="Times New Roman" w:cs="Times New Roman" w:eastAsia="Times New Roman" w:hAnsi="Times New Roman"/>
          <w:sz w:val="19"/>
          <w:szCs w:val="19"/>
          <w:color w:val="auto"/>
        </w:rPr>
        <w:t>individual or entity participating in the transaction, whether as Lender, Lead Arranger, Administrative Agent, Issuing Lender, Swingline Lender, or</w:t>
      </w:r>
    </w:p>
    <w:p>
      <w:pPr>
        <w:spacing w:after="0" w:line="207" w:lineRule="auto"/>
        <w:rPr>
          <w:sz w:val="20"/>
          <w:szCs w:val="20"/>
          <w:color w:val="auto"/>
        </w:rPr>
      </w:pPr>
      <w:r>
        <w:rPr>
          <w:rFonts w:ascii="Times New Roman" w:cs="Times New Roman" w:eastAsia="Times New Roman" w:hAnsi="Times New Roman"/>
          <w:sz w:val="19"/>
          <w:szCs w:val="19"/>
          <w:color w:val="auto"/>
        </w:rPr>
        <w:t>otherwise) of Sanctions (or lend, contribute or otherwise make available such proceeds to any Subsidiary, joint venture partner or other individual or entity in violation of the foregoing); or (d) for any purpose which would breach the United States Foreign Corrupt Practices Act of 1977,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UK Bribery Act 2010, or other similar legislation in other jurisdictions.</w:t>
      </w:r>
    </w:p>
    <w:p>
      <w:pPr>
        <w:spacing w:after="0" w:line="16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7.22</w:t>
        <w:tab/>
        <w:t>Subordinated Indebtedness.</w:t>
      </w:r>
    </w:p>
    <w:p>
      <w:pPr>
        <w:spacing w:after="0" w:line="174" w:lineRule="exact"/>
        <w:rPr>
          <w:sz w:val="20"/>
          <w:szCs w:val="20"/>
          <w:color w:val="auto"/>
        </w:rPr>
      </w:pPr>
    </w:p>
    <w:p>
      <w:pPr>
        <w:jc w:val="both"/>
        <w:ind w:firstLine="1254"/>
        <w:spacing w:after="0" w:line="226" w:lineRule="auto"/>
        <w:tabs>
          <w:tab w:leader="none" w:pos="1866"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Amend, modify, supplement, waive compliance with, or consent to noncompliance with, any Subordinated Debt Document, unless the amendment, modification, supplement, waiver or consent (i) does not adversely affect Holdings’ or any of its Subsidiaries’, as applicable, ability to pay and perform each of its Obligations at the time and in the manner set forth herein and in the other Loan Documents and is not otherwise adverse to the Administrative Agent and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104</w:t>
      </w:r>
    </w:p>
    <w:p>
      <w:pPr>
        <w:sectPr>
          <w:pgSz w:w="11900" w:h="16838" w:orient="portrait"/>
          <w:cols w:equalWidth="0" w:num="1">
            <w:col w:w="11240"/>
          </w:cols>
          <w:pgMar w:left="320" w:top="1354" w:right="339" w:bottom="1440" w:gutter="0" w:footer="0" w:header="0"/>
        </w:sectPr>
      </w:pPr>
    </w:p>
    <w:bookmarkStart w:id="236" w:name="page237"/>
    <w:bookmarkEnd w:id="236"/>
    <w:p>
      <w:pPr>
        <w:spacing w:after="0" w:line="249" w:lineRule="auto"/>
        <w:rPr>
          <w:sz w:val="20"/>
          <w:szCs w:val="20"/>
          <w:color w:val="auto"/>
        </w:rPr>
      </w:pPr>
      <w:r>
        <w:rPr>
          <w:rFonts w:ascii="Times New Roman" w:cs="Times New Roman" w:eastAsia="Times New Roman" w:hAnsi="Times New Roman"/>
          <w:sz w:val="19"/>
          <w:szCs w:val="19"/>
          <w:color w:val="auto"/>
        </w:rPr>
        <w:t>Lenders, and (ii) is in compliance with the subordination provisions therein and any subordination agreement with respect thereto in favor of the Administrative Agent and the Lenders.</w:t>
      </w:r>
    </w:p>
    <w:p>
      <w:pPr>
        <w:spacing w:after="0" w:line="133" w:lineRule="exact"/>
        <w:rPr>
          <w:sz w:val="20"/>
          <w:szCs w:val="20"/>
          <w:color w:val="auto"/>
        </w:rPr>
      </w:pPr>
    </w:p>
    <w:p>
      <w:pPr>
        <w:jc w:val="both"/>
        <w:ind w:firstLine="1254"/>
        <w:spacing w:after="0" w:line="226" w:lineRule="auto"/>
        <w:tabs>
          <w:tab w:leader="none" w:pos="1863"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Make any voluntary or optional payment, prepayment or repayment on, redemption, exchange or acquisition for value of, or any sinking fund or similar payment with respect to, any Subordinated Indebtedness, except as permitted by the subordination provisions in the applicable Subordinated Debt Documents and any subordination agreement with respect thereto in favor of the Administrative Agent and the Lenders.</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7.23</w:t>
        <w:tab/>
        <w:t xml:space="preserve">Anti-Terrorism Laws. </w:t>
      </w:r>
      <w:r>
        <w:rPr>
          <w:rFonts w:ascii="Times New Roman" w:cs="Times New Roman" w:eastAsia="Times New Roman" w:hAnsi="Times New Roman"/>
          <w:sz w:val="19"/>
          <w:szCs w:val="19"/>
          <w:color w:val="auto"/>
        </w:rPr>
        <w:t>Conduct, deal in or engage in or permit any Affiliate or agent of any Loan Party within its control to</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conduct, deal in or engage in any of the following activities: (a) conduct any business or engage in any transaction or dealing with any person blocked pursuant to Executive Order No. 13224 (a “</w:t>
      </w:r>
      <w:r>
        <w:rPr>
          <w:rFonts w:ascii="Times New Roman" w:cs="Times New Roman" w:eastAsia="Times New Roman" w:hAnsi="Times New Roman"/>
          <w:sz w:val="19"/>
          <w:szCs w:val="19"/>
          <w:b w:val="1"/>
          <w:bCs w:val="1"/>
          <w:i w:val="1"/>
          <w:iCs w:val="1"/>
          <w:color w:val="auto"/>
        </w:rPr>
        <w:t>Blocked Person</w:t>
      </w:r>
      <w:r>
        <w:rPr>
          <w:rFonts w:ascii="Times New Roman" w:cs="Times New Roman" w:eastAsia="Times New Roman" w:hAnsi="Times New Roman"/>
          <w:sz w:val="19"/>
          <w:szCs w:val="19"/>
          <w:color w:val="auto"/>
        </w:rPr>
        <w:t>”), including the making or receiving any contribution of funds, goods or</w:t>
      </w:r>
    </w:p>
    <w:p>
      <w:pPr>
        <w:spacing w:after="0" w:line="215" w:lineRule="auto"/>
        <w:rPr>
          <w:sz w:val="20"/>
          <w:szCs w:val="20"/>
          <w:color w:val="auto"/>
        </w:rPr>
      </w:pPr>
      <w:r>
        <w:rPr>
          <w:rFonts w:ascii="Times New Roman" w:cs="Times New Roman" w:eastAsia="Times New Roman" w:hAnsi="Times New Roman"/>
          <w:sz w:val="19"/>
          <w:szCs w:val="19"/>
          <w:color w:val="auto"/>
        </w:rPr>
        <w:t>services to or for the benefit of any Blocked Person; (b) deal in, or otherwise engage in any transaction relating to, any property or interests in</w:t>
      </w:r>
    </w:p>
    <w:p>
      <w:pPr>
        <w:spacing w:after="0" w:line="225" w:lineRule="auto"/>
        <w:rPr>
          <w:sz w:val="20"/>
          <w:szCs w:val="20"/>
          <w:color w:val="auto"/>
        </w:rPr>
      </w:pPr>
      <w:r>
        <w:rPr>
          <w:rFonts w:ascii="Times New Roman" w:cs="Times New Roman" w:eastAsia="Times New Roman" w:hAnsi="Times New Roman"/>
          <w:sz w:val="19"/>
          <w:szCs w:val="19"/>
          <w:color w:val="auto"/>
        </w:rPr>
        <w:t>property blocked pursuant to Executive Order No. 13224; or (c) engage in on conspire to engage in any transaction that evades or avoids, or has the purpose of evading or avoiding, or attempts to violate, any of the prohibitions set forth in Executive Order No. 13224 or the Patriot Act.</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7.24</w:t>
        <w:tab/>
        <w:t xml:space="preserve">Holding Companies. </w:t>
      </w:r>
      <w:r>
        <w:rPr>
          <w:rFonts w:ascii="Times New Roman" w:cs="Times New Roman" w:eastAsia="Times New Roman" w:hAnsi="Times New Roman"/>
          <w:sz w:val="19"/>
          <w:szCs w:val="19"/>
          <w:color w:val="auto"/>
        </w:rPr>
        <w:t>Holdings and Intermediate Holdings will not engage in any material operating or business activities;</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following and any activities incidental or related thereto shall be permitted: (i) the maintenance of their legal existence (including the ability to incur and pay, as applicable, fees, costs and expenses and taxes relating to such maintenance), (ii) ownership of the Capital</w:t>
      </w:r>
    </w:p>
    <w:p>
      <w:pPr>
        <w:spacing w:after="0" w:line="215" w:lineRule="auto"/>
        <w:rPr>
          <w:sz w:val="20"/>
          <w:szCs w:val="20"/>
          <w:color w:val="auto"/>
        </w:rPr>
      </w:pPr>
      <w:r>
        <w:rPr>
          <w:rFonts w:ascii="Times New Roman" w:cs="Times New Roman" w:eastAsia="Times New Roman" w:hAnsi="Times New Roman"/>
          <w:sz w:val="19"/>
          <w:szCs w:val="19"/>
          <w:color w:val="auto"/>
        </w:rPr>
        <w:t>Stock of their Subsidiaries, (iii) holding any cash or property (but not operating any material property), (iv) the performance of their obligations</w:t>
      </w:r>
    </w:p>
    <w:p>
      <w:pPr>
        <w:spacing w:after="0" w:line="207" w:lineRule="auto"/>
        <w:rPr>
          <w:sz w:val="20"/>
          <w:szCs w:val="20"/>
          <w:color w:val="auto"/>
        </w:rPr>
      </w:pPr>
      <w:r>
        <w:rPr>
          <w:rFonts w:ascii="Times New Roman" w:cs="Times New Roman" w:eastAsia="Times New Roman" w:hAnsi="Times New Roman"/>
          <w:sz w:val="19"/>
          <w:szCs w:val="19"/>
          <w:color w:val="auto"/>
        </w:rPr>
        <w:t>with respect to Loan Documents and any other documents governing Indebtedness permitted hereby, (v) any public offering of common equity or any other issuance or sale of the Capital Stock of Holdings or (vi) participating in tax, accounting and other administrative matters of a type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customarily provided by a holding company to its Subsidiaries.</w:t>
      </w:r>
    </w:p>
    <w:p>
      <w:pPr>
        <w:spacing w:after="0" w:line="148"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7.25 Collection Account. </w:t>
      </w:r>
      <w:r>
        <w:rPr>
          <w:rFonts w:ascii="Times New Roman" w:cs="Times New Roman" w:eastAsia="Times New Roman" w:hAnsi="Times New Roman"/>
          <w:sz w:val="19"/>
          <w:szCs w:val="19"/>
          <w:color w:val="auto"/>
        </w:rPr>
        <w:t>Other than in accordance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2.12(g)</w:t>
      </w:r>
      <w:r>
        <w:rPr>
          <w:rFonts w:ascii="Times New Roman" w:cs="Times New Roman" w:eastAsia="Times New Roman" w:hAnsi="Times New Roman"/>
          <w:sz w:val="19"/>
          <w:szCs w:val="19"/>
          <w:color w:val="auto"/>
        </w:rPr>
        <w:t>, Borrower shall not transfer any funds out of the Collection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Account unless and until the obligations in </w:t>
      </w:r>
      <w:r>
        <w:rPr>
          <w:rFonts w:ascii="Times New Roman" w:cs="Times New Roman" w:eastAsia="Times New Roman" w:hAnsi="Times New Roman"/>
          <w:sz w:val="19"/>
          <w:szCs w:val="19"/>
          <w:u w:val="single" w:color="auto"/>
          <w:color w:val="auto"/>
        </w:rPr>
        <w:t>Section 2.12(g)</w:t>
      </w:r>
      <w:r>
        <w:rPr>
          <w:rFonts w:ascii="Times New Roman" w:cs="Times New Roman" w:eastAsia="Times New Roman" w:hAnsi="Times New Roman"/>
          <w:sz w:val="19"/>
          <w:szCs w:val="19"/>
          <w:color w:val="auto"/>
        </w:rPr>
        <w:t xml:space="preserve"> are satisfied; provided that the Administrative Agent shall direct the deposits made into</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the Collection Account in an aggregate amount not to exceed $3,000,000 to be disbursed to any account designated by the Borrower in a timely manner.</w:t>
      </w:r>
    </w:p>
    <w:p>
      <w:pPr>
        <w:spacing w:after="0" w:line="1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Section 8</w:t>
      </w:r>
    </w:p>
    <w:p>
      <w:pPr>
        <w:spacing w:after="0" w:line="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14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8.1</w:t>
      </w:r>
      <w:r>
        <w:rPr>
          <w:sz w:val="20"/>
          <w:szCs w:val="20"/>
          <w:color w:val="auto"/>
        </w:rPr>
        <w:tab/>
      </w:r>
      <w:r>
        <w:rPr>
          <w:rFonts w:ascii="Times New Roman" w:cs="Times New Roman" w:eastAsia="Times New Roman" w:hAnsi="Times New Roman"/>
          <w:sz w:val="19"/>
          <w:szCs w:val="19"/>
          <w:b w:val="1"/>
          <w:bCs w:val="1"/>
          <w:color w:val="auto"/>
        </w:rPr>
        <w:t>Events of Default</w:t>
      </w:r>
      <w:r>
        <w:rPr>
          <w:rFonts w:ascii="Times New Roman" w:cs="Times New Roman" w:eastAsia="Times New Roman" w:hAnsi="Times New Roman"/>
          <w:sz w:val="19"/>
          <w:szCs w:val="19"/>
          <w:color w:val="auto"/>
        </w:rPr>
        <w:t>. The occurrence of any of the following shall constitute an Event of Default:</w:t>
      </w:r>
    </w:p>
    <w:p>
      <w:pPr>
        <w:spacing w:after="0" w:line="187" w:lineRule="exact"/>
        <w:rPr>
          <w:sz w:val="20"/>
          <w:szCs w:val="20"/>
          <w:color w:val="auto"/>
        </w:rPr>
      </w:pPr>
    </w:p>
    <w:p>
      <w:pPr>
        <w:jc w:val="both"/>
        <w:ind w:firstLine="1254"/>
        <w:spacing w:after="0" w:line="229" w:lineRule="auto"/>
        <w:tabs>
          <w:tab w:leader="none" w:pos="1866"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fail to pay any amount of principal of any Loan when due in accordance with the terms hereof; or the Borrower shall fail to pay any amount of interest on any Loan, or any other amount payable hereunder or under any other Loan Document, within three Business Days after any such interest or other amount becomes due in accordance with the terms hereof; or</w:t>
      </w:r>
    </w:p>
    <w:p>
      <w:pPr>
        <w:spacing w:after="0" w:line="156"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3"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spacing w:after="0" w:line="153"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6" w:val="left"/>
        </w:tabs>
        <w:numPr>
          <w:ilvl w:val="0"/>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any Loan Party shall default in the observance or performance of any agreement contained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6.5(a)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6.6(b)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6.8(a)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6.10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of this Agreement or (ii) an “</w:t>
      </w:r>
      <w:r>
        <w:rPr>
          <w:rFonts w:ascii="Times New Roman" w:cs="Times New Roman" w:eastAsia="Times New Roman" w:hAnsi="Times New Roman"/>
          <w:sz w:val="19"/>
          <w:szCs w:val="19"/>
          <w:b w:val="1"/>
          <w:bCs w:val="1"/>
          <w:i w:val="1"/>
          <w:iCs w:val="1"/>
          <w:color w:val="auto"/>
        </w:rPr>
        <w:t>Event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Default</w:t>
      </w:r>
      <w:r>
        <w:rPr>
          <w:rFonts w:ascii="Times New Roman" w:cs="Times New Roman" w:eastAsia="Times New Roman" w:hAnsi="Times New Roman"/>
          <w:sz w:val="19"/>
          <w:szCs w:val="19"/>
          <w:color w:val="auto"/>
        </w:rPr>
        <w:t>” under and as defined in any Security Document shall have occurred and be continuing or (iii) with respect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105</w:t>
      </w:r>
    </w:p>
    <w:p>
      <w:pPr>
        <w:sectPr>
          <w:pgSz w:w="11900" w:h="16838" w:orient="portrait"/>
          <w:cols w:equalWidth="0" w:num="1">
            <w:col w:w="11240"/>
          </w:cols>
          <w:pgMar w:left="320" w:top="1354"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9"/>
          <w:szCs w:val="19"/>
          <w:color w:val="auto"/>
        </w:rPr>
        <w:t>to the Fund Guarantee, any Fund Guarantor shall default in observance or performance of the Fund Guarantee; or</w:t>
      </w:r>
    </w:p>
    <w:p>
      <w:pPr>
        <w:spacing w:after="0" w:line="185" w:lineRule="exact"/>
        <w:rPr>
          <w:sz w:val="20"/>
          <w:szCs w:val="20"/>
          <w:color w:val="auto"/>
        </w:rPr>
      </w:pPr>
    </w:p>
    <w:p>
      <w:pPr>
        <w:jc w:val="both"/>
        <w:ind w:firstLine="1254"/>
        <w:spacing w:after="0" w:line="229" w:lineRule="auto"/>
        <w:tabs>
          <w:tab w:leader="none" w:pos="1863" w:val="left"/>
        </w:tabs>
        <w:numPr>
          <w:ilvl w:val="1"/>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Loan Party shall default in the observance or performance of any other agreement contained in this Agreement or any other Loan Document (other than as provided in </w:t>
      </w:r>
      <w:r>
        <w:rPr>
          <w:rFonts w:ascii="Times New Roman" w:cs="Times New Roman" w:eastAsia="Times New Roman" w:hAnsi="Times New Roman"/>
          <w:sz w:val="19"/>
          <w:szCs w:val="19"/>
          <w:u w:val="single" w:color="auto"/>
          <w:color w:val="auto"/>
        </w:rPr>
        <w:t>paragraphs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of this Section), and such default shall continue unremedied for a period of 30 days thereafter; or</w:t>
      </w:r>
    </w:p>
    <w:p>
      <w:pPr>
        <w:spacing w:after="0" w:line="156" w:lineRule="exact"/>
        <w:rPr>
          <w:rFonts w:ascii="Times New Roman" w:cs="Times New Roman" w:eastAsia="Times New Roman" w:hAnsi="Times New Roman"/>
          <w:sz w:val="19"/>
          <w:szCs w:val="19"/>
          <w:color w:val="auto"/>
        </w:rPr>
      </w:pPr>
    </w:p>
    <w:p>
      <w:pPr>
        <w:jc w:val="both"/>
        <w:ind w:firstLine="1254"/>
        <w:spacing w:after="0" w:line="213" w:lineRule="auto"/>
        <w:tabs>
          <w:tab w:leader="none" w:pos="1866" w:val="left"/>
        </w:tabs>
        <w:numPr>
          <w:ilvl w:val="1"/>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any Group Member shall (A) default in making any payment of any principal of any Indebtedness (including any Guarantee Obligation, but excluding the Loans) on the scheduled or original due date with respect thereto; (B) default in making any payment of any interest, fees, costs or expenses on any such Indebtedness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(including any Subordinated Debt Document) or condition relating to any such Indebtedness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(2) to cause, with the giving of notice if required, any Group Member to purchase, redeem, mandatorily prepay or make an offer to purchase, redeem or mandatorily prepay such Indebtedness prior to its stated maturity;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such Indebtedness constitutes a Specified Swap Agreement, a default, event or condition described in </w:t>
      </w:r>
      <w:r>
        <w:rPr>
          <w:rFonts w:ascii="Times New Roman" w:cs="Times New Roman" w:eastAsia="Times New Roman" w:hAnsi="Times New Roman"/>
          <w:sz w:val="19"/>
          <w:szCs w:val="19"/>
          <w:u w:val="single" w:color="auto"/>
          <w:color w:val="auto"/>
        </w:rPr>
        <w:t>clauses (i)(A)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8.1(e)</w:t>
      </w:r>
      <w:r>
        <w:rPr>
          <w:rFonts w:ascii="Times New Roman" w:cs="Times New Roman" w:eastAsia="Times New Roman" w:hAnsi="Times New Roman"/>
          <w:sz w:val="19"/>
          <w:szCs w:val="19"/>
          <w:color w:val="auto"/>
        </w:rPr>
        <w:t xml:space="preserve"> shall not at any time constitute an Event of Default </w:t>
      </w:r>
      <w:r>
        <w:rPr>
          <w:rFonts w:ascii="Times New Roman" w:cs="Times New Roman" w:eastAsia="Times New Roman" w:hAnsi="Times New Roman"/>
          <w:sz w:val="19"/>
          <w:szCs w:val="19"/>
          <w:u w:val="single" w:color="auto"/>
          <w:color w:val="auto"/>
        </w:rPr>
        <w:t>unless</w:t>
      </w:r>
      <w:r>
        <w:rPr>
          <w:rFonts w:ascii="Times New Roman" w:cs="Times New Roman" w:eastAsia="Times New Roman" w:hAnsi="Times New Roman"/>
          <w:sz w:val="19"/>
          <w:szCs w:val="19"/>
          <w:color w:val="auto"/>
        </w:rPr>
        <w:t xml:space="preserve">, at such time, one or more defaults, events or conditions of the type described in any of </w:t>
      </w:r>
      <w:r>
        <w:rPr>
          <w:rFonts w:ascii="Times New Roman" w:cs="Times New Roman" w:eastAsia="Times New Roman" w:hAnsi="Times New Roman"/>
          <w:sz w:val="19"/>
          <w:szCs w:val="19"/>
          <w:u w:val="single" w:color="auto"/>
          <w:color w:val="auto"/>
        </w:rPr>
        <w:t>clauses (i)(A)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8.1(e)</w:t>
      </w:r>
      <w:r>
        <w:rPr>
          <w:rFonts w:ascii="Times New Roman" w:cs="Times New Roman" w:eastAsia="Times New Roman" w:hAnsi="Times New Roman"/>
          <w:sz w:val="19"/>
          <w:szCs w:val="19"/>
          <w:color w:val="auto"/>
        </w:rPr>
        <w:t xml:space="preserve"> shall have occurred with respect to Indebtedness, the outstanding principal amount (and, in the case of Swap Agreements, other than Specified Swap Agreements, the Swap Termination Value) of which, individually or in the aggregate for all such Indebtedness, exceeds the Threshold Amount; or (ii) any default or event of default (however designated) shall occur with respect to any Subordinated Indebtedness of any Group Member; or</w:t>
      </w:r>
    </w:p>
    <w:p>
      <w:pPr>
        <w:spacing w:after="0" w:line="142"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1"/>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Group Member (other than an Immaterial Subsidiary) shall commence any case, proceeding or other action</w:t>
      </w:r>
    </w:p>
    <w:p>
      <w:pPr>
        <w:jc w:val="both"/>
        <w:ind w:firstLine="4"/>
        <w:spacing w:after="0" w:line="207" w:lineRule="auto"/>
        <w:tabs>
          <w:tab w:leader="none" w:pos="261"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w:t>
      </w:r>
    </w:p>
    <w:p>
      <w:pPr>
        <w:jc w:val="both"/>
        <w:ind w:firstLine="4"/>
        <w:spacing w:after="0" w:line="209" w:lineRule="auto"/>
        <w:tabs>
          <w:tab w:leader="none" w:pos="274"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seeking appointment of a receiver, trustee, custodian, conservator or other similar official for it or for all or any substantial part of its assets, or any Group Member (other than an Immaterial Subsidiary) shall make a general assignment for the benefit of its creditors; or (ii) there shall be commenced against any Group Member (other than an Immaterial Subsidiary) any case, proceeding or other action of a nature referred to in </w:t>
      </w:r>
      <w:r>
        <w:rPr>
          <w:rFonts w:ascii="Times New Roman" w:cs="Times New Roman" w:eastAsia="Times New Roman" w:hAnsi="Times New Roman"/>
          <w:sz w:val="19"/>
          <w:szCs w:val="19"/>
          <w:u w:val="single" w:color="auto"/>
          <w:color w:val="auto"/>
        </w:rPr>
        <w:t>clause</w:t>
      </w:r>
    </w:p>
    <w:p>
      <w:pPr>
        <w:spacing w:after="0" w:line="2" w:lineRule="exact"/>
        <w:rPr>
          <w:rFonts w:ascii="Times New Roman" w:cs="Times New Roman" w:eastAsia="Times New Roman" w:hAnsi="Times New Roman"/>
          <w:sz w:val="19"/>
          <w:szCs w:val="19"/>
          <w:color w:val="auto"/>
        </w:rPr>
      </w:pPr>
    </w:p>
    <w:p>
      <w:pPr>
        <w:jc w:val="both"/>
        <w:ind w:firstLine="4"/>
        <w:spacing w:after="0" w:line="214" w:lineRule="auto"/>
        <w:tabs>
          <w:tab w:leader="none" w:pos="241" w:val="left"/>
        </w:tabs>
        <w:numPr>
          <w:ilvl w:val="0"/>
          <w:numId w:val="24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above that (x) results in the entry of an order for relief or any such adjudication or appointment or (y) remains undismissed, undischarged or unbonded for a period of 60 days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during such 60 day period, no Loan shall be advanced or Letters of Credit issued hereunder); or</w:t>
      </w:r>
    </w:p>
    <w:p>
      <w:pPr>
        <w:spacing w:after="0" w:line="1" w:lineRule="exact"/>
        <w:rPr>
          <w:rFonts w:ascii="Times New Roman" w:cs="Times New Roman" w:eastAsia="Times New Roman" w:hAnsi="Times New Roman"/>
          <w:sz w:val="19"/>
          <w:szCs w:val="19"/>
          <w:u w:val="single" w:color="auto"/>
          <w:color w:val="auto"/>
        </w:rPr>
      </w:pPr>
    </w:p>
    <w:p>
      <w:pPr>
        <w:jc w:val="both"/>
        <w:ind w:firstLine="4"/>
        <w:spacing w:after="0" w:line="208" w:lineRule="auto"/>
        <w:tabs>
          <w:tab w:leader="none" w:pos="359"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during such 60 day period, no Loan shall be advanced or Letters of Credit issued hereunder); or (iv) any Group Member (other than an Immaterial Subsidiary) shall take any action in furtherance of, or indicating its consent to, approval of, or acquiescence in, any of the acts set forth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or</w:t>
      </w:r>
    </w:p>
    <w:p>
      <w:pPr>
        <w:spacing w:after="0" w:line="4" w:lineRule="exact"/>
        <w:rPr>
          <w:rFonts w:ascii="Times New Roman" w:cs="Times New Roman" w:eastAsia="Times New Roman" w:hAnsi="Times New Roman"/>
          <w:sz w:val="19"/>
          <w:szCs w:val="19"/>
          <w:color w:val="auto"/>
        </w:rPr>
      </w:pPr>
    </w:p>
    <w:p>
      <w:pPr>
        <w:ind w:firstLine="4"/>
        <w:spacing w:after="0" w:line="232" w:lineRule="auto"/>
        <w:tabs>
          <w:tab w:leader="none" w:pos="355" w:val="left"/>
        </w:tabs>
        <w:numPr>
          <w:ilvl w:val="0"/>
          <w:numId w:val="24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above; or (v) any Group Member shall generally not, or shall be unable to, or shall admit in writing its inability to, pay its debts as they become due; or</w:t>
      </w:r>
    </w:p>
    <w:p>
      <w:pPr>
        <w:spacing w:after="0" w:line="141" w:lineRule="exact"/>
        <w:rPr>
          <w:rFonts w:ascii="Times New Roman" w:cs="Times New Roman" w:eastAsia="Times New Roman" w:hAnsi="Times New Roman"/>
          <w:sz w:val="19"/>
          <w:szCs w:val="19"/>
          <w:u w:val="single" w:color="auto"/>
          <w:color w:val="auto"/>
        </w:rPr>
      </w:pPr>
    </w:p>
    <w:p>
      <w:pPr>
        <w:jc w:val="both"/>
        <w:ind w:firstLine="1254"/>
        <w:spacing w:after="0" w:line="234" w:lineRule="auto"/>
        <w:tabs>
          <w:tab w:leader="none" w:pos="1863" w:val="left"/>
        </w:tabs>
        <w:numPr>
          <w:ilvl w:val="1"/>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occur one or more ERISA Events which individually or in the aggregate results in or otherwise is associated with liability of any Loan Party or any ERISA Affiliate thereof in excess of the Threshold Amount during the term of this Agreement; or there exists an amount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106</w:t>
      </w:r>
    </w:p>
    <w:p>
      <w:pPr>
        <w:sectPr>
          <w:pgSz w:w="11900" w:h="16838" w:orient="portrait"/>
          <w:cols w:equalWidth="0" w:num="1">
            <w:col w:w="11240"/>
          </w:cols>
          <w:pgMar w:left="320" w:top="1354" w:right="339" w:bottom="1440" w:gutter="0" w:footer="0" w:header="0"/>
        </w:sectPr>
      </w:pPr>
    </w:p>
    <w:bookmarkStart w:id="238" w:name="page239"/>
    <w:bookmarkEnd w:id="238"/>
    <w:p>
      <w:pPr>
        <w:spacing w:after="0" w:line="249" w:lineRule="auto"/>
        <w:rPr>
          <w:sz w:val="20"/>
          <w:szCs w:val="20"/>
          <w:color w:val="auto"/>
        </w:rPr>
      </w:pPr>
      <w:r>
        <w:rPr>
          <w:rFonts w:ascii="Times New Roman" w:cs="Times New Roman" w:eastAsia="Times New Roman" w:hAnsi="Times New Roman"/>
          <w:sz w:val="19"/>
          <w:szCs w:val="19"/>
          <w:color w:val="auto"/>
        </w:rPr>
        <w:t>of unfunded benefit liabilities (as defined in Section 4001(a)(18) of ERISA), individually or in the aggregate for all Pension Plans (excluding for purposes of such computation any Pension Plans with respect to which assets exceed benefit liabilities) which exceeds the Threshold Amount; or</w:t>
      </w:r>
    </w:p>
    <w:p>
      <w:pPr>
        <w:spacing w:after="0" w:line="133" w:lineRule="exact"/>
        <w:rPr>
          <w:sz w:val="20"/>
          <w:szCs w:val="20"/>
          <w:color w:val="auto"/>
        </w:rPr>
      </w:pPr>
    </w:p>
    <w:p>
      <w:pPr>
        <w:jc w:val="both"/>
        <w:ind w:firstLine="1254"/>
        <w:spacing w:after="0" w:line="222" w:lineRule="auto"/>
        <w:tabs>
          <w:tab w:leader="none" w:pos="1863"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entered against any Group Member (i) one or more final judgments or orders for the payment of money involving in the aggregate a liability (not paid or fully covered by insurance as to which the relevant insurance company has acknowledged coverage) in excess of the Threshold Amount, or (ii) one or more non-monetary final judgments that have, or could reasonably be expected to have, individually or in the aggregate, a Material Adverse Effect and, in either case, (A) enforcement proceedings are commenced by any creditor upon such judgment or order, or (B) all such judgments or decrees shall not have been vacated, discharged, stayed or bonded pending appeal within 45 days from the entry thereof; or</w:t>
      </w:r>
    </w:p>
    <w:p>
      <w:pPr>
        <w:spacing w:after="0" w:line="141"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73"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any of the Security Documents shall cease, for any reason, to be in full force and effect (other than pursuant to the terms thereof), or any Loan Party shall so assert, or any Lien created by any of the Security Documents shall cease to be enforceable and of the same effect and priority purported to be created thereby (other than as a result of the action or inaction of the Administrative Agent or any Lender) with respect to Collateral having a value exceeding $1,000,000; or</w:t>
      </w:r>
    </w:p>
    <w:p>
      <w:pPr>
        <w:spacing w:after="0" w:line="166" w:lineRule="exact"/>
        <w:rPr>
          <w:rFonts w:ascii="Times New Roman" w:cs="Times New Roman" w:eastAsia="Times New Roman" w:hAnsi="Times New Roman"/>
          <w:sz w:val="19"/>
          <w:szCs w:val="19"/>
          <w:color w:val="auto"/>
        </w:rPr>
      </w:pPr>
    </w:p>
    <w:p>
      <w:pPr>
        <w:jc w:val="both"/>
        <w:ind w:firstLine="1880"/>
        <w:spacing w:after="0" w:line="267" w:lineRule="auto"/>
        <w:tabs>
          <w:tab w:leader="none" w:pos="2166" w:val="left"/>
        </w:tabs>
        <w:numPr>
          <w:ilvl w:val="1"/>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be commenced against any Loan Party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w:t>
      </w:r>
    </w:p>
    <w:p>
      <w:pPr>
        <w:spacing w:after="0" w:line="195" w:lineRule="exact"/>
        <w:rPr>
          <w:rFonts w:ascii="Times New Roman" w:cs="Times New Roman" w:eastAsia="Times New Roman" w:hAnsi="Times New Roman"/>
          <w:sz w:val="19"/>
          <w:szCs w:val="19"/>
          <w:color w:val="auto"/>
        </w:rPr>
      </w:pPr>
    </w:p>
    <w:p>
      <w:pPr>
        <w:ind w:left="2220" w:hanging="340"/>
        <w:spacing w:after="0"/>
        <w:tabs>
          <w:tab w:leader="none" w:pos="2220" w:val="left"/>
        </w:tabs>
        <w:numPr>
          <w:ilvl w:val="1"/>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court order enjoins, restrains or prevents a Loan Party from conducting all or any material part of its business; or</w:t>
      </w:r>
    </w:p>
    <w:p>
      <w:pPr>
        <w:spacing w:after="0" w:line="224" w:lineRule="exact"/>
        <w:rPr>
          <w:rFonts w:ascii="Times New Roman" w:cs="Times New Roman" w:eastAsia="Times New Roman" w:hAnsi="Times New Roman"/>
          <w:sz w:val="19"/>
          <w:szCs w:val="19"/>
          <w:color w:val="auto"/>
        </w:rPr>
      </w:pPr>
    </w:p>
    <w:p>
      <w:pPr>
        <w:ind w:firstLine="1254"/>
        <w:spacing w:after="0" w:line="249" w:lineRule="auto"/>
        <w:tabs>
          <w:tab w:leader="none" w:pos="1873"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guarantee contained in Section 2 of the Guarantee and Collateral Agreement shall cease, for any reason, to be in full force and effect or any Loan Party shall so assert; or</w:t>
      </w:r>
    </w:p>
    <w:p>
      <w:pPr>
        <w:spacing w:after="0" w:line="145"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of Control shall occur; or</w:t>
      </w:r>
    </w:p>
    <w:p>
      <w:pPr>
        <w:spacing w:after="0" w:line="172"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185"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4"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of the Governmental Approvals shall have been (i) revoked, rescinded, suspended, modified in an adverse manner or not renewed in the ordinary course for a full term or (ii) subject to any decision by a Governmental Authority that designates a hearing with respect to any applications for renewal of any of the Governmental Approvals or that could result in the Governmental Authority taking any of the actions described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and such decision or such revocation, rescission, suspension, modification or nonrenewal has, or could reasonably be expected to have, a Material Adverse Effect; or</w:t>
      </w:r>
    </w:p>
    <w:p>
      <w:pPr>
        <w:spacing w:after="0" w:line="144"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3"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Loan Document not otherwise referenced in </w:t>
      </w:r>
      <w:r>
        <w:rPr>
          <w:rFonts w:ascii="Times New Roman" w:cs="Times New Roman" w:eastAsia="Times New Roman" w:hAnsi="Times New Roman"/>
          <w:sz w:val="19"/>
          <w:szCs w:val="19"/>
          <w:u w:val="single" w:color="auto"/>
          <w:color w:val="auto"/>
        </w:rPr>
        <w:t>Section 8.1(i)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at any time after its execution and delivery and for any reason other than as expressly permitted hereunder or thereunder or the Discharge of Obligations, ceases to be in full force and effect; or any Loan Party or any other Person contests in any manner the validity or enforceability of any Loan Document; or any Loan Party denies that it has any or any further liability or obligation under any Loan Document to which it is a party, or purports to revoke, terminate or rescind any such Loan Document; or</w:t>
      </w:r>
    </w:p>
    <w:p>
      <w:pPr>
        <w:spacing w:after="0" w:line="144"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 or</w:t>
      </w:r>
    </w:p>
    <w:p>
      <w:pPr>
        <w:spacing w:after="0" w:line="185"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PC Entity shall fail to deposit cash, checks, drafts and other items, including cash and Cash Equivalents, received or held by or on behalf of such PC Entity (other than amounts not exceeding $100,000 at any one time) into a Deposit Account of a Loan Party subject to a Control Agreement or a Deposit Account of such PC Entity subject to a sweep agreement in favor of a Loan Party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107</w:t>
      </w:r>
    </w:p>
    <w:p>
      <w:pPr>
        <w:sectPr>
          <w:pgSz w:w="11900" w:h="16838" w:orient="portrait"/>
          <w:cols w:equalWidth="0" w:num="1">
            <w:col w:w="11240"/>
          </w:cols>
          <w:pgMar w:left="320" w:top="1354" w:right="339" w:bottom="1440" w:gutter="0" w:footer="0" w:header="0"/>
        </w:sectPr>
      </w:pPr>
    </w:p>
    <w:bookmarkStart w:id="239" w:name="page240"/>
    <w:bookmarkEnd w:id="239"/>
    <w:p>
      <w:pPr>
        <w:spacing w:after="0" w:line="249" w:lineRule="auto"/>
        <w:rPr>
          <w:sz w:val="20"/>
          <w:szCs w:val="20"/>
          <w:color w:val="auto"/>
        </w:rPr>
      </w:pPr>
      <w:r>
        <w:rPr>
          <w:rFonts w:ascii="Times New Roman" w:cs="Times New Roman" w:eastAsia="Times New Roman" w:hAnsi="Times New Roman"/>
          <w:sz w:val="19"/>
          <w:szCs w:val="19"/>
          <w:color w:val="auto"/>
        </w:rPr>
        <w:t>in breach of the PC Documents, if such breach remains uncured for more than five Business Days (or such later date as agreed by the Administrative Agent in its sole discretion) following any Loan Party becoming aware of such breach.</w:t>
      </w:r>
    </w:p>
    <w:p>
      <w:pPr>
        <w:spacing w:after="0" w:line="131" w:lineRule="exact"/>
        <w:rPr>
          <w:sz w:val="20"/>
          <w:szCs w:val="20"/>
          <w:color w:val="auto"/>
        </w:rPr>
      </w:pPr>
    </w:p>
    <w:p>
      <w:pPr>
        <w:ind w:firstLine="625"/>
        <w:spacing w:after="0" w:line="251" w:lineRule="auto"/>
        <w:rPr>
          <w:sz w:val="20"/>
          <w:szCs w:val="20"/>
          <w:color w:val="auto"/>
        </w:rPr>
      </w:pPr>
      <w:r>
        <w:rPr>
          <w:rFonts w:ascii="Times New Roman" w:cs="Times New Roman" w:eastAsia="Times New Roman" w:hAnsi="Times New Roman"/>
          <w:sz w:val="19"/>
          <w:szCs w:val="19"/>
          <w:b w:val="1"/>
          <w:bCs w:val="1"/>
          <w:color w:val="auto"/>
        </w:rPr>
        <w:t>8.2 Remedies Upon Event of Default</w:t>
      </w:r>
      <w:r>
        <w:rPr>
          <w:rFonts w:ascii="Times New Roman" w:cs="Times New Roman" w:eastAsia="Times New Roman" w:hAnsi="Times New Roman"/>
          <w:sz w:val="19"/>
          <w:szCs w:val="19"/>
          <w:color w:val="auto"/>
        </w:rPr>
        <w:t>. If any Event of Default occurs and is continuing, the Administrative Agent shall, 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request of, or may, with the consent of, the Required Lenders, take any or all of the following actions:</w:t>
      </w:r>
    </w:p>
    <w:p>
      <w:pPr>
        <w:spacing w:after="0" w:line="144" w:lineRule="exact"/>
        <w:rPr>
          <w:sz w:val="20"/>
          <w:szCs w:val="20"/>
          <w:color w:val="auto"/>
        </w:rPr>
      </w:pPr>
    </w:p>
    <w:p>
      <w:pPr>
        <w:jc w:val="both"/>
        <w:ind w:firstLine="1254"/>
        <w:spacing w:after="0" w:line="226" w:lineRule="auto"/>
        <w:tabs>
          <w:tab w:leader="none" w:pos="1866"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such event is an Event of Default specified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paragraph (f)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with respect to the Borrower, the Commitments shall immediately terminate automatically and the Loans (with accrued interest thereon) and all other amounts owing under this Agreement and the other Loan Documents (including, for the avoidance of doubt, the Fund Guarantee) shall automatically immediately become due and payable, and</w:t>
      </w:r>
    </w:p>
    <w:p>
      <w:pPr>
        <w:spacing w:after="0" w:line="140" w:lineRule="exact"/>
        <w:rPr>
          <w:rFonts w:ascii="Times New Roman" w:cs="Times New Roman" w:eastAsia="Times New Roman" w:hAnsi="Times New Roman"/>
          <w:sz w:val="19"/>
          <w:szCs w:val="19"/>
          <w:color w:val="auto"/>
        </w:rPr>
      </w:pPr>
    </w:p>
    <w:p>
      <w:pPr>
        <w:jc w:val="both"/>
        <w:ind w:firstLine="1254"/>
        <w:spacing w:after="0" w:line="214" w:lineRule="auto"/>
        <w:tabs>
          <w:tab w:leader="none" w:pos="1863"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event is any other Event of Default, any of the following actions may be taken: (i) with the consent of the Required Lenders, the Administrative Agent may, or upon the request of the Required Lenders, the Administrative Agent shall, by notice to the Borrower declare the Revolving Commitments, the Term Commitments, the Swingline Commitments and the L/C Commitments to be terminated forthwith, whereupon the Revolving Commitments, the Term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(including, for the avoidance of doubt, the Fund Guarantee) to be due and payable forthwith, whereupon the same shall immediately become due and payable; (iii) any Cash Management Bank may terminate any Cash Management Agreement then outstanding and declare all Obligations then owing by the Group Members under any such Cash Management Agreements then outstanding to be due and payable forthwith, whereupon the same shall immediately become due and payable; and (iv) the Administrative Agent may exercise on behalf of itself, any Cash Management Bank, the Lenders and the Issuing Lender all rights and remedies available to it, any such Cash Management Bank, the Lenders and the Issuing Lender under the Loan Documents.</w:t>
      </w:r>
    </w:p>
    <w:p>
      <w:pPr>
        <w:spacing w:after="0" w:line="176" w:lineRule="exact"/>
        <w:rPr>
          <w:sz w:val="20"/>
          <w:szCs w:val="20"/>
          <w:color w:val="auto"/>
        </w:rPr>
      </w:pPr>
    </w:p>
    <w:p>
      <w:pPr>
        <w:jc w:val="both"/>
        <w:ind w:firstLine="1250"/>
        <w:spacing w:after="0" w:line="262" w:lineRule="auto"/>
        <w:rPr>
          <w:sz w:val="20"/>
          <w:szCs w:val="20"/>
          <w:color w:val="auto"/>
        </w:rPr>
      </w:pPr>
      <w:r>
        <w:rPr>
          <w:rFonts w:ascii="Times New Roman" w:cs="Times New Roman" w:eastAsia="Times New Roman" w:hAnsi="Times New Roman"/>
          <w:sz w:val="19"/>
          <w:szCs w:val="19"/>
          <w:color w:val="auto"/>
        </w:rPr>
        <w:t xml:space="preserve">With respect to all Letters of Credit with respect to which presentment for honor shall not have occurred at the time of an acceleration pursuant to this paragraph, the Borrower shall Cash Collateralize an amount equal to 103% of the aggregate then undrawn and unexpired amount of such Letters of Credit. Amounts so Cash Collateralized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in accordance with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ind w:firstLine="1250"/>
        <w:spacing w:after="0" w:line="258" w:lineRule="auto"/>
        <w:rPr>
          <w:sz w:val="20"/>
          <w:szCs w:val="20"/>
          <w:color w:val="auto"/>
        </w:rPr>
      </w:pPr>
      <w:r>
        <w:rPr>
          <w:rFonts w:ascii="Times New Roman" w:cs="Times New Roman" w:eastAsia="Times New Roman" w:hAnsi="Times New Roman"/>
          <w:sz w:val="19"/>
          <w:szCs w:val="19"/>
          <w:color w:val="auto"/>
        </w:rPr>
        <w:t xml:space="preserve">In addition, (x) the Borrower shall also cash collateralize the full amount of any Swingline Loans then outstanding, and (y) to the extent elected by any applicable Cash Management Bank, the Borrower shall also cash collateralize the amount of any Obligations in respect of Cash Management Services then outstanding, which cash collateralized amounts shall be applied by the Administrative 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firstLine="1250"/>
        <w:spacing w:after="0" w:line="259" w:lineRule="auto"/>
        <w:rPr>
          <w:sz w:val="20"/>
          <w:szCs w:val="20"/>
          <w:color w:val="auto"/>
        </w:rPr>
      </w:pPr>
      <w:r>
        <w:rPr>
          <w:rFonts w:ascii="Times New Roman" w:cs="Times New Roman" w:eastAsia="Times New Roman" w:hAnsi="Times New Roman"/>
          <w:sz w:val="19"/>
          <w:szCs w:val="19"/>
          <w:color w:val="auto"/>
        </w:rPr>
        <w:t>After all such Letters of Credit and Cash Management Agreements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Cash Management Services) shall have been paid in full, the balance, if any, of the funds having been so cash collateralized shall be returned to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108</w:t>
      </w:r>
    </w:p>
    <w:p>
      <w:pPr>
        <w:sectPr>
          <w:pgSz w:w="11900" w:h="16838" w:orient="portrait"/>
          <w:cols w:equalWidth="0" w:num="1">
            <w:col w:w="11240"/>
          </w:cols>
          <w:pgMar w:left="320" w:top="1354" w:right="339" w:bottom="1440" w:gutter="0" w:footer="0" w:header="0"/>
        </w:sectPr>
      </w:pPr>
    </w:p>
    <w:bookmarkStart w:id="240" w:name="page241"/>
    <w:bookmarkEnd w:id="240"/>
    <w:p>
      <w:pPr>
        <w:jc w:val="both"/>
        <w:spacing w:after="0" w:line="292" w:lineRule="auto"/>
        <w:rPr>
          <w:sz w:val="20"/>
          <w:szCs w:val="20"/>
          <w:color w:val="auto"/>
        </w:rPr>
      </w:pPr>
      <w:r>
        <w:rPr>
          <w:rFonts w:ascii="Times New Roman" w:cs="Times New Roman" w:eastAsia="Times New Roman" w:hAnsi="Times New Roman"/>
          <w:sz w:val="19"/>
          <w:szCs w:val="19"/>
          <w:color w:val="auto"/>
        </w:rPr>
        <w:t>the Borrower (or such other Person as may be lawfully entitled thereto). Except as expressly provided above in this Section, presentment, demand, protest and all other notices of any kind are hereby expressly waived by the Borrower.</w:t>
      </w:r>
    </w:p>
    <w:p>
      <w:pPr>
        <w:spacing w:after="0" w:line="118" w:lineRule="exact"/>
        <w:rPr>
          <w:sz w:val="20"/>
          <w:szCs w:val="20"/>
          <w:color w:val="auto"/>
        </w:rPr>
      </w:pPr>
    </w:p>
    <w:p>
      <w:pPr>
        <w:jc w:val="both"/>
        <w:ind w:firstLine="625"/>
        <w:spacing w:after="0" w:line="251" w:lineRule="auto"/>
        <w:rPr>
          <w:sz w:val="20"/>
          <w:szCs w:val="20"/>
          <w:color w:val="auto"/>
        </w:rPr>
      </w:pPr>
      <w:r>
        <w:rPr>
          <w:rFonts w:ascii="Times New Roman" w:cs="Times New Roman" w:eastAsia="Times New Roman" w:hAnsi="Times New Roman"/>
          <w:sz w:val="19"/>
          <w:szCs w:val="19"/>
          <w:b w:val="1"/>
          <w:bCs w:val="1"/>
          <w:color w:val="auto"/>
        </w:rPr>
        <w:t>8.3 Application of Funds</w:t>
      </w:r>
      <w:r>
        <w:rPr>
          <w:rFonts w:ascii="Times New Roman" w:cs="Times New Roman" w:eastAsia="Times New Roman" w:hAnsi="Times New Roman"/>
          <w:sz w:val="19"/>
          <w:szCs w:val="19"/>
          <w:color w:val="auto"/>
        </w:rPr>
        <w:t>. After the exercise of remedies provided for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any amounts received by the Administrative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Agent on account of the Obligations shall be applied by the Administrative Agent in the following order:</w:t>
      </w:r>
    </w:p>
    <w:p>
      <w:pPr>
        <w:spacing w:after="0" w:line="157" w:lineRule="exact"/>
        <w:rPr>
          <w:sz w:val="20"/>
          <w:szCs w:val="20"/>
          <w:color w:val="auto"/>
        </w:rPr>
      </w:pPr>
    </w:p>
    <w:p>
      <w:pPr>
        <w:jc w:val="both"/>
        <w:ind w:firstLine="1250"/>
        <w:spacing w:after="0" w:line="267" w:lineRule="auto"/>
        <w:rPr>
          <w:sz w:val="20"/>
          <w:szCs w:val="20"/>
          <w:color w:val="auto"/>
        </w:rPr>
      </w:pP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the payment of that portion of the Obligations constituting fees, indemnities, expenses and other amounts (other than principal and interest but including any Collateral-Related Expenses, fees, charges and disbursements of counsel to the Administrative Agent and amounts payable under </w:t>
      </w:r>
      <w:r>
        <w:rPr>
          <w:rFonts w:ascii="Times New Roman" w:cs="Times New Roman" w:eastAsia="Times New Roman" w:hAnsi="Times New Roman"/>
          <w:sz w:val="19"/>
          <w:szCs w:val="19"/>
          <w:u w:val="single" w:color="auto"/>
          <w:color w:val="auto"/>
        </w:rPr>
        <w:t>Sections 2.19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2.21</w:t>
      </w:r>
      <w:r>
        <w:rPr>
          <w:rFonts w:ascii="Times New Roman" w:cs="Times New Roman" w:eastAsia="Times New Roman" w:hAnsi="Times New Roman"/>
          <w:sz w:val="19"/>
          <w:szCs w:val="19"/>
          <w:color w:val="auto"/>
        </w:rPr>
        <w:t xml:space="preserve"> (including interest thereon)) payable to the Administrative Agent, in its capacity as such;</w:t>
      </w:r>
    </w:p>
    <w:p>
      <w:pPr>
        <w:spacing w:after="0" w:line="156" w:lineRule="exact"/>
        <w:rPr>
          <w:sz w:val="20"/>
          <w:szCs w:val="20"/>
          <w:color w:val="auto"/>
        </w:rPr>
      </w:pPr>
    </w:p>
    <w:p>
      <w:pPr>
        <w:jc w:val="both"/>
        <w:ind w:firstLine="1250"/>
        <w:spacing w:after="0" w:line="258" w:lineRule="auto"/>
        <w:rPr>
          <w:sz w:val="20"/>
          <w:szCs w:val="20"/>
          <w:color w:val="auto"/>
        </w:rPr>
      </w:pP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payment of that portion of the Obligations constituting fees, indemnities and other amounts (other than principal, interest, and Letter of Credit Fees) payable to the Lenders, the Issuing Lender ((including any Letter of Credit Fronting Fees and Issuing Lender Fees), and any Qualified Counterparty and any applicable Cash Management Bank (in its respective capacity as a provider of Cash Management Services), and the reasonable and documented out-of-pocket fees, charges and disbursements of counsel to the respective Lenders and the Issuing Lender, and amounts payable under </w:t>
      </w:r>
      <w:r>
        <w:rPr>
          <w:rFonts w:ascii="Times New Roman" w:cs="Times New Roman" w:eastAsia="Times New Roman" w:hAnsi="Times New Roman"/>
          <w:sz w:val="19"/>
          <w:szCs w:val="19"/>
          <w:u w:val="single" w:color="auto"/>
          <w:color w:val="auto"/>
        </w:rPr>
        <w:t>Sections 2.19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2.21</w:t>
      </w:r>
      <w:r>
        <w:rPr>
          <w:rFonts w:ascii="Times New Roman" w:cs="Times New Roman" w:eastAsia="Times New Roman" w:hAnsi="Times New Roman"/>
          <w:sz w:val="19"/>
          <w:szCs w:val="19"/>
          <w:color w:val="auto"/>
        </w:rPr>
        <w:t xml:space="preserve">), in each case, ratably among them in proportion to the respective amounts described in this clause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payable to them;</w:t>
      </w:r>
    </w:p>
    <w:p>
      <w:pPr>
        <w:spacing w:after="0" w:line="180" w:lineRule="exact"/>
        <w:rPr>
          <w:sz w:val="20"/>
          <w:szCs w:val="20"/>
          <w:color w:val="auto"/>
        </w:rPr>
      </w:pPr>
    </w:p>
    <w:p>
      <w:pPr>
        <w:jc w:val="both"/>
        <w:ind w:firstLine="1250"/>
        <w:spacing w:after="0" w:line="267" w:lineRule="auto"/>
        <w:rPr>
          <w:sz w:val="20"/>
          <w:szCs w:val="20"/>
          <w:color w:val="auto"/>
        </w:rPr>
      </w:pP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to the extent that the Swingline Lender has advanced any Swingline Loans that have not been refunded by each Lender’s Swingline Participation Amount, payment to the Swingline Lender of that portion of the Obligations constituting the unpaid principal of and interest upon the Swingline Loans advanced by the Swingline Lender;</w:t>
      </w:r>
    </w:p>
    <w:p>
      <w:pPr>
        <w:spacing w:after="0" w:line="169" w:lineRule="exact"/>
        <w:rPr>
          <w:sz w:val="20"/>
          <w:szCs w:val="20"/>
          <w:color w:val="auto"/>
        </w:rPr>
      </w:pPr>
    </w:p>
    <w:p>
      <w:pPr>
        <w:jc w:val="both"/>
        <w:ind w:firstLine="1250"/>
        <w:spacing w:after="0" w:line="258" w:lineRule="auto"/>
        <w:rPr>
          <w:sz w:val="20"/>
          <w:szCs w:val="20"/>
          <w:color w:val="auto"/>
        </w:rPr>
      </w:pP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to the payment of that portion of the Obligations constituting accrued and unpaid Letter of Credit Fees and interest in respect of any Cash Management Services and on the Loans and L/C Disbursements which have not yet been converted into Revolving Loans, and to payment of premiums and other fees (including any interest thereon) under any Specified Swap Agreements and any Cash Management Agreements, in each case, ratably among the Lenders, any applicable Cash Management Bank (in its respective capacity as a provider of Cash Management Services), and any Qualified Counterparties, in each case, ratably among them in proportion to the respective amounts described in this clause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payable to them;</w:t>
      </w:r>
    </w:p>
    <w:p>
      <w:pPr>
        <w:spacing w:after="0" w:line="167" w:lineRule="exact"/>
        <w:rPr>
          <w:sz w:val="20"/>
          <w:szCs w:val="20"/>
          <w:color w:val="auto"/>
        </w:rPr>
      </w:pPr>
    </w:p>
    <w:p>
      <w:pPr>
        <w:jc w:val="both"/>
        <w:ind w:firstLine="1250"/>
        <w:spacing w:after="0" w:line="262" w:lineRule="auto"/>
        <w:rPr>
          <w:sz w:val="20"/>
          <w:szCs w:val="20"/>
          <w:color w:val="auto"/>
        </w:rPr>
      </w:pP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to payment of that portion of the Obligations constituting unpaid principal of the Loans, L/C Disbursements which have not yet been converted into Revolving Loans, and settlement amounts, payment amounts and other termination payment obligations under any Specified Swap Agreements and Cash Management Agreements, in each case, ratably among the Lenders, any applicable Cash Management Bank (in its respective capacity as a provider of Cash Management Services), and any applicable Qualified Counterparties, in each case, ratably among them in proportion to the respective amounts described in this clause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and payable to them;</w:t>
      </w:r>
    </w:p>
    <w:p>
      <w:pPr>
        <w:spacing w:after="0" w:line="162" w:lineRule="exact"/>
        <w:rPr>
          <w:sz w:val="20"/>
          <w:szCs w:val="20"/>
          <w:color w:val="auto"/>
        </w:rPr>
      </w:pPr>
    </w:p>
    <w:p>
      <w:pPr>
        <w:jc w:val="both"/>
        <w:ind w:firstLine="1250"/>
        <w:spacing w:after="0" w:line="292" w:lineRule="auto"/>
        <w:rPr>
          <w:sz w:val="20"/>
          <w:szCs w:val="20"/>
          <w:color w:val="auto"/>
        </w:rPr>
      </w:pP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xml:space="preserve">, to the Administrative Agent for the account of the Issuing Lender, to Cash Collateralize that portion of the L/C Exposure comprised of the aggregate undrawn amount of Letters of Credit pursuant to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109</w:t>
      </w:r>
    </w:p>
    <w:p>
      <w:pPr>
        <w:sectPr>
          <w:pgSz w:w="11900" w:h="16838" w:orient="portrait"/>
          <w:cols w:equalWidth="0" w:num="1">
            <w:col w:w="11240"/>
          </w:cols>
          <w:pgMar w:left="320" w:top="1367" w:right="339" w:bottom="1440" w:gutter="0" w:footer="0" w:header="0"/>
        </w:sectPr>
      </w:pPr>
    </w:p>
    <w:bookmarkStart w:id="241" w:name="page242"/>
    <w:bookmarkEnd w:id="241"/>
    <w:p>
      <w:pPr>
        <w:jc w:val="both"/>
        <w:ind w:firstLine="1250"/>
        <w:spacing w:after="0" w:line="267" w:lineRule="auto"/>
        <w:rPr>
          <w:sz w:val="20"/>
          <w:szCs w:val="20"/>
          <w:color w:val="auto"/>
        </w:rPr>
      </w:pPr>
      <w:r>
        <w:rPr>
          <w:rFonts w:ascii="Times New Roman" w:cs="Times New Roman" w:eastAsia="Times New Roman" w:hAnsi="Times New Roman"/>
          <w:sz w:val="19"/>
          <w:szCs w:val="19"/>
          <w:u w:val="single" w:color="auto"/>
          <w:color w:val="auto"/>
        </w:rPr>
        <w:t>Seventh,</w:t>
      </w:r>
      <w:r>
        <w:rPr>
          <w:rFonts w:ascii="Times New Roman" w:cs="Times New Roman" w:eastAsia="Times New Roman" w:hAnsi="Times New Roman"/>
          <w:sz w:val="19"/>
          <w:szCs w:val="19"/>
          <w:color w:val="auto"/>
        </w:rPr>
        <w:t xml:space="preserve"> for the account of any applicable Qualified Counterparty and any applicable Cash Management Bank, to cash collateralize Obligations arising under any then outstanding Specified Swap Agreements and Cash Management Services, in each case, ratably among them in proportion to the respective amounts described in this clause </w:t>
      </w:r>
      <w:r>
        <w:rPr>
          <w:rFonts w:ascii="Times New Roman" w:cs="Times New Roman" w:eastAsia="Times New Roman" w:hAnsi="Times New Roman"/>
          <w:sz w:val="19"/>
          <w:szCs w:val="19"/>
          <w:u w:val="single" w:color="auto"/>
          <w:color w:val="auto"/>
        </w:rPr>
        <w:t>Seventh</w:t>
      </w:r>
      <w:r>
        <w:rPr>
          <w:rFonts w:ascii="Times New Roman" w:cs="Times New Roman" w:eastAsia="Times New Roman" w:hAnsi="Times New Roman"/>
          <w:sz w:val="19"/>
          <w:szCs w:val="19"/>
          <w:color w:val="auto"/>
        </w:rPr>
        <w:t xml:space="preserve"> payable to them;</w:t>
      </w:r>
    </w:p>
    <w:p>
      <w:pPr>
        <w:spacing w:after="0" w:line="169" w:lineRule="exact"/>
        <w:rPr>
          <w:sz w:val="20"/>
          <w:szCs w:val="20"/>
          <w:color w:val="auto"/>
        </w:rPr>
      </w:pPr>
    </w:p>
    <w:p>
      <w:pPr>
        <w:jc w:val="both"/>
        <w:ind w:firstLine="1250"/>
        <w:spacing w:after="0" w:line="267" w:lineRule="auto"/>
        <w:rPr>
          <w:sz w:val="20"/>
          <w:szCs w:val="20"/>
          <w:color w:val="auto"/>
        </w:rPr>
      </w:pPr>
      <w:r>
        <w:rPr>
          <w:rFonts w:ascii="Times New Roman" w:cs="Times New Roman" w:eastAsia="Times New Roman" w:hAnsi="Times New Roman"/>
          <w:sz w:val="19"/>
          <w:szCs w:val="19"/>
          <w:u w:val="single" w:color="auto"/>
          <w:color w:val="auto"/>
        </w:rPr>
        <w:t>Eighth</w:t>
      </w:r>
      <w:r>
        <w:rPr>
          <w:rFonts w:ascii="Times New Roman" w:cs="Times New Roman" w:eastAsia="Times New Roman" w:hAnsi="Times New Roman"/>
          <w:sz w:val="19"/>
          <w:szCs w:val="19"/>
          <w:color w:val="auto"/>
        </w:rPr>
        <w:t xml:space="preserve">,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w:t>
      </w:r>
      <w:r>
        <w:rPr>
          <w:rFonts w:ascii="Times New Roman" w:cs="Times New Roman" w:eastAsia="Times New Roman" w:hAnsi="Times New Roman"/>
          <w:sz w:val="19"/>
          <w:szCs w:val="19"/>
          <w:u w:val="single" w:color="auto"/>
          <w:color w:val="auto"/>
        </w:rPr>
        <w:t>Eighth</w:t>
      </w:r>
      <w:r>
        <w:rPr>
          <w:rFonts w:ascii="Times New Roman" w:cs="Times New Roman" w:eastAsia="Times New Roman" w:hAnsi="Times New Roman"/>
          <w:sz w:val="19"/>
          <w:szCs w:val="19"/>
          <w:color w:val="auto"/>
        </w:rPr>
        <w:t xml:space="preserve"> and payable to them;</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u w:val="single" w:color="auto"/>
          <w:color w:val="auto"/>
        </w:rPr>
        <w:t>Last</w:t>
      </w:r>
      <w:r>
        <w:rPr>
          <w:rFonts w:ascii="Times New Roman" w:cs="Times New Roman" w:eastAsia="Times New Roman" w:hAnsi="Times New Roman"/>
          <w:sz w:val="19"/>
          <w:szCs w:val="19"/>
          <w:color w:val="auto"/>
        </w:rPr>
        <w:t>, the balance, if any, after the Discharge of Obligations, to the Borrower or as otherwise required by law.</w:t>
      </w:r>
    </w:p>
    <w:p>
      <w:pPr>
        <w:spacing w:after="0" w:line="2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Sections 2.24(a)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3.10</w:t>
      </w:r>
      <w:r>
        <w:rPr>
          <w:rFonts w:ascii="Times New Roman" w:cs="Times New Roman" w:eastAsia="Times New Roman" w:hAnsi="Times New Roman"/>
          <w:sz w:val="19"/>
          <w:szCs w:val="19"/>
          <w:color w:val="auto"/>
        </w:rPr>
        <w:t xml:space="preserve">, amounts used to Cash Collateralize the aggregate undrawn amount of Letters of Credit pursuant to clause </w:t>
      </w: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xml:space="preserve"> above shall be applied to satisfy drawings under such Letters of Credit as they occur. If any amount remains on deposit as Cash Collateral for Letters of Credit after all Letters of Credit have either been fully drawn or expired, such remaining amount shall be applied to the other Obligations, if any, in the order set forth above.</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Notwithstanding the foregoing, no Excluded Swap Obligation of any Guarantor shall be paid with amounts received from such Guarantor or from any Collateral in which such Guarantor has granted to the Administrative Agent a Lien (for the ratable benefit of the Secured Parties) pursuant to the Guarantee and Collateral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each party to this Agreement hereby acknowledges and agrees that appropriate adjustments shall be made by the Administrative Agent (which adjustments shall be controlling in the absence of manifest error) with respect to payments received from other Loan Parties to preserve the allocation of such payments to the satisfaction of the Obligations in the order otherwise contemplated in this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Section 9</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9"/>
          <w:szCs w:val="19"/>
          <w:b w:val="1"/>
          <w:bCs w:val="1"/>
          <w:color w:val="auto"/>
        </w:rPr>
        <w:t>THE ADMINISTRATIVE AGENT</w:t>
      </w:r>
    </w:p>
    <w:p>
      <w:pPr>
        <w:spacing w:after="0" w:line="14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9.1</w:t>
      </w:r>
      <w:r>
        <w:rPr>
          <w:sz w:val="20"/>
          <w:szCs w:val="20"/>
          <w:color w:val="auto"/>
        </w:rPr>
        <w:tab/>
      </w:r>
      <w:r>
        <w:rPr>
          <w:rFonts w:ascii="Times New Roman" w:cs="Times New Roman" w:eastAsia="Times New Roman" w:hAnsi="Times New Roman"/>
          <w:sz w:val="19"/>
          <w:szCs w:val="19"/>
          <w:b w:val="1"/>
          <w:bCs w:val="1"/>
          <w:color w:val="auto"/>
        </w:rPr>
        <w:t>Appointment and Authority.</w:t>
      </w:r>
    </w:p>
    <w:p>
      <w:pPr>
        <w:spacing w:after="0" w:line="187" w:lineRule="exact"/>
        <w:rPr>
          <w:sz w:val="20"/>
          <w:szCs w:val="20"/>
          <w:color w:val="auto"/>
        </w:rPr>
      </w:pPr>
    </w:p>
    <w:p>
      <w:pPr>
        <w:jc w:val="both"/>
        <w:ind w:firstLine="1254"/>
        <w:spacing w:after="0" w:line="229" w:lineRule="auto"/>
        <w:tabs>
          <w:tab w:leader="none" w:pos="1866"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Lenders hereby irrevocably appoints SVB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156"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3" w:val="left"/>
        </w:tabs>
        <w:numPr>
          <w:ilvl w:val="0"/>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are solely for the benefit of the Administrative Agent, the Lenders, the Issuing Lender, and the Swingline Lender,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110</w:t>
      </w:r>
    </w:p>
    <w:p>
      <w:pPr>
        <w:sectPr>
          <w:pgSz w:w="11900" w:h="16838" w:orient="portrait"/>
          <w:cols w:equalWidth="0" w:num="1">
            <w:col w:w="11240"/>
          </w:cols>
          <w:pgMar w:left="320" w:top="1367" w:right="339" w:bottom="1440" w:gutter="0" w:footer="0" w:header="0"/>
        </w:sectPr>
      </w:pPr>
    </w:p>
    <w:bookmarkStart w:id="242" w:name="page243"/>
    <w:bookmarkEnd w:id="242"/>
    <w:p>
      <w:pPr>
        <w:jc w:val="both"/>
        <w:ind w:firstLine="1254"/>
        <w:spacing w:after="0" w:line="213" w:lineRule="auto"/>
        <w:tabs>
          <w:tab w:leader="none" w:pos="1866" w:val="left"/>
        </w:tabs>
        <w:numPr>
          <w:ilvl w:val="0"/>
          <w:numId w:val="2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also act as the collateral agent under the Loan Documents (other than the Fund Guarantee), and each of the Lenders (in their respective capacities as a Lender and, as applicable, Qualified Counterparty and provider of Cash Management Services) hereby irrevocably (i) authorizes the Administrative Agent to enter into all other Loan Documents, as applicable, including the Guarantee and Collateral Agreement and any Subordinated Debt Document,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Times New Roman" w:cs="Times New Roman" w:eastAsia="Times New Roman" w:hAnsi="Times New Roman"/>
          <w:sz w:val="19"/>
          <w:szCs w:val="19"/>
          <w:u w:val="single" w:color="auto"/>
          <w:color w:val="auto"/>
        </w:rPr>
        <w:t>Section 9.2</w:t>
      </w:r>
      <w:r>
        <w:rPr>
          <w:rFonts w:ascii="Times New Roman" w:cs="Times New Roman" w:eastAsia="Times New Roman" w:hAnsi="Times New Roman"/>
          <w:sz w:val="19"/>
          <w:szCs w:val="19"/>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10</w:t>
      </w:r>
      <w:r>
        <w:rPr>
          <w:rFonts w:ascii="Times New Roman" w:cs="Times New Roman" w:eastAsia="Times New Roman" w:hAnsi="Times New Roman"/>
          <w:sz w:val="19"/>
          <w:szCs w:val="19"/>
          <w:color w:val="auto"/>
        </w:rPr>
        <w:t xml:space="preserve"> (including </w:t>
      </w:r>
      <w:r>
        <w:rPr>
          <w:rFonts w:ascii="Times New Roman" w:cs="Times New Roman" w:eastAsia="Times New Roman" w:hAnsi="Times New Roman"/>
          <w:sz w:val="19"/>
          <w:szCs w:val="19"/>
          <w:u w:val="single" w:color="auto"/>
          <w:color w:val="auto"/>
        </w:rPr>
        <w:t>Section 9.7</w:t>
      </w:r>
      <w:r>
        <w:rPr>
          <w:rFonts w:ascii="Times New Roman" w:cs="Times New Roman" w:eastAsia="Times New Roman" w:hAnsi="Times New Roman"/>
          <w:sz w:val="19"/>
          <w:szCs w:val="19"/>
          <w:color w:val="auto"/>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 (other than the Fund Guarantee).</w:t>
      </w:r>
    </w:p>
    <w:p>
      <w:pPr>
        <w:spacing w:after="0" w:line="16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9.2</w:t>
      </w:r>
      <w:r>
        <w:rPr>
          <w:sz w:val="20"/>
          <w:szCs w:val="20"/>
          <w:color w:val="auto"/>
        </w:rPr>
        <w:tab/>
      </w:r>
      <w:r>
        <w:rPr>
          <w:rFonts w:ascii="Times New Roman" w:cs="Times New Roman" w:eastAsia="Times New Roman" w:hAnsi="Times New Roman"/>
          <w:sz w:val="19"/>
          <w:szCs w:val="19"/>
          <w:b w:val="1"/>
          <w:bCs w:val="1"/>
          <w:color w:val="auto"/>
        </w:rPr>
        <w:t>Delegation of Duties</w:t>
      </w:r>
      <w:r>
        <w:rPr>
          <w:rFonts w:ascii="Times New Roman" w:cs="Times New Roman" w:eastAsia="Times New Roman" w:hAnsi="Times New Roman"/>
          <w:sz w:val="19"/>
          <w:szCs w:val="19"/>
          <w:color w:val="auto"/>
        </w:rPr>
        <w:t>. The Administrative Agent may perform any and all of its duties and exercise its rights and powers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hereunder or under any other Loan Document by or through any one or more sub-agents appointed by the Administrative Agent. The Administrative Agent and any such sub-agent may perform any and all of its duties and exercise its rights and powers by or through their</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respective Related Parties. The exculpatory provisions of this Section shall apply to any such sub-agent and to the Related Parties of the Administrative Agent and any such sub-agent, and shall apply to their respective activities in connection with the syndication of the Facilities</w:t>
      </w:r>
    </w:p>
    <w:p>
      <w:pPr>
        <w:spacing w:after="0" w:line="215" w:lineRule="auto"/>
        <w:rPr>
          <w:sz w:val="20"/>
          <w:szCs w:val="20"/>
          <w:color w:val="auto"/>
        </w:rPr>
      </w:pPr>
      <w:r>
        <w:rPr>
          <w:rFonts w:ascii="Times New Roman" w:cs="Times New Roman" w:eastAsia="Times New Roman" w:hAnsi="Times New Roman"/>
          <w:sz w:val="19"/>
          <w:szCs w:val="19"/>
          <w:color w:val="auto"/>
        </w:rPr>
        <w:t>provided for herein as well as activities as the Administrative Agent. The Administrative Agent shall not be responsible for the negligence or</w:t>
      </w:r>
    </w:p>
    <w:p>
      <w:pPr>
        <w:jc w:val="both"/>
        <w:spacing w:after="0" w:line="207" w:lineRule="auto"/>
        <w:rPr>
          <w:sz w:val="20"/>
          <w:szCs w:val="20"/>
          <w:color w:val="auto"/>
        </w:rPr>
      </w:pPr>
      <w:r>
        <w:rPr>
          <w:rFonts w:ascii="Times New Roman" w:cs="Times New Roman" w:eastAsia="Times New Roman" w:hAnsi="Times New Roman"/>
          <w:sz w:val="19"/>
          <w:szCs w:val="19"/>
          <w:color w:val="auto"/>
        </w:rPr>
        <w:t>misconduct of any sub-agents except to the extent that a court of competent jurisdiction determines in a final and nonappealable judgment that the Administrative Agent acted with gross negligence or willful misconduct in the selection of such sub agents. Nothing in this Section shall limit the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ability of any Loan Party to hold any such sub-agent responsible for losses, costs, damages, and expenses incurred by such Loan Party as a result of gross negligence or willful misconduct of such sub-agent to the same extent as the Administrative Agent.</w:t>
      </w:r>
    </w:p>
    <w:p>
      <w:pPr>
        <w:spacing w:after="0" w:line="140" w:lineRule="exact"/>
        <w:rPr>
          <w:sz w:val="20"/>
          <w:szCs w:val="20"/>
          <w:color w:val="auto"/>
        </w:rPr>
      </w:pPr>
    </w:p>
    <w:p>
      <w:pPr>
        <w:jc w:val="both"/>
        <w:ind w:firstLine="625"/>
        <w:spacing w:after="0" w:line="235" w:lineRule="auto"/>
        <w:rPr>
          <w:sz w:val="20"/>
          <w:szCs w:val="20"/>
          <w:color w:val="auto"/>
        </w:rPr>
      </w:pPr>
      <w:r>
        <w:rPr>
          <w:rFonts w:ascii="Times New Roman" w:cs="Times New Roman" w:eastAsia="Times New Roman" w:hAnsi="Times New Roman"/>
          <w:sz w:val="19"/>
          <w:szCs w:val="19"/>
          <w:b w:val="1"/>
          <w:bCs w:val="1"/>
          <w:color w:val="auto"/>
        </w:rPr>
        <w:t>9.3 Exculpatory Provisions</w:t>
      </w:r>
      <w:r>
        <w:rPr>
          <w:rFonts w:ascii="Times New Roman" w:cs="Times New Roman" w:eastAsia="Times New Roman" w:hAnsi="Times New Roman"/>
          <w:sz w:val="19"/>
          <w:szCs w:val="19"/>
          <w:color w:val="auto"/>
        </w:rPr>
        <w:t>. The Administrative Agent shall have no duties or obligations except those expressly set forth herein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 other Loan Documents, and its duties hereunder and thereunder shall be administrative in nature. Without limiting the generality of the foregoing, the Administrative Agent shall not:</w:t>
      </w:r>
    </w:p>
    <w:p>
      <w:pPr>
        <w:spacing w:after="0" w:line="141" w:lineRule="exact"/>
        <w:rPr>
          <w:sz w:val="20"/>
          <w:szCs w:val="20"/>
          <w:color w:val="auto"/>
        </w:rPr>
      </w:pPr>
    </w:p>
    <w:p>
      <w:pPr>
        <w:ind w:left="1880" w:hanging="626"/>
        <w:spacing w:after="0"/>
        <w:tabs>
          <w:tab w:leader="none" w:pos="188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subject to any fiduciary or other implied duties, regardless of whether any Default or any Event of Default has occurred</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is continuing;</w:t>
      </w:r>
    </w:p>
    <w:p>
      <w:pPr>
        <w:spacing w:after="0" w:line="163"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3"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41" w:lineRule="exact"/>
        <w:rPr>
          <w:rFonts w:ascii="Times New Roman" w:cs="Times New Roman" w:eastAsia="Times New Roman" w:hAnsi="Times New Roman"/>
          <w:sz w:val="19"/>
          <w:szCs w:val="19"/>
          <w:color w:val="auto"/>
        </w:rPr>
      </w:pPr>
    </w:p>
    <w:p>
      <w:pPr>
        <w:ind w:firstLine="1254"/>
        <w:spacing w:after="0" w:line="249" w:lineRule="auto"/>
        <w:tabs>
          <w:tab w:leader="none" w:pos="1866"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set forth herein and in the other Loan Documents, have any duty to disclose, and the Administrative Agent shall not be liable for the failure to disclose, any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111</w:t>
      </w:r>
    </w:p>
    <w:p>
      <w:pPr>
        <w:sectPr>
          <w:pgSz w:w="11900" w:h="16838" w:orient="portrait"/>
          <w:cols w:equalWidth="0" w:num="1">
            <w:col w:w="11240"/>
          </w:cols>
          <w:pgMar w:left="320" w:top="1354" w:right="339" w:bottom="1440" w:gutter="0" w:footer="0" w:header="0"/>
        </w:sectPr>
      </w:pPr>
    </w:p>
    <w:bookmarkStart w:id="243" w:name="page244"/>
    <w:bookmarkEnd w:id="243"/>
    <w:p>
      <w:pPr>
        <w:jc w:val="both"/>
        <w:spacing w:after="0" w:line="249" w:lineRule="auto"/>
        <w:rPr>
          <w:sz w:val="20"/>
          <w:szCs w:val="20"/>
          <w:color w:val="auto"/>
        </w:rPr>
      </w:pPr>
      <w:r>
        <w:rPr>
          <w:rFonts w:ascii="Times New Roman" w:cs="Times New Roman" w:eastAsia="Times New Roman" w:hAnsi="Times New Roman"/>
          <w:sz w:val="19"/>
          <w:szCs w:val="19"/>
          <w:color w:val="auto"/>
        </w:rPr>
        <w:t>information relating to Holdings or any of its Affiliates that is communicated to or obtained by any Person serving as the Administrative Agent or any of its Affiliates in any capacity.</w:t>
      </w:r>
    </w:p>
    <w:p>
      <w:pPr>
        <w:spacing w:after="0" w:line="146" w:lineRule="exact"/>
        <w:rPr>
          <w:sz w:val="20"/>
          <w:szCs w:val="20"/>
          <w:color w:val="auto"/>
        </w:rPr>
      </w:pPr>
    </w:p>
    <w:p>
      <w:pPr>
        <w:jc w:val="both"/>
        <w:ind w:firstLine="625"/>
        <w:spacing w:after="0" w:line="264" w:lineRule="auto"/>
        <w:rPr>
          <w:sz w:val="20"/>
          <w:szCs w:val="20"/>
          <w:color w:val="auto"/>
        </w:rPr>
      </w:pPr>
      <w:r>
        <w:rPr>
          <w:rFonts w:ascii="Times New Roman" w:cs="Times New Roman" w:eastAsia="Times New Roman" w:hAnsi="Times New Roman"/>
          <w:sz w:val="19"/>
          <w:szCs w:val="19"/>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9"/>
          <w:szCs w:val="19"/>
          <w:u w:val="single" w:color="auto"/>
          <w:color w:val="auto"/>
        </w:rPr>
        <w:t>Sections 8.2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10.1</w:t>
      </w:r>
      <w:r>
        <w:rPr>
          <w:rFonts w:ascii="Times New Roman" w:cs="Times New Roman" w:eastAsia="Times New Roman" w:hAnsi="Times New Roman"/>
          <w:sz w:val="19"/>
          <w:szCs w:val="19"/>
          <w:color w:val="auto"/>
        </w:rPr>
        <w:t>), or (ii) in the absence of its own gross negligence or willful misconduct as determined by a court of competent jurisdiction by final and nonappealable judgment.</w:t>
      </w:r>
    </w:p>
    <w:p>
      <w:pPr>
        <w:spacing w:after="0" w:line="172" w:lineRule="exact"/>
        <w:rPr>
          <w:sz w:val="20"/>
          <w:szCs w:val="20"/>
          <w:color w:val="auto"/>
        </w:rPr>
      </w:pPr>
    </w:p>
    <w:p>
      <w:pPr>
        <w:jc w:val="both"/>
        <w:ind w:firstLine="625"/>
        <w:spacing w:after="0" w:line="255" w:lineRule="auto"/>
        <w:rPr>
          <w:sz w:val="20"/>
          <w:szCs w:val="20"/>
          <w:color w:val="auto"/>
        </w:rPr>
      </w:pPr>
      <w:r>
        <w:rPr>
          <w:rFonts w:ascii="Times New Roman" w:cs="Times New Roman" w:eastAsia="Times New Roman" w:hAnsi="Times New Roman"/>
          <w:sz w:val="19"/>
          <w:szCs w:val="19"/>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w:t>
      </w:r>
    </w:p>
    <w:p>
      <w:pPr>
        <w:spacing w:after="0" w:line="1" w:lineRule="exact"/>
        <w:rPr>
          <w:sz w:val="20"/>
          <w:szCs w:val="20"/>
          <w:color w:val="auto"/>
        </w:rPr>
      </w:pPr>
    </w:p>
    <w:p>
      <w:pPr>
        <w:ind w:firstLine="4"/>
        <w:spacing w:after="0" w:line="260" w:lineRule="auto"/>
        <w:tabs>
          <w:tab w:leader="none" w:pos="292"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satisfaction of any condition set forth in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or elsewhere herein, other than to confirm receipt of items expressly required to be delivered to the Administrative Agent.</w:t>
      </w:r>
    </w:p>
    <w:p>
      <w:pPr>
        <w:spacing w:after="0" w:line="16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9.4</w:t>
      </w:r>
      <w:r>
        <w:rPr>
          <w:sz w:val="20"/>
          <w:szCs w:val="20"/>
          <w:color w:val="auto"/>
        </w:rPr>
        <w:tab/>
      </w:r>
      <w:r>
        <w:rPr>
          <w:rFonts w:ascii="Times New Roman" w:cs="Times New Roman" w:eastAsia="Times New Roman" w:hAnsi="Times New Roman"/>
          <w:sz w:val="19"/>
          <w:szCs w:val="19"/>
          <w:b w:val="1"/>
          <w:bCs w:val="1"/>
          <w:color w:val="auto"/>
        </w:rPr>
        <w:t>Reliance by Administrative Agent</w:t>
      </w:r>
      <w:r>
        <w:rPr>
          <w:rFonts w:ascii="Times New Roman" w:cs="Times New Roman" w:eastAsia="Times New Roman" w:hAnsi="Times New Roman"/>
          <w:sz w:val="19"/>
          <w:szCs w:val="19"/>
          <w:color w:val="auto"/>
        </w:rPr>
        <w:t>. The Administrative Agent shall be entitled to rely upon, and shall not incur any liability for</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w:t>
      </w:r>
    </w:p>
    <w:p>
      <w:pPr>
        <w:spacing w:after="0" w:line="215" w:lineRule="auto"/>
        <w:rPr>
          <w:sz w:val="20"/>
          <w:szCs w:val="20"/>
          <w:color w:val="auto"/>
        </w:rPr>
      </w:pPr>
      <w:r>
        <w:rPr>
          <w:rFonts w:ascii="Times New Roman" w:cs="Times New Roman" w:eastAsia="Times New Roman" w:hAnsi="Times New Roman"/>
          <w:sz w:val="19"/>
          <w:szCs w:val="19"/>
          <w:color w:val="auto"/>
        </w:rPr>
        <w:t>of a Loan, or the issuance, extension, renewal or increase of a Letter of Credit, that by its terms must be fulfilled to the satisfaction of a Lender, the</w:t>
      </w:r>
    </w:p>
    <w:p>
      <w:pPr>
        <w:spacing w:after="0" w:line="207" w:lineRule="auto"/>
        <w:rPr>
          <w:sz w:val="20"/>
          <w:szCs w:val="20"/>
          <w:color w:val="auto"/>
        </w:rPr>
      </w:pPr>
      <w:r>
        <w:rPr>
          <w:rFonts w:ascii="Times New Roman" w:cs="Times New Roman" w:eastAsia="Times New Roman" w:hAnsi="Times New Roman"/>
          <w:sz w:val="19"/>
          <w:szCs w:val="19"/>
          <w:color w:val="auto"/>
        </w:rPr>
        <w:t>Administrative Agent may presume that such condition is satisfactory to such Lender unless the Administrative Agent shall have received notice to the contrary from such Lender prior to the making of such Loan or the issuance of such Letter of Credit. The Administrative Agent may consult</w:t>
      </w:r>
    </w:p>
    <w:p>
      <w:pPr>
        <w:spacing w:after="0" w:line="215" w:lineRule="auto"/>
        <w:rPr>
          <w:sz w:val="20"/>
          <w:szCs w:val="20"/>
          <w:color w:val="auto"/>
        </w:rPr>
      </w:pPr>
      <w:r>
        <w:rPr>
          <w:rFonts w:ascii="Times New Roman" w:cs="Times New Roman" w:eastAsia="Times New Roman" w:hAnsi="Times New Roman"/>
          <w:sz w:val="19"/>
          <w:szCs w:val="19"/>
          <w:color w:val="auto"/>
        </w:rPr>
        <w:t>with legal counsel (who may be counsel for any of the Loan Parties), independent accountants and other experts selected by it, and shall not be</w:t>
      </w:r>
    </w:p>
    <w:p>
      <w:pPr>
        <w:spacing w:after="0" w:line="207" w:lineRule="auto"/>
        <w:rPr>
          <w:sz w:val="20"/>
          <w:szCs w:val="20"/>
          <w:color w:val="auto"/>
        </w:rPr>
      </w:pPr>
      <w:r>
        <w:rPr>
          <w:rFonts w:ascii="Times New Roman" w:cs="Times New Roman" w:eastAsia="Times New Roman" w:hAnsi="Times New Roman"/>
          <w:sz w:val="19"/>
          <w:szCs w:val="19"/>
          <w:color w:val="auto"/>
        </w:rPr>
        <w:t>liable for any action taken or not taken by it in accordance with the advice of any such counsel, accountants or experts. The Administrative Agent may deem and treat the payee of any Note as the owner thereof for all purposes unless a written notice of assignment, negotiation or transfer</w:t>
      </w:r>
    </w:p>
    <w:p>
      <w:pPr>
        <w:spacing w:after="0" w:line="215" w:lineRule="auto"/>
        <w:rPr>
          <w:sz w:val="20"/>
          <w:szCs w:val="20"/>
          <w:color w:val="auto"/>
        </w:rPr>
      </w:pPr>
      <w:r>
        <w:rPr>
          <w:rFonts w:ascii="Times New Roman" w:cs="Times New Roman" w:eastAsia="Times New Roman" w:hAnsi="Times New Roman"/>
          <w:sz w:val="19"/>
          <w:szCs w:val="19"/>
          <w:color w:val="auto"/>
        </w:rPr>
        <w:t>thereof shall have been filed with the Administrative Agent. The Administrative Agent shall be fully justified in failing or refusing to take any</w:t>
      </w:r>
    </w:p>
    <w:p>
      <w:pPr>
        <w:spacing w:after="0" w:line="207" w:lineRule="auto"/>
        <w:rPr>
          <w:sz w:val="20"/>
          <w:szCs w:val="20"/>
          <w:color w:val="auto"/>
        </w:rPr>
      </w:pPr>
      <w:r>
        <w:rPr>
          <w:rFonts w:ascii="Times New Roman" w:cs="Times New Roman" w:eastAsia="Times New Roman" w:hAnsi="Times New Roman"/>
          <w:sz w:val="19"/>
          <w:szCs w:val="19"/>
          <w:color w:val="auto"/>
        </w:rPr>
        <w:t>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w:t>
      </w:r>
    </w:p>
    <w:p>
      <w:pPr>
        <w:spacing w:after="0" w:line="215" w:lineRule="auto"/>
        <w:rPr>
          <w:sz w:val="20"/>
          <w:szCs w:val="20"/>
          <w:color w:val="auto"/>
        </w:rPr>
      </w:pPr>
      <w:r>
        <w:rPr>
          <w:rFonts w:ascii="Times New Roman" w:cs="Times New Roman" w:eastAsia="Times New Roman" w:hAnsi="Times New Roman"/>
          <w:sz w:val="19"/>
          <w:szCs w:val="19"/>
          <w:color w:val="auto"/>
        </w:rPr>
        <w:t>indemnified to its satisfaction by the Lenders against any and all liability and expense that may be incurred by it by reason of taking or continuing</w:t>
      </w:r>
    </w:p>
    <w:p>
      <w:pPr>
        <w:spacing w:after="0" w:line="207" w:lineRule="auto"/>
        <w:rPr>
          <w:sz w:val="20"/>
          <w:szCs w:val="20"/>
          <w:color w:val="auto"/>
        </w:rPr>
      </w:pPr>
      <w:r>
        <w:rPr>
          <w:rFonts w:ascii="Times New Roman" w:cs="Times New Roman" w:eastAsia="Times New Roman" w:hAnsi="Times New Roman"/>
          <w:sz w:val="19"/>
          <w:szCs w:val="19"/>
          <w:color w:val="auto"/>
        </w:rPr>
        <w:t>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provided for herein or in the other Loan Documents), and such request and any action taken or failure to act pursuant thereto shall be binding upon the Lenders and all future holders of the Loans.</w:t>
      </w:r>
    </w:p>
    <w:p>
      <w:pPr>
        <w:spacing w:after="0" w:line="140"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9.5 Notice of Default</w:t>
      </w:r>
      <w:r>
        <w:rPr>
          <w:rFonts w:ascii="Times New Roman" w:cs="Times New Roman" w:eastAsia="Times New Roman" w:hAnsi="Times New Roman"/>
          <w:sz w:val="19"/>
          <w:szCs w:val="19"/>
          <w:color w:val="auto"/>
        </w:rPr>
        <w:t>. The Administrative Agent shall not be deemed to have knowledge or notice of the occurrence of any Default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Event of Default unless the Administrative Agent has received notice in writing from a Lender, Holdings or the Borrower referring to this</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Agreement, describing such Default or Event of Default and stating that such notice is a “</w:t>
      </w:r>
      <w:r>
        <w:rPr>
          <w:rFonts w:ascii="Times New Roman" w:cs="Times New Roman" w:eastAsia="Times New Roman" w:hAnsi="Times New Roman"/>
          <w:sz w:val="19"/>
          <w:szCs w:val="19"/>
          <w:b w:val="1"/>
          <w:bCs w:val="1"/>
          <w:i w:val="1"/>
          <w:iCs w:val="1"/>
          <w:color w:val="auto"/>
        </w:rPr>
        <w:t>notice of default</w:t>
      </w:r>
      <w:r>
        <w:rPr>
          <w:rFonts w:ascii="Times New Roman" w:cs="Times New Roman" w:eastAsia="Times New Roman" w:hAnsi="Times New Roman"/>
          <w:sz w:val="19"/>
          <w:szCs w:val="19"/>
          <w:color w:val="auto"/>
        </w:rPr>
        <w:t>.” In the event that the Administrative Agent receives such a notice, the Administrative Agent shall give notice thereof to the Lenders. The Administrative Agent shall take such action</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 xml:space="preserve">with respect to such Default or Event of Default as shall be reasonably directed by the Required Lenders (or, if so specified by this Agreement, all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unless and until the Administrative Agent shall have received such directions, the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112</w:t>
      </w:r>
    </w:p>
    <w:p>
      <w:pPr>
        <w:sectPr>
          <w:pgSz w:w="11900" w:h="16838" w:orient="portrait"/>
          <w:cols w:equalWidth="0" w:num="1">
            <w:col w:w="11240"/>
          </w:cols>
          <w:pgMar w:left="320" w:top="1354" w:right="339" w:bottom="1440" w:gutter="0" w:footer="0" w:header="0"/>
        </w:sectPr>
      </w:pPr>
    </w:p>
    <w:bookmarkStart w:id="244" w:name="page245"/>
    <w:bookmarkEnd w:id="244"/>
    <w:p>
      <w:pPr>
        <w:spacing w:after="0" w:line="249" w:lineRule="auto"/>
        <w:rPr>
          <w:sz w:val="20"/>
          <w:szCs w:val="20"/>
          <w:color w:val="auto"/>
        </w:rPr>
      </w:pPr>
      <w:r>
        <w:rPr>
          <w:rFonts w:ascii="Times New Roman" w:cs="Times New Roman" w:eastAsia="Times New Roman" w:hAnsi="Times New Roman"/>
          <w:sz w:val="19"/>
          <w:szCs w:val="19"/>
          <w:color w:val="auto"/>
        </w:rPr>
        <w:t>Administrative Agent may (but shall not be obligated to) take such action or refrain from taking such action with respect to such Default or Event of Default as it shall deem advisable in the best interests of the Lenders.</w:t>
      </w:r>
    </w:p>
    <w:p>
      <w:pPr>
        <w:spacing w:after="0" w:line="13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9.6</w:t>
      </w:r>
      <w:r>
        <w:rPr>
          <w:sz w:val="20"/>
          <w:szCs w:val="20"/>
          <w:color w:val="auto"/>
        </w:rPr>
        <w:tab/>
      </w:r>
      <w:r>
        <w:rPr>
          <w:rFonts w:ascii="Times New Roman" w:cs="Times New Roman" w:eastAsia="Times New Roman" w:hAnsi="Times New Roman"/>
          <w:sz w:val="19"/>
          <w:szCs w:val="19"/>
          <w:b w:val="1"/>
          <w:bCs w:val="1"/>
          <w:color w:val="auto"/>
        </w:rPr>
        <w:t>Non-Reliance on Administrative Agent and Other Lenders</w:t>
      </w:r>
      <w:r>
        <w:rPr>
          <w:rFonts w:ascii="Times New Roman" w:cs="Times New Roman" w:eastAsia="Times New Roman" w:hAnsi="Times New Roman"/>
          <w:sz w:val="19"/>
          <w:szCs w:val="19"/>
          <w:color w:val="auto"/>
        </w:rPr>
        <w:t>.  Each  Lender  expressly  acknowledges  that  neither  the</w:t>
      </w: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nor any of its officers, directors, employees, agents, attorneys in fact or affiliates has made any representations or warranties</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w:t>
      </w:r>
    </w:p>
    <w:p>
      <w:pPr>
        <w:spacing w:after="0" w:line="215" w:lineRule="auto"/>
        <w:rPr>
          <w:sz w:val="20"/>
          <w:szCs w:val="20"/>
          <w:color w:val="auto"/>
        </w:rPr>
      </w:pPr>
      <w:r>
        <w:rPr>
          <w:rFonts w:ascii="Times New Roman" w:cs="Times New Roman" w:eastAsia="Times New Roman" w:hAnsi="Times New Roman"/>
          <w:sz w:val="19"/>
          <w:szCs w:val="19"/>
          <w:color w:val="auto"/>
        </w:rPr>
        <w:t>to the Administrative Agent that it has, independently and without reliance upon the Administrative Agent or any other Lender or any of their</w:t>
      </w:r>
    </w:p>
    <w:p>
      <w:pPr>
        <w:spacing w:after="0" w:line="207" w:lineRule="auto"/>
        <w:rPr>
          <w:sz w:val="20"/>
          <w:szCs w:val="20"/>
          <w:color w:val="auto"/>
        </w:rPr>
      </w:pPr>
      <w:r>
        <w:rPr>
          <w:rFonts w:ascii="Times New Roman" w:cs="Times New Roman" w:eastAsia="Times New Roman" w:hAnsi="Times New Roman"/>
          <w:sz w:val="19"/>
          <w:szCs w:val="19"/>
          <w:color w:val="auto"/>
        </w:rPr>
        <w:t>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w:t>
      </w:r>
    </w:p>
    <w:p>
      <w:pPr>
        <w:spacing w:after="0" w:line="215" w:lineRule="auto"/>
        <w:rPr>
          <w:sz w:val="20"/>
          <w:szCs w:val="20"/>
          <w:color w:val="auto"/>
        </w:rPr>
      </w:pPr>
      <w:r>
        <w:rPr>
          <w:rFonts w:ascii="Times New Roman" w:cs="Times New Roman" w:eastAsia="Times New Roman" w:hAnsi="Times New Roman"/>
          <w:sz w:val="19"/>
          <w:szCs w:val="19"/>
          <w:color w:val="auto"/>
        </w:rPr>
        <w:t>credit analysis and decision to make its Loans hereunder and enter into this Agreement. Each Lender also agrees that it will, independently and</w:t>
      </w:r>
    </w:p>
    <w:p>
      <w:pPr>
        <w:spacing w:after="0" w:line="207" w:lineRule="auto"/>
        <w:rPr>
          <w:sz w:val="20"/>
          <w:szCs w:val="20"/>
          <w:color w:val="auto"/>
        </w:rPr>
      </w:pPr>
      <w:r>
        <w:rPr>
          <w:rFonts w:ascii="Times New Roman" w:cs="Times New Roman" w:eastAsia="Times New Roman" w:hAnsi="Times New Roman"/>
          <w:sz w:val="19"/>
          <w:szCs w:val="19"/>
          <w:color w:val="auto"/>
        </w:rPr>
        <w:t>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w:t>
      </w:r>
    </w:p>
    <w:p>
      <w:pPr>
        <w:spacing w:after="0" w:line="215" w:lineRule="auto"/>
        <w:rPr>
          <w:sz w:val="20"/>
          <w:szCs w:val="20"/>
          <w:color w:val="auto"/>
        </w:rPr>
      </w:pPr>
      <w:r>
        <w:rPr>
          <w:rFonts w:ascii="Times New Roman" w:cs="Times New Roman" w:eastAsia="Times New Roman" w:hAnsi="Times New Roman"/>
          <w:sz w:val="19"/>
          <w:szCs w:val="19"/>
          <w:color w:val="auto"/>
        </w:rPr>
        <w:t>under or based upon this Agreement, the other Loan Documents or any related agreement or any document furnished hereunder or thereunder, and</w:t>
      </w:r>
    </w:p>
    <w:p>
      <w:pPr>
        <w:spacing w:after="0" w:line="207" w:lineRule="auto"/>
        <w:rPr>
          <w:sz w:val="20"/>
          <w:szCs w:val="20"/>
          <w:color w:val="auto"/>
        </w:rPr>
      </w:pPr>
      <w:r>
        <w:rPr>
          <w:rFonts w:ascii="Times New Roman" w:cs="Times New Roman" w:eastAsia="Times New Roman" w:hAnsi="Times New Roman"/>
          <w:sz w:val="19"/>
          <w:szCs w:val="19"/>
          <w:color w:val="auto"/>
        </w:rPr>
        <w:t>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w:t>
      </w:r>
    </w:p>
    <w:p>
      <w:pPr>
        <w:spacing w:after="0" w:line="215" w:lineRule="auto"/>
        <w:rPr>
          <w:sz w:val="20"/>
          <w:szCs w:val="20"/>
          <w:color w:val="auto"/>
        </w:rPr>
      </w:pPr>
      <w:r>
        <w:rPr>
          <w:rFonts w:ascii="Times New Roman" w:cs="Times New Roman" w:eastAsia="Times New Roman" w:hAnsi="Times New Roman"/>
          <w:sz w:val="19"/>
          <w:szCs w:val="19"/>
          <w:color w:val="auto"/>
        </w:rPr>
        <w:t>the Lenders by the Administrative Agent hereunder, the Administrative Agent shall have no duty or responsibility to provide any Lender with any</w:t>
      </w:r>
    </w:p>
    <w:p>
      <w:pPr>
        <w:jc w:val="both"/>
        <w:spacing w:after="0" w:line="207" w:lineRule="auto"/>
        <w:rPr>
          <w:sz w:val="20"/>
          <w:szCs w:val="20"/>
          <w:color w:val="auto"/>
        </w:rPr>
      </w:pPr>
      <w:r>
        <w:rPr>
          <w:rFonts w:ascii="Times New Roman" w:cs="Times New Roman" w:eastAsia="Times New Roman" w:hAnsi="Times New Roman"/>
          <w:sz w:val="19"/>
          <w:szCs w:val="19"/>
          <w:color w:val="auto"/>
        </w:rPr>
        <w:t>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employees, agents, attorneys in fact or affiliates.</w:t>
      </w:r>
    </w:p>
    <w:p>
      <w:pPr>
        <w:spacing w:after="0" w:line="148"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9.7 Indemnification</w:t>
      </w:r>
      <w:r>
        <w:rPr>
          <w:rFonts w:ascii="Times New Roman" w:cs="Times New Roman" w:eastAsia="Times New Roman" w:hAnsi="Times New Roman"/>
          <w:sz w:val="19"/>
          <w:szCs w:val="19"/>
          <w:color w:val="auto"/>
        </w:rPr>
        <w:t>. Each of the Lenders agrees to indemnify each of the Administrative Agent, the Issuing Lender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Swingline Lender and each of its Related Parties in its capacity as such (to the extent not reimbursed by Holdings, the Borrower or any other Loan</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 xml:space="preserve">Party and without limiting the obligation of Holdings, the Borrower or any other Loan Party to do so) according to its Aggregate Exposure Percentage in effect on the date on which indemnification is sought under this </w:t>
      </w:r>
      <w:r>
        <w:rPr>
          <w:rFonts w:ascii="Times New Roman" w:cs="Times New Roman" w:eastAsia="Times New Roman" w:hAnsi="Times New Roman"/>
          <w:sz w:val="19"/>
          <w:szCs w:val="19"/>
          <w:u w:val="single" w:color="auto"/>
          <w:color w:val="auto"/>
        </w:rPr>
        <w:t>Section 9.7</w:t>
      </w:r>
      <w:r>
        <w:rPr>
          <w:rFonts w:ascii="Times New Roman" w:cs="Times New Roman" w:eastAsia="Times New Roman" w:hAnsi="Times New Roman"/>
          <w:sz w:val="19"/>
          <w:szCs w:val="19"/>
          <w:color w:val="auto"/>
        </w:rPr>
        <w:t xml:space="preserve"> (or, if indemnification is sought after the date upon</w:t>
      </w:r>
    </w:p>
    <w:p>
      <w:pPr>
        <w:spacing w:after="0" w:line="215" w:lineRule="auto"/>
        <w:rPr>
          <w:sz w:val="20"/>
          <w:szCs w:val="20"/>
          <w:color w:val="auto"/>
        </w:rPr>
      </w:pPr>
      <w:r>
        <w:rPr>
          <w:rFonts w:ascii="Times New Roman" w:cs="Times New Roman" w:eastAsia="Times New Roman" w:hAnsi="Times New Roman"/>
          <w:sz w:val="19"/>
          <w:szCs w:val="19"/>
          <w:color w:val="auto"/>
        </w:rPr>
        <w:t>which the Commitments shall have terminated and the Loans shall have been paid in full, in accordance with its Aggregate Exposure Percentage</w:t>
      </w:r>
    </w:p>
    <w:p>
      <w:pPr>
        <w:jc w:val="both"/>
        <w:spacing w:after="0" w:line="207" w:lineRule="auto"/>
        <w:rPr>
          <w:sz w:val="20"/>
          <w:szCs w:val="20"/>
          <w:color w:val="auto"/>
        </w:rPr>
      </w:pPr>
      <w:r>
        <w:rPr>
          <w:rFonts w:ascii="Times New Roman" w:cs="Times New Roman" w:eastAsia="Times New Roman" w:hAnsi="Times New Roman"/>
          <w:sz w:val="19"/>
          <w:szCs w:val="19"/>
          <w:color w:val="auto"/>
        </w:rPr>
        <w:t>immediately prior to such date), from and against any and all liabilities, obligations, losses, damages, penalties, actions, judgments, suits, costs, expenses or disbursements of any kind whatsoever that may at any time (whether before or after the payment of the Loans) be imposed on,</w:t>
      </w:r>
    </w:p>
    <w:p>
      <w:pPr>
        <w:spacing w:after="0" w:line="215" w:lineRule="auto"/>
        <w:rPr>
          <w:sz w:val="20"/>
          <w:szCs w:val="20"/>
          <w:color w:val="auto"/>
        </w:rPr>
      </w:pPr>
      <w:r>
        <w:rPr>
          <w:rFonts w:ascii="Times New Roman" w:cs="Times New Roman" w:eastAsia="Times New Roman" w:hAnsi="Times New Roman"/>
          <w:sz w:val="19"/>
          <w:szCs w:val="19"/>
          <w:color w:val="auto"/>
        </w:rPr>
        <w:t>incurred by or asserted against the Administrative Agent or such other Person in any way relating to or arising out of, the Commitments, this</w:t>
      </w:r>
    </w:p>
    <w:p>
      <w:pPr>
        <w:spacing w:after="0" w:line="207" w:lineRule="auto"/>
        <w:rPr>
          <w:sz w:val="20"/>
          <w:szCs w:val="20"/>
          <w:color w:val="auto"/>
        </w:rPr>
      </w:pPr>
      <w:r>
        <w:rPr>
          <w:rFonts w:ascii="Times New Roman" w:cs="Times New Roman" w:eastAsia="Times New Roman" w:hAnsi="Times New Roman"/>
          <w:sz w:val="19"/>
          <w:szCs w:val="19"/>
          <w:color w:val="auto"/>
        </w:rPr>
        <w:t>Agreement, any of the other Loan Documents or any documents contemplated by or referred to herein or therein or the transactions contemplated hereby or thereby or any action taken or omitted by the Administrative Agent or such other Person under or in connection with any of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foregoing and any other amounts not reimbursed by Holdings, the Borrower or such other 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liable for</w:t>
      </w:r>
    </w:p>
    <w:p>
      <w:pPr>
        <w:spacing w:after="0" w:line="207" w:lineRule="auto"/>
        <w:rPr>
          <w:sz w:val="20"/>
          <w:szCs w:val="20"/>
          <w:color w:val="auto"/>
        </w:rPr>
      </w:pPr>
      <w:r>
        <w:rPr>
          <w:rFonts w:ascii="Times New Roman" w:cs="Times New Roman" w:eastAsia="Times New Roman" w:hAnsi="Times New Roman"/>
          <w:sz w:val="19"/>
          <w:szCs w:val="19"/>
          <w:color w:val="auto"/>
        </w:rPr>
        <w:t>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w:t>
      </w:r>
    </w:p>
    <w:p>
      <w:pPr>
        <w:spacing w:after="0" w:line="215" w:lineRule="auto"/>
        <w:rPr>
          <w:sz w:val="20"/>
          <w:szCs w:val="20"/>
          <w:color w:val="auto"/>
        </w:rPr>
      </w:pPr>
      <w:r>
        <w:rPr>
          <w:rFonts w:ascii="Times New Roman" w:cs="Times New Roman" w:eastAsia="Times New Roman" w:hAnsi="Times New Roman"/>
          <w:sz w:val="19"/>
          <w:szCs w:val="19"/>
          <w:color w:val="auto"/>
        </w:rPr>
        <w:t>Agent’s or such other Person’s gross negligence or willful misconduct, and that with respect to such unpaid amounts owed to any Issuing Lender</w:t>
      </w:r>
    </w:p>
    <w:p>
      <w:pPr>
        <w:spacing w:after="0" w:line="207" w:lineRule="auto"/>
        <w:rPr>
          <w:sz w:val="20"/>
          <w:szCs w:val="20"/>
          <w:color w:val="auto"/>
        </w:rPr>
      </w:pPr>
      <w:r>
        <w:rPr>
          <w:rFonts w:ascii="Times New Roman" w:cs="Times New Roman" w:eastAsia="Times New Roman" w:hAnsi="Times New Roman"/>
          <w:sz w:val="19"/>
          <w:szCs w:val="19"/>
          <w:color w:val="auto"/>
        </w:rPr>
        <w:t>or Swingline Lender solely in its capacity as such, only the Revolving Lenders shall be required to pay such unpaid amounts, such payment to be made severally among them based on such Revolving Lenders’ Revolving Percentage (determined as of the time that the applicable unreimbursed</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expense or indemnity payment is sought). The agreements in this Section shall survive the payment of the Loans and all other amounts payable hereunder.</w:t>
      </w:r>
    </w:p>
    <w:p>
      <w:pPr>
        <w:spacing w:after="0" w:line="140"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9.8 Agent in Its Individual Capacity</w:t>
      </w:r>
      <w:r>
        <w:rPr>
          <w:rFonts w:ascii="Times New Roman" w:cs="Times New Roman" w:eastAsia="Times New Roman" w:hAnsi="Times New Roman"/>
          <w:sz w:val="19"/>
          <w:szCs w:val="19"/>
          <w:color w:val="auto"/>
        </w:rPr>
        <w:t>. The Person serving as the Administrative Agent hereunder shall have the same rights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powers in its capacity as a Lender as any other Lender and may exercise the same as though it were not the Administrative Agent and the term</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“Lender” or “Lenders” shall, unless otherwise expressly indicated or unless the context otherwise requires, include the Person serving as the Administrative Agent hereunder in its individual capacity. Such Person and its Affiliates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113</w:t>
      </w:r>
    </w:p>
    <w:p>
      <w:pPr>
        <w:sectPr>
          <w:pgSz w:w="11900" w:h="16838" w:orient="portrait"/>
          <w:cols w:equalWidth="0" w:num="1">
            <w:col w:w="11240"/>
          </w:cols>
          <w:pgMar w:left="320" w:top="1354"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9"/>
          <w:szCs w:val="19"/>
          <w:color w:val="auto"/>
        </w:rPr>
        <w:t>may accept deposits from, lend money to, own securities of, act as the financial advisor or in any other advisory capacity for and generally engage</w:t>
      </w:r>
    </w:p>
    <w:p>
      <w:pPr>
        <w:spacing w:after="0" w:line="225" w:lineRule="auto"/>
        <w:rPr>
          <w:sz w:val="20"/>
          <w:szCs w:val="20"/>
          <w:color w:val="auto"/>
        </w:rPr>
      </w:pPr>
      <w:r>
        <w:rPr>
          <w:rFonts w:ascii="Times New Roman" w:cs="Times New Roman" w:eastAsia="Times New Roman" w:hAnsi="Times New Roman"/>
          <w:sz w:val="19"/>
          <w:szCs w:val="19"/>
          <w:color w:val="auto"/>
        </w:rPr>
        <w:t>in any kind of business with the Borrower, Holdings or any Subsidiary or other Affiliate thereof as if such Person were not the Administrative Agent hereunder and without any duty to account therefor to the Lenders.</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9.9</w:t>
      </w:r>
      <w:r>
        <w:rPr>
          <w:sz w:val="20"/>
          <w:szCs w:val="20"/>
          <w:color w:val="auto"/>
        </w:rPr>
        <w:tab/>
      </w:r>
      <w:r>
        <w:rPr>
          <w:rFonts w:ascii="Times New Roman" w:cs="Times New Roman" w:eastAsia="Times New Roman" w:hAnsi="Times New Roman"/>
          <w:sz w:val="19"/>
          <w:szCs w:val="19"/>
          <w:b w:val="1"/>
          <w:bCs w:val="1"/>
          <w:color w:val="auto"/>
        </w:rPr>
        <w:t>Successor Administrative Agent.</w:t>
      </w:r>
    </w:p>
    <w:p>
      <w:pPr>
        <w:spacing w:after="0" w:line="187" w:lineRule="exact"/>
        <w:rPr>
          <w:sz w:val="20"/>
          <w:szCs w:val="20"/>
          <w:color w:val="auto"/>
        </w:rPr>
      </w:pPr>
    </w:p>
    <w:p>
      <w:pPr>
        <w:jc w:val="both"/>
        <w:ind w:firstLine="1254"/>
        <w:spacing w:after="0" w:line="216" w:lineRule="auto"/>
        <w:tabs>
          <w:tab w:leader="none" w:pos="1866"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may at any time give notice of its resignation to the Lenders and the Borrower. Upon receipt of any such notice of resignation, the Required Lenders shall have the right (so long as no Event of Default has occurred and is continuing, with the consent of the Borrower) to appoint a successor. If no such successor shall have been so appointed by the Required Lenders and, if applicable, the Borrower,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9"/>
          <w:szCs w:val="19"/>
          <w:b w:val="1"/>
          <w:bCs w:val="1"/>
          <w:i w:val="1"/>
          <w:iCs w:val="1"/>
          <w:color w:val="auto"/>
        </w:rPr>
        <w:t>Resignation Effective Date</w:t>
      </w:r>
      <w:r>
        <w:rPr>
          <w:rFonts w:ascii="Times New Roman" w:cs="Times New Roman" w:eastAsia="Times New Roman" w:hAnsi="Times New Roman"/>
          <w:sz w:val="19"/>
          <w:szCs w:val="19"/>
          <w:color w:val="auto"/>
        </w:rPr>
        <w:t xml:space="preserve">”), then the retiring Administrative Agent may (but shall not be obligated to), on behalf of the Lenders, appoint a successor Administrative Agent meeting the qualifications set forth above;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59"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3"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Person serving as Administrative Agent is a Defaulting Lender pursuant to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of the definition thereof, the Required Lenders may, to the extent permitted by applicable law, by notice in writing to the Borrower and such Person, remove such Person as Administrative Agent and appoint a successor (so long as no Event of Default has occurred and is continuing, with the consent of the Borrower).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9"/>
          <w:szCs w:val="19"/>
          <w:b w:val="1"/>
          <w:bCs w:val="1"/>
          <w:i w:val="1"/>
          <w:iCs w:val="1"/>
          <w:color w:val="auto"/>
        </w:rPr>
        <w:t>Removal Effective Date</w:t>
      </w:r>
      <w:r>
        <w:rPr>
          <w:rFonts w:ascii="Times New Roman" w:cs="Times New Roman" w:eastAsia="Times New Roman" w:hAnsi="Times New Roman"/>
          <w:sz w:val="19"/>
          <w:szCs w:val="19"/>
          <w:color w:val="auto"/>
        </w:rPr>
        <w:t>”), then such removal shall nonetheless become effective in accordance with such notice on the Removal Effective Date.</w:t>
      </w:r>
    </w:p>
    <w:p>
      <w:pPr>
        <w:spacing w:after="0" w:line="158"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6"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and, if applicable, the Borrower,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spacing w:after="0" w:line="15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9.10</w:t>
        <w:tab/>
        <w:t>Collateral and Guaranty Matters.</w:t>
      </w:r>
    </w:p>
    <w:p>
      <w:pPr>
        <w:spacing w:after="0" w:line="187" w:lineRule="exact"/>
        <w:rPr>
          <w:sz w:val="20"/>
          <w:szCs w:val="20"/>
          <w:color w:val="auto"/>
        </w:rPr>
      </w:pPr>
    </w:p>
    <w:p>
      <w:pPr>
        <w:ind w:left="1880" w:hanging="626"/>
        <w:spacing w:after="0"/>
        <w:tabs>
          <w:tab w:leader="none" w:pos="1880"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Lenders irrevocably authorize the Administrative Agent, at its option and in its discretion,</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45" w:lineRule="exact"/>
        <w:rPr>
          <w:rFonts w:ascii="Times New Roman" w:cs="Times New Roman" w:eastAsia="Times New Roman" w:hAnsi="Times New Roman"/>
          <w:sz w:val="19"/>
          <w:szCs w:val="19"/>
          <w:color w:val="auto"/>
        </w:rPr>
      </w:pPr>
    </w:p>
    <w:p>
      <w:pPr>
        <w:ind w:left="54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114</w:t>
      </w:r>
    </w:p>
    <w:p>
      <w:pPr>
        <w:sectPr>
          <w:pgSz w:w="11900" w:h="16838" w:orient="portrait"/>
          <w:cols w:equalWidth="0" w:num="1">
            <w:col w:w="11240"/>
          </w:cols>
          <w:pgMar w:left="320" w:top="1353" w:right="339" w:bottom="1440" w:gutter="0" w:footer="0" w:header="0"/>
        </w:sectPr>
      </w:pPr>
    </w:p>
    <w:bookmarkStart w:id="246" w:name="page247"/>
    <w:bookmarkEnd w:id="246"/>
    <w:p>
      <w:pPr>
        <w:jc w:val="both"/>
        <w:ind w:firstLine="1880"/>
        <w:spacing w:after="0" w:line="219" w:lineRule="auto"/>
        <w:tabs>
          <w:tab w:leader="none" w:pos="2498"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release any Lien on any Collateral or other property granted to or held by the Administrative Agent under any Loan Document (i) upon the Discharge of Obligations (other than contingent indemnification obligations for which no claim has been made) and the expiration or termination of all Letters of Credit (other than Letters of Credit as to which other arrangements satisfactory to the Administrative Agent and the applicable Issuing Lender shall have been made and the aggregate Commitments have been terminated), (ii) that is sold or otherwise disposed of or to be sold or otherwise disposed of to a Person other than a Loan Party as part of or in connection with any sale or other disposition permitted hereunder or under any other Loan Document, (iii) if such Collateral becomes Excluded Assets or (iv) subject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10.1</w:t>
      </w:r>
      <w:r>
        <w:rPr>
          <w:rFonts w:ascii="Times New Roman" w:cs="Times New Roman" w:eastAsia="Times New Roman" w:hAnsi="Times New Roman"/>
          <w:sz w:val="19"/>
          <w:szCs w:val="19"/>
          <w:color w:val="auto"/>
        </w:rPr>
        <w:t>, if approved, authorized or ratified in writing by the Required Lenders;</w:t>
      </w:r>
    </w:p>
    <w:p>
      <w:pPr>
        <w:spacing w:after="0" w:line="154" w:lineRule="exact"/>
        <w:rPr>
          <w:rFonts w:ascii="Times New Roman" w:cs="Times New Roman" w:eastAsia="Times New Roman" w:hAnsi="Times New Roman"/>
          <w:sz w:val="19"/>
          <w:szCs w:val="19"/>
          <w:color w:val="auto"/>
        </w:rPr>
      </w:pPr>
    </w:p>
    <w:p>
      <w:pPr>
        <w:ind w:firstLine="1880"/>
        <w:spacing w:after="0" w:line="237" w:lineRule="auto"/>
        <w:tabs>
          <w:tab w:leader="none" w:pos="2499"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subordinate any Lien on any Collateral or other property granted to or held by the Administrative Agent under any Loan Document to the holder of any Lien on such property that is permitted by </w:t>
      </w:r>
      <w:r>
        <w:rPr>
          <w:rFonts w:ascii="Times New Roman" w:cs="Times New Roman" w:eastAsia="Times New Roman" w:hAnsi="Times New Roman"/>
          <w:sz w:val="19"/>
          <w:szCs w:val="19"/>
          <w:u w:val="single" w:color="auto"/>
          <w:color w:val="auto"/>
        </w:rPr>
        <w:t>Section 7.3(g)</w:t>
      </w:r>
      <w:r>
        <w:rPr>
          <w:rFonts w:ascii="Times New Roman" w:cs="Times New Roman" w:eastAsia="Times New Roman" w:hAnsi="Times New Roman"/>
          <w:sz w:val="19"/>
          <w:szCs w:val="19"/>
          <w:color w:val="auto"/>
        </w:rPr>
        <w:t>; and</w:t>
      </w:r>
    </w:p>
    <w:p>
      <w:pPr>
        <w:spacing w:after="0" w:line="154" w:lineRule="exact"/>
        <w:rPr>
          <w:rFonts w:ascii="Times New Roman" w:cs="Times New Roman" w:eastAsia="Times New Roman" w:hAnsi="Times New Roman"/>
          <w:sz w:val="19"/>
          <w:szCs w:val="19"/>
          <w:color w:val="auto"/>
        </w:rPr>
      </w:pPr>
    </w:p>
    <w:p>
      <w:pPr>
        <w:ind w:firstLine="1880"/>
        <w:spacing w:after="0" w:line="249" w:lineRule="auto"/>
        <w:tabs>
          <w:tab w:leader="none" w:pos="2500"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release any Guarantor from its obligations under the Guarantee and Collateral Agreement if such Person ceases to be a Subsidiary as a result of a transaction permitted under the Loan Documents.</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9"/>
          <w:szCs w:val="19"/>
          <w:u w:val="single" w:color="auto"/>
          <w:color w:val="auto"/>
        </w:rPr>
        <w:t>Section 9.10</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both"/>
        <w:ind w:firstLine="1254"/>
        <w:spacing w:after="0" w:line="226" w:lineRule="auto"/>
        <w:tabs>
          <w:tab w:leader="none" w:pos="1863"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53" w:lineRule="exact"/>
        <w:rPr>
          <w:rFonts w:ascii="Times New Roman" w:cs="Times New Roman" w:eastAsia="Times New Roman" w:hAnsi="Times New Roman"/>
          <w:sz w:val="19"/>
          <w:szCs w:val="19"/>
          <w:color w:val="auto"/>
        </w:rPr>
      </w:pPr>
    </w:p>
    <w:p>
      <w:pPr>
        <w:jc w:val="both"/>
        <w:ind w:firstLine="1254"/>
        <w:spacing w:after="0" w:line="212" w:lineRule="auto"/>
        <w:tabs>
          <w:tab w:leader="none" w:pos="1866"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in no event shall a Secured 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except as expressly provided herein or in the Guarantee and Collateral Agreement. By accepting the benefits of the Collateral and of the guarantees of the Obligations provided by the Loan Parties under the Guarantee and Collateral Agreement, any Secured Party that is a Cash Management Bank or a Qualified Counterparty shall be deemed to have appointed the Administrative Agent to serve as administrative agent and collateral agent under the Loan Documents and to have agreed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115</w:t>
      </w:r>
    </w:p>
    <w:p>
      <w:pPr>
        <w:sectPr>
          <w:pgSz w:w="11900" w:h="16838" w:orient="portrait"/>
          <w:cols w:equalWidth="0" w:num="1">
            <w:col w:w="11240"/>
          </w:cols>
          <w:pgMar w:left="320" w:top="1354"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9"/>
          <w:szCs w:val="19"/>
          <w:color w:val="auto"/>
        </w:rPr>
        <w:t>to be bound by the Loan Documents as a Secured Party thereunder, subject to the limitations set forth in this paragraph.</w:t>
      </w:r>
    </w:p>
    <w:p>
      <w:pPr>
        <w:spacing w:after="0" w:line="183"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9.11 Administrative Agent May File Proofs of Claim</w:t>
      </w:r>
      <w:r>
        <w:rPr>
          <w:rFonts w:ascii="Times New Roman" w:cs="Times New Roman" w:eastAsia="Times New Roman" w:hAnsi="Times New Roman"/>
          <w:sz w:val="19"/>
          <w:szCs w:val="19"/>
          <w:color w:val="auto"/>
        </w:rPr>
        <w:t>. In case of the pendency of any proceeding under any Debtor Relief Law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other judicial proceeding relative to any Loan Party, the Administrative Agent (irrespective of whether the principal of any Loan or Obligation</w:t>
      </w:r>
    </w:p>
    <w:p>
      <w:pPr>
        <w:spacing w:after="0" w:line="215" w:lineRule="auto"/>
        <w:rPr>
          <w:sz w:val="20"/>
          <w:szCs w:val="20"/>
          <w:color w:val="auto"/>
        </w:rPr>
      </w:pPr>
      <w:r>
        <w:rPr>
          <w:rFonts w:ascii="Times New Roman" w:cs="Times New Roman" w:eastAsia="Times New Roman" w:hAnsi="Times New Roman"/>
          <w:sz w:val="19"/>
          <w:szCs w:val="19"/>
          <w:color w:val="auto"/>
        </w:rPr>
        <w:t>in respect of any Letter of Credit shall then be due and payable as herein expressed or by declaration or otherwise and irrespective of whether the</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Administrative Agent shall have made any demand on the Borrower) shall be entitled and empowered (but not obligated), by intervention in such proceeding or otherwise:</w:t>
      </w:r>
    </w:p>
    <w:p>
      <w:pPr>
        <w:spacing w:after="0" w:line="154" w:lineRule="exact"/>
        <w:rPr>
          <w:sz w:val="20"/>
          <w:szCs w:val="20"/>
          <w:color w:val="auto"/>
        </w:rPr>
      </w:pPr>
    </w:p>
    <w:p>
      <w:pPr>
        <w:jc w:val="both"/>
        <w:ind w:firstLine="1254"/>
        <w:spacing w:after="0" w:line="223" w:lineRule="auto"/>
        <w:tabs>
          <w:tab w:leader="none" w:pos="1866"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file and prove a claim for the whole amount of the principal and interest owing and unpaid in respect of the Loans, Obligations in respect of any Letter of Credit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9"/>
          <w:szCs w:val="19"/>
          <w:u w:val="single" w:color="auto"/>
          <w:color w:val="auto"/>
        </w:rPr>
        <w:t>Sections 2.9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10.5</w:t>
      </w:r>
      <w:r>
        <w:rPr>
          <w:rFonts w:ascii="Times New Roman" w:cs="Times New Roman" w:eastAsia="Times New Roman" w:hAnsi="Times New Roman"/>
          <w:sz w:val="19"/>
          <w:szCs w:val="19"/>
          <w:color w:val="auto"/>
        </w:rPr>
        <w:t>) allowed in such judicial proceeding; and</w:t>
      </w:r>
    </w:p>
    <w:p>
      <w:pPr>
        <w:spacing w:after="0" w:line="144" w:lineRule="exact"/>
        <w:rPr>
          <w:rFonts w:ascii="Times New Roman" w:cs="Times New Roman" w:eastAsia="Times New Roman" w:hAnsi="Times New Roman"/>
          <w:sz w:val="19"/>
          <w:szCs w:val="19"/>
          <w:color w:val="auto"/>
        </w:rPr>
      </w:pPr>
    </w:p>
    <w:p>
      <w:pPr>
        <w:ind w:left="1860" w:hanging="606"/>
        <w:spacing w:after="0"/>
        <w:tabs>
          <w:tab w:leader="none" w:pos="1860" w:val="left"/>
        </w:tabs>
        <w:numPr>
          <w:ilvl w:val="0"/>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collect and receive any monies or other property payable or deliverable on any such claims and to distribute the same;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Sections 2.9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10.5</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25"/>
        <w:spacing w:after="0" w:line="267" w:lineRule="auto"/>
        <w:rPr>
          <w:sz w:val="20"/>
          <w:szCs w:val="20"/>
          <w:color w:val="auto"/>
        </w:rPr>
      </w:pPr>
      <w:r>
        <w:rPr>
          <w:rFonts w:ascii="Times New Roman" w:cs="Times New Roman" w:eastAsia="Times New Roman" w:hAnsi="Times New Roman"/>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54" w:lineRule="exact"/>
        <w:rPr>
          <w:sz w:val="20"/>
          <w:szCs w:val="20"/>
          <w:color w:val="auto"/>
        </w:rPr>
      </w:pPr>
    </w:p>
    <w:p>
      <w:pPr>
        <w:jc w:val="both"/>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9.12 No Other Duties, Etc. </w:t>
      </w:r>
      <w:r>
        <w:rPr>
          <w:rFonts w:ascii="Times New Roman" w:cs="Times New Roman" w:eastAsia="Times New Roman" w:hAnsi="Times New Roman"/>
          <w:sz w:val="19"/>
          <w:szCs w:val="19"/>
          <w:color w:val="auto"/>
        </w:rPr>
        <w:t>Anything herein to the contrary notwithstanding, none of the “Lead Arrangers” listed on the cover page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hereof shall have any powers, duties or responsibilities under this Agreement or any of the other Loan Documents, except in its capacity,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applicable, as the Administrative Agent, a Lender, the Issuing Lender or the Swingline Lender hereunder.</w:t>
      </w:r>
    </w:p>
    <w:p>
      <w:pPr>
        <w:spacing w:after="0" w:line="161" w:lineRule="exact"/>
        <w:rPr>
          <w:sz w:val="20"/>
          <w:szCs w:val="20"/>
          <w:color w:val="auto"/>
        </w:rPr>
      </w:pPr>
    </w:p>
    <w:p>
      <w:pPr>
        <w:jc w:val="both"/>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9.13 Cash Management Bank and Qualified Counterparty Reports. </w:t>
      </w:r>
      <w:r>
        <w:rPr>
          <w:rFonts w:ascii="Times New Roman" w:cs="Times New Roman" w:eastAsia="Times New Roman" w:hAnsi="Times New Roman"/>
          <w:sz w:val="19"/>
          <w:szCs w:val="19"/>
          <w:color w:val="auto"/>
        </w:rPr>
        <w:t>Each Cash Management Bank and each Qualified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Counterparty agrees to furnish to the Administrative Agent, as frequently as the Administrative Agent may reasonably request, with a summary of</w:t>
      </w:r>
    </w:p>
    <w:p>
      <w:pPr>
        <w:spacing w:after="0" w:line="215" w:lineRule="auto"/>
        <w:rPr>
          <w:sz w:val="20"/>
          <w:szCs w:val="20"/>
          <w:color w:val="auto"/>
        </w:rPr>
      </w:pPr>
      <w:r>
        <w:rPr>
          <w:rFonts w:ascii="Times New Roman" w:cs="Times New Roman" w:eastAsia="Times New Roman" w:hAnsi="Times New Roman"/>
          <w:sz w:val="19"/>
          <w:szCs w:val="19"/>
          <w:color w:val="auto"/>
        </w:rPr>
        <w:t>all Obligations in respect of Cash Management Services and/or Specified Swap Agreements, as applicable, due or to become due to such Cash</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Management Bank or Qualified Counterparty, as applicable. In connection with any distributions to be made hereunder, the Administrative Agent shall be entitled to assume that no amounts are due to any Cash Management Bank or Qualified Counterparty (in its capacity as a Cash</w:t>
      </w:r>
    </w:p>
    <w:p>
      <w:pPr>
        <w:spacing w:after="0" w:line="215" w:lineRule="auto"/>
        <w:rPr>
          <w:sz w:val="20"/>
          <w:szCs w:val="20"/>
          <w:color w:val="auto"/>
        </w:rPr>
      </w:pPr>
      <w:r>
        <w:rPr>
          <w:rFonts w:ascii="Times New Roman" w:cs="Times New Roman" w:eastAsia="Times New Roman" w:hAnsi="Times New Roman"/>
          <w:sz w:val="19"/>
          <w:szCs w:val="19"/>
          <w:color w:val="auto"/>
        </w:rPr>
        <w:t>Management Bank or Qualified Counterparty and not in its capacity as a Lender) unless the Administrative Agent has received written notice</w:t>
      </w:r>
    </w:p>
    <w:p>
      <w:pPr>
        <w:jc w:val="both"/>
        <w:spacing w:after="0" w:line="207" w:lineRule="auto"/>
        <w:rPr>
          <w:sz w:val="20"/>
          <w:szCs w:val="20"/>
          <w:color w:val="auto"/>
        </w:rPr>
      </w:pPr>
      <w:r>
        <w:rPr>
          <w:rFonts w:ascii="Times New Roman" w:cs="Times New Roman" w:eastAsia="Times New Roman" w:hAnsi="Times New Roman"/>
          <w:sz w:val="19"/>
          <w:szCs w:val="19"/>
          <w:color w:val="auto"/>
        </w:rPr>
        <w:t>thereof from such Cash Management Bank or Qualified Counterparty and if such notice is received, the Administrative Agent shall be entitled to assume that the only amounts due to such Cash Management Bank or Qualified Counterparty on account of Cash Management Services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Specified Swap Agreements are set forth in such notice.</w:t>
      </w:r>
    </w:p>
    <w:p>
      <w:pPr>
        <w:spacing w:after="0" w:line="16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9.14</w:t>
        <w:tab/>
        <w:t>Survival</w:t>
      </w:r>
      <w:r>
        <w:rPr>
          <w:rFonts w:ascii="Times New Roman" w:cs="Times New Roman" w:eastAsia="Times New Roman" w:hAnsi="Times New Roman"/>
          <w:sz w:val="19"/>
          <w:szCs w:val="19"/>
          <w:color w:val="auto"/>
        </w:rPr>
        <w:t>.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survive the Discharge of Obligations.</w:t>
      </w:r>
    </w:p>
    <w:p>
      <w:pPr>
        <w:spacing w:after="0" w:line="17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9.15</w:t>
        <w:tab/>
        <w:t>Erroneous Payments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116</w:t>
      </w:r>
    </w:p>
    <w:p>
      <w:pPr>
        <w:sectPr>
          <w:pgSz w:w="11900" w:h="16838" w:orient="portrait"/>
          <w:cols w:equalWidth="0" w:num="1">
            <w:col w:w="11240"/>
          </w:cols>
          <w:pgMar w:left="320" w:top="1354" w:right="339" w:bottom="1440" w:gutter="0" w:footer="0" w:header="0"/>
        </w:sectPr>
      </w:pPr>
    </w:p>
    <w:bookmarkStart w:id="248" w:name="page249"/>
    <w:bookmarkEnd w:id="248"/>
    <w:p>
      <w:pPr>
        <w:jc w:val="both"/>
        <w:ind w:firstLine="1254"/>
        <w:spacing w:after="0" w:line="213" w:lineRule="auto"/>
        <w:tabs>
          <w:tab w:leader="none" w:pos="1866"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notifies a Lender, Issuing Lender or Secured Party, or any Person who has received funds on behalf of a Lender, Issuing Lender or Secured Party such Lender or Issuing Lender (any such Lender, Issuing Lender, Secured Party or other recipient, a “</w:t>
      </w:r>
      <w:r>
        <w:rPr>
          <w:rFonts w:ascii="Times New Roman" w:cs="Times New Roman" w:eastAsia="Times New Roman" w:hAnsi="Times New Roman"/>
          <w:sz w:val="19"/>
          <w:szCs w:val="19"/>
          <w:b w:val="1"/>
          <w:bCs w:val="1"/>
          <w:i w:val="1"/>
          <w:iCs w:val="1"/>
          <w:color w:val="auto"/>
        </w:rPr>
        <w:t>Payment Recipient</w:t>
      </w:r>
      <w:r>
        <w:rPr>
          <w:rFonts w:ascii="Times New Roman" w:cs="Times New Roman" w:eastAsia="Times New Roman" w:hAnsi="Times New Roman"/>
          <w:sz w:val="19"/>
          <w:szCs w:val="19"/>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9"/>
          <w:szCs w:val="19"/>
          <w:b w:val="1"/>
          <w:bCs w:val="1"/>
          <w:i w:val="1"/>
          <w:iCs w:val="1"/>
          <w:color w:val="auto"/>
        </w:rPr>
        <w:t>Erroneous Payment</w:t>
      </w:r>
      <w:r>
        <w:rPr>
          <w:rFonts w:ascii="Times New Roman" w:cs="Times New Roman" w:eastAsia="Times New Roman" w:hAnsi="Times New Roman"/>
          <w:sz w:val="19"/>
          <w:szCs w:val="19"/>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shall be conclusive, absent manifest error.</w:t>
      </w:r>
    </w:p>
    <w:p>
      <w:pPr>
        <w:spacing w:after="0" w:line="166"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3"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limiting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each Lender, Issuing Lender or Secured Party, or any Person who has received funds on behalf of a Lender, Issuing Lender or Secured Party such Lender or Issuing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or Secured Party, or other such recipient, otherwise becomes aware was transmitted, or received, in error or by mistake (in whole or in part) in each case:</w:t>
      </w:r>
    </w:p>
    <w:p>
      <w:pPr>
        <w:spacing w:after="0" w:line="159" w:lineRule="exact"/>
        <w:rPr>
          <w:rFonts w:ascii="Times New Roman" w:cs="Times New Roman" w:eastAsia="Times New Roman" w:hAnsi="Times New Roman"/>
          <w:sz w:val="19"/>
          <w:szCs w:val="19"/>
          <w:color w:val="auto"/>
        </w:rPr>
      </w:pPr>
    </w:p>
    <w:p>
      <w:pPr>
        <w:jc w:val="both"/>
        <w:ind w:firstLine="1880"/>
        <w:spacing w:after="0" w:line="219" w:lineRule="auto"/>
        <w:tabs>
          <w:tab w:leader="none" w:pos="2498" w:val="left"/>
        </w:tabs>
        <w:numPr>
          <w:ilvl w:val="1"/>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in the case of immediately preceding </w:t>
      </w:r>
      <w:r>
        <w:rPr>
          <w:rFonts w:ascii="Times New Roman" w:cs="Times New Roman" w:eastAsia="Times New Roman" w:hAnsi="Times New Roman"/>
          <w:sz w:val="19"/>
          <w:szCs w:val="19"/>
          <w:u w:val="single" w:color="auto"/>
          <w:color w:val="auto"/>
        </w:rPr>
        <w:t>clauses (x)</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9"/>
          <w:szCs w:val="19"/>
          <w:u w:val="single" w:color="auto"/>
          <w:color w:val="auto"/>
        </w:rPr>
        <w:t>clause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(z)</w:t>
      </w:r>
      <w:r>
        <w:rPr>
          <w:rFonts w:ascii="Times New Roman" w:cs="Times New Roman" w:eastAsia="Times New Roman" w:hAnsi="Times New Roman"/>
          <w:sz w:val="19"/>
          <w:szCs w:val="19"/>
          <w:color w:val="auto"/>
        </w:rPr>
        <w:t>), in each case, with respect to such payment, prepayment or repayment; and</w:t>
      </w:r>
    </w:p>
    <w:p>
      <w:pPr>
        <w:spacing w:after="0" w:line="163" w:lineRule="exact"/>
        <w:rPr>
          <w:rFonts w:ascii="Times New Roman" w:cs="Times New Roman" w:eastAsia="Times New Roman" w:hAnsi="Times New Roman"/>
          <w:sz w:val="19"/>
          <w:szCs w:val="19"/>
          <w:color w:val="auto"/>
        </w:rPr>
      </w:pPr>
    </w:p>
    <w:p>
      <w:pPr>
        <w:jc w:val="both"/>
        <w:ind w:firstLine="1880"/>
        <w:spacing w:after="0" w:line="226" w:lineRule="auto"/>
        <w:tabs>
          <w:tab w:leader="none" w:pos="2499" w:val="left"/>
        </w:tabs>
        <w:numPr>
          <w:ilvl w:val="1"/>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Lender, Issuing Lender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9"/>
          <w:szCs w:val="19"/>
          <w:u w:val="single" w:color="auto"/>
          <w:color w:val="auto"/>
        </w:rPr>
        <w:t>Section 9.15(b)</w:t>
      </w:r>
      <w:r>
        <w:rPr>
          <w:rFonts w:ascii="Times New Roman" w:cs="Times New Roman" w:eastAsia="Times New Roman" w:hAnsi="Times New Roman"/>
          <w:sz w:val="19"/>
          <w:szCs w:val="19"/>
          <w:color w:val="auto"/>
        </w:rPr>
        <w:t>.</w:t>
      </w:r>
    </w:p>
    <w:p>
      <w:pPr>
        <w:spacing w:after="0" w:line="140"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66"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Issuing Lender or Secured Party hereby authorizes the Administrative Agent to set off, net and apply any and all amounts at any time owing to such Lender, Issuing Lender or Secured Party under any Loan Document, or otherwise payable or distributable by the Administrative Agent to such Lender, Issuing Lender or Secured Party from any source, against any amount due to the Administrative Agent under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under the indemnification provisions of this Agreement.</w:t>
      </w:r>
    </w:p>
    <w:p>
      <w:pPr>
        <w:spacing w:after="0" w:line="153"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from any Lender or Issuing Lender that has received such Erroneous Payment (or portion thereof) (and/or from any Payment Recipient who received such</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117</w:t>
      </w:r>
    </w:p>
    <w:p>
      <w:pPr>
        <w:sectPr>
          <w:pgSz w:w="11900" w:h="16838" w:orient="portrait"/>
          <w:cols w:equalWidth="0" w:num="1">
            <w:col w:w="11240"/>
          </w:cols>
          <w:pgMar w:left="320" w:top="1354"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9"/>
          <w:szCs w:val="19"/>
          <w:color w:val="auto"/>
        </w:rPr>
        <w:t>Erroneous Payment (or portion thereof) on its respective behalf) (such unrecovered amount, an “</w:t>
      </w:r>
      <w:r>
        <w:rPr>
          <w:rFonts w:ascii="Times New Roman" w:cs="Times New Roman" w:eastAsia="Times New Roman" w:hAnsi="Times New Roman"/>
          <w:sz w:val="19"/>
          <w:szCs w:val="19"/>
          <w:b w:val="1"/>
          <w:bCs w:val="1"/>
          <w:i w:val="1"/>
          <w:iCs w:val="1"/>
          <w:color w:val="auto"/>
        </w:rPr>
        <w:t>Erroneous Payment Return Deficiency</w:t>
      </w:r>
      <w:r>
        <w:rPr>
          <w:rFonts w:ascii="Times New Roman" w:cs="Times New Roman" w:eastAsia="Times New Roman" w:hAnsi="Times New Roman"/>
          <w:sz w:val="19"/>
          <w:szCs w:val="19"/>
          <w:color w:val="auto"/>
        </w:rPr>
        <w:t>”), upon</w:t>
      </w:r>
    </w:p>
    <w:p>
      <w:pPr>
        <w:spacing w:after="0" w:line="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the Administrative Agent’s notice to such Lender or Issuing Lender at any time, (i) such Lender or Issuing Lender shall be deemed to have assigned its Loans (but not its Commitments) of the relevant Class with respect to which such Erroneous Payment was made (the “</w:t>
      </w:r>
      <w:r>
        <w:rPr>
          <w:rFonts w:ascii="Times New Roman" w:cs="Times New Roman" w:eastAsia="Times New Roman" w:hAnsi="Times New Roman"/>
          <w:sz w:val="19"/>
          <w:szCs w:val="19"/>
          <w:b w:val="1"/>
          <w:bCs w:val="1"/>
          <w:i w:val="1"/>
          <w:iCs w:val="1"/>
          <w:color w:val="auto"/>
        </w:rPr>
        <w:t>Erroneous</w:t>
      </w:r>
    </w:p>
    <w:p>
      <w:pPr>
        <w:spacing w:after="0" w:line="215" w:lineRule="auto"/>
        <w:rPr>
          <w:sz w:val="20"/>
          <w:szCs w:val="20"/>
          <w:color w:val="auto"/>
        </w:rPr>
      </w:pPr>
      <w:r>
        <w:rPr>
          <w:rFonts w:ascii="Times New Roman" w:cs="Times New Roman" w:eastAsia="Times New Roman" w:hAnsi="Times New Roman"/>
          <w:sz w:val="19"/>
          <w:szCs w:val="19"/>
          <w:b w:val="1"/>
          <w:bCs w:val="1"/>
          <w:i w:val="1"/>
          <w:iCs w:val="1"/>
          <w:color w:val="auto"/>
        </w:rPr>
        <w:t>Payment Impacted Class</w:t>
      </w:r>
      <w:r>
        <w:rPr>
          <w:rFonts w:ascii="Times New Roman" w:cs="Times New Roman" w:eastAsia="Times New Roman" w:hAnsi="Times New Roman"/>
          <w:sz w:val="19"/>
          <w:szCs w:val="19"/>
          <w:color w:val="auto"/>
        </w:rPr>
        <w:t>”) in an amount equal to the Erroneous Payment Return Deficiency (or such lesser amount as the Administrative Agent</w:t>
      </w:r>
    </w:p>
    <w:p>
      <w:pPr>
        <w:spacing w:after="0" w:line="207" w:lineRule="auto"/>
        <w:rPr>
          <w:sz w:val="20"/>
          <w:szCs w:val="20"/>
          <w:color w:val="auto"/>
        </w:rPr>
      </w:pPr>
      <w:r>
        <w:rPr>
          <w:rFonts w:ascii="Times New Roman" w:cs="Times New Roman" w:eastAsia="Times New Roman" w:hAnsi="Times New Roman"/>
          <w:sz w:val="19"/>
          <w:szCs w:val="19"/>
          <w:color w:val="auto"/>
        </w:rPr>
        <w:t>may specify) (such assignment of the Loans (but not Commitments) of the Erroneous Payment Impacted Class, the “</w:t>
      </w:r>
      <w:r>
        <w:rPr>
          <w:rFonts w:ascii="Times New Roman" w:cs="Times New Roman" w:eastAsia="Times New Roman" w:hAnsi="Times New Roman"/>
          <w:sz w:val="19"/>
          <w:szCs w:val="19"/>
          <w:b w:val="1"/>
          <w:bCs w:val="1"/>
          <w:i w:val="1"/>
          <w:iCs w:val="1"/>
          <w:color w:val="auto"/>
        </w:rPr>
        <w:t>Erroneous 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Deficiency Assignment</w:t>
      </w:r>
      <w:r>
        <w:rPr>
          <w:rFonts w:ascii="Times New Roman" w:cs="Times New Roman" w:eastAsia="Times New Roman" w:hAnsi="Times New Roman"/>
          <w:sz w:val="19"/>
          <w:szCs w:val="19"/>
          <w:color w:val="auto"/>
        </w:rPr>
        <w:t>”) at par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any accrued and unpaid interest (with the assignment fee to be waived by the Administrative Agent in such</w:t>
      </w:r>
    </w:p>
    <w:p>
      <w:pPr>
        <w:spacing w:after="0" w:line="215" w:lineRule="auto"/>
        <w:rPr>
          <w:sz w:val="20"/>
          <w:szCs w:val="20"/>
          <w:color w:val="auto"/>
        </w:rPr>
      </w:pPr>
      <w:r>
        <w:rPr>
          <w:rFonts w:ascii="Times New Roman" w:cs="Times New Roman" w:eastAsia="Times New Roman" w:hAnsi="Times New Roman"/>
          <w:sz w:val="19"/>
          <w:szCs w:val="19"/>
          <w:color w:val="auto"/>
        </w:rPr>
        <w:t>instance), and is hereby (together with the Borrower) deemed to execute and deliver an Assignment and Assumption (or, to the extent applicable,</w:t>
      </w:r>
    </w:p>
    <w:p>
      <w:pPr>
        <w:spacing w:after="0" w:line="207" w:lineRule="auto"/>
        <w:rPr>
          <w:sz w:val="20"/>
          <w:szCs w:val="20"/>
          <w:color w:val="auto"/>
        </w:rPr>
      </w:pPr>
      <w:r>
        <w:rPr>
          <w:rFonts w:ascii="Times New Roman" w:cs="Times New Roman" w:eastAsia="Times New Roman" w:hAnsi="Times New Roman"/>
          <w:sz w:val="19"/>
          <w:szCs w:val="19"/>
          <w:color w:val="auto"/>
        </w:rPr>
        <w:t>an agreement incorporating an Assignment and Assumption by reference pursuant to a Platform as to which the Administrative Agent and such parties are participants) with respect to such Erroneous Payment Deficiency Assignment, and such Lender or Issuing Lender shall deliver any</w:t>
      </w:r>
    </w:p>
    <w:p>
      <w:pPr>
        <w:spacing w:after="0" w:line="215" w:lineRule="auto"/>
        <w:rPr>
          <w:sz w:val="20"/>
          <w:szCs w:val="20"/>
          <w:color w:val="auto"/>
        </w:rPr>
      </w:pPr>
      <w:r>
        <w:rPr>
          <w:rFonts w:ascii="Times New Roman" w:cs="Times New Roman" w:eastAsia="Times New Roman" w:hAnsi="Times New Roman"/>
          <w:sz w:val="19"/>
          <w:szCs w:val="19"/>
          <w:color w:val="auto"/>
        </w:rPr>
        <w:t>Notes evidencing such Loans to the Borrower or the Administrative Agent, (ii) the Administrative Agent as the assignee Lender shall be deemed</w:t>
      </w:r>
    </w:p>
    <w:p>
      <w:pPr>
        <w:spacing w:after="0" w:line="207" w:lineRule="auto"/>
        <w:rPr>
          <w:sz w:val="20"/>
          <w:szCs w:val="20"/>
          <w:color w:val="auto"/>
        </w:rPr>
      </w:pPr>
      <w:r>
        <w:rPr>
          <w:rFonts w:ascii="Times New Roman" w:cs="Times New Roman" w:eastAsia="Times New Roman" w:hAnsi="Times New Roman"/>
          <w:sz w:val="19"/>
          <w:szCs w:val="19"/>
          <w:color w:val="auto"/>
        </w:rPr>
        <w:t>to acquire the Erroneous Payment Deficiency Assignment, (iii) upon such deemed acquisition, the Administrative Agent as the assignee Lender shall become a Lender or Issuing Lender, as applicable, hereunder with respect to such Erroneous Payment Deficiency Assignment and the</w:t>
      </w:r>
    </w:p>
    <w:p>
      <w:pPr>
        <w:spacing w:after="0" w:line="215" w:lineRule="auto"/>
        <w:rPr>
          <w:sz w:val="20"/>
          <w:szCs w:val="20"/>
          <w:color w:val="auto"/>
        </w:rPr>
      </w:pPr>
      <w:r>
        <w:rPr>
          <w:rFonts w:ascii="Times New Roman" w:cs="Times New Roman" w:eastAsia="Times New Roman" w:hAnsi="Times New Roman"/>
          <w:sz w:val="19"/>
          <w:szCs w:val="19"/>
          <w:color w:val="auto"/>
        </w:rPr>
        <w:t>assigning Lender or assigning Issuing Lender shall cease to be a Lender or Issuing Lender, as applicable, hereunder with respect to such Erroneous</w:t>
      </w:r>
    </w:p>
    <w:p>
      <w:pPr>
        <w:spacing w:after="0" w:line="207" w:lineRule="auto"/>
        <w:rPr>
          <w:sz w:val="20"/>
          <w:szCs w:val="20"/>
          <w:color w:val="auto"/>
        </w:rPr>
      </w:pPr>
      <w:r>
        <w:rPr>
          <w:rFonts w:ascii="Times New Roman" w:cs="Times New Roman" w:eastAsia="Times New Roman" w:hAnsi="Times New Roman"/>
          <w:sz w:val="19"/>
          <w:szCs w:val="19"/>
          <w:color w:val="auto"/>
        </w:rPr>
        <w:t>Payment Deficiency Assignment, excluding, for the avoidance of doubt, its obligations under the indemnification provisions of this Agreement and its applicable Commitments which shall survive as to such assigning Lender or assigning Issuing Lender and (iv) the Administrative Agent</w:t>
      </w:r>
    </w:p>
    <w:p>
      <w:pPr>
        <w:spacing w:after="0" w:line="215" w:lineRule="auto"/>
        <w:rPr>
          <w:sz w:val="20"/>
          <w:szCs w:val="20"/>
          <w:color w:val="auto"/>
        </w:rPr>
      </w:pPr>
      <w:r>
        <w:rPr>
          <w:rFonts w:ascii="Times New Roman" w:cs="Times New Roman" w:eastAsia="Times New Roman" w:hAnsi="Times New Roman"/>
          <w:sz w:val="19"/>
          <w:szCs w:val="19"/>
          <w:color w:val="auto"/>
        </w:rPr>
        <w:t>may reflect in the Register its ownership interest in the Loans subject to the Erroneous Payment Deficiency Assignment. The Administrative</w:t>
      </w:r>
    </w:p>
    <w:p>
      <w:pPr>
        <w:spacing w:after="0" w:line="207" w:lineRule="auto"/>
        <w:rPr>
          <w:sz w:val="20"/>
          <w:szCs w:val="20"/>
          <w:color w:val="auto"/>
        </w:rPr>
      </w:pPr>
      <w:r>
        <w:rPr>
          <w:rFonts w:ascii="Times New Roman" w:cs="Times New Roman" w:eastAsia="Times New Roman" w:hAnsi="Times New Roman"/>
          <w:sz w:val="19"/>
          <w:szCs w:val="19"/>
          <w:color w:val="auto"/>
        </w:rPr>
        <w:t>Agent may, in its discretion, sell any Loans acquired pursuant to an Erroneous Payment Deficiency Assignment and upon receipt of the proceeds of such sale, the Erroneous Payment Return Deficiency owing by the applicable Lender or Issuing Lender shall be reduced by the net proceeds of</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the sale of such Loan (or portion thereof), and the Administrative Agent shall retain all other rights, remedies and claims against such Lender or Issuing Lender (and/or against any recipient that receives funds on its respective behalf). For the avoidance of doubt, no Erroneous Payment</w:t>
      </w:r>
    </w:p>
    <w:p>
      <w:pPr>
        <w:spacing w:after="0" w:line="215" w:lineRule="auto"/>
        <w:rPr>
          <w:sz w:val="20"/>
          <w:szCs w:val="20"/>
          <w:color w:val="auto"/>
        </w:rPr>
      </w:pPr>
      <w:r>
        <w:rPr>
          <w:rFonts w:ascii="Times New Roman" w:cs="Times New Roman" w:eastAsia="Times New Roman" w:hAnsi="Times New Roman"/>
          <w:sz w:val="19"/>
          <w:szCs w:val="19"/>
          <w:color w:val="auto"/>
        </w:rPr>
        <w:t>Deficiency Assignment will reduce the Commitments of any Lender or Issuing Lender and such Commitments shall remain available in</w:t>
      </w:r>
    </w:p>
    <w:p>
      <w:pPr>
        <w:spacing w:after="0" w:line="207" w:lineRule="auto"/>
        <w:rPr>
          <w:sz w:val="20"/>
          <w:szCs w:val="20"/>
          <w:color w:val="auto"/>
        </w:rPr>
      </w:pPr>
      <w:r>
        <w:rPr>
          <w:rFonts w:ascii="Times New Roman" w:cs="Times New Roman" w:eastAsia="Times New Roman" w:hAnsi="Times New Roman"/>
          <w:sz w:val="19"/>
          <w:szCs w:val="19"/>
          <w:color w:val="auto"/>
        </w:rPr>
        <w:t>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w:t>
      </w:r>
    </w:p>
    <w:p>
      <w:pPr>
        <w:spacing w:after="0" w:line="215" w:lineRule="auto"/>
        <w:rPr>
          <w:sz w:val="20"/>
          <w:szCs w:val="20"/>
          <w:color w:val="auto"/>
        </w:rPr>
      </w:pPr>
      <w:r>
        <w:rPr>
          <w:rFonts w:ascii="Times New Roman" w:cs="Times New Roman" w:eastAsia="Times New Roman" w:hAnsi="Times New Roman"/>
          <w:sz w:val="19"/>
          <w:szCs w:val="19"/>
          <w:color w:val="auto"/>
        </w:rPr>
        <w:t>Agent may be equitably subrogated, the Administrative Agent shall be contractually subrogated to all the rights and interests of the applicable</w:t>
      </w:r>
    </w:p>
    <w:p>
      <w:pPr>
        <w:spacing w:after="0" w:line="225" w:lineRule="auto"/>
        <w:rPr>
          <w:sz w:val="20"/>
          <w:szCs w:val="20"/>
          <w:color w:val="auto"/>
        </w:rPr>
      </w:pPr>
      <w:r>
        <w:rPr>
          <w:rFonts w:ascii="Times New Roman" w:cs="Times New Roman" w:eastAsia="Times New Roman" w:hAnsi="Times New Roman"/>
          <w:sz w:val="19"/>
          <w:szCs w:val="19"/>
          <w:color w:val="auto"/>
        </w:rPr>
        <w:t>Lender, Issuing Lender or Secured Party under the Loan Documents with respect to each Erroneous Payment Return Deficiency (the “</w:t>
      </w:r>
      <w:r>
        <w:rPr>
          <w:rFonts w:ascii="Times New Roman" w:cs="Times New Roman" w:eastAsia="Times New Roman" w:hAnsi="Times New Roman"/>
          <w:sz w:val="19"/>
          <w:szCs w:val="19"/>
          <w:b w:val="1"/>
          <w:bCs w:val="1"/>
          <w:i w:val="1"/>
          <w:iCs w:val="1"/>
          <w:color w:val="auto"/>
        </w:rPr>
        <w:t>Erroneous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Payment Subrogation Rights</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jc w:val="both"/>
        <w:ind w:firstLine="1254"/>
        <w:spacing w:after="0" w:line="226" w:lineRule="auto"/>
        <w:tabs>
          <w:tab w:leader="none" w:pos="1866"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53" w:lineRule="exact"/>
        <w:rPr>
          <w:rFonts w:ascii="Times New Roman" w:cs="Times New Roman" w:eastAsia="Times New Roman" w:hAnsi="Times New Roman"/>
          <w:sz w:val="19"/>
          <w:szCs w:val="19"/>
          <w:color w:val="auto"/>
        </w:rPr>
      </w:pPr>
    </w:p>
    <w:p>
      <w:pPr>
        <w:jc w:val="both"/>
        <w:ind w:firstLine="1254"/>
        <w:spacing w:after="0" w:line="226" w:lineRule="auto"/>
        <w:tabs>
          <w:tab w:leader="none" w:pos="1871"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40"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3"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party’s obligations, agreements and waivers under this </w:t>
      </w:r>
      <w:r>
        <w:rPr>
          <w:rFonts w:ascii="Times New Roman" w:cs="Times New Roman" w:eastAsia="Times New Roman" w:hAnsi="Times New Roman"/>
          <w:sz w:val="19"/>
          <w:szCs w:val="19"/>
          <w:u w:val="single" w:color="auto"/>
          <w:color w:val="auto"/>
        </w:rPr>
        <w:t>Section 9.15</w:t>
      </w:r>
      <w:r>
        <w:rPr>
          <w:rFonts w:ascii="Times New Roman" w:cs="Times New Roman" w:eastAsia="Times New Roman" w:hAnsi="Times New Roman"/>
          <w:sz w:val="19"/>
          <w:szCs w:val="19"/>
          <w:color w:val="auto"/>
        </w:rPr>
        <w:t xml:space="preserve"> shall survive the resignation or replacement of the Administrative Agent, any transfer of rights or obligations by, or the replacement of, a Lender or Issuing Lender, the termination of the Commitments and/or the repayment, satisfaction or discharge of all Obligations (or any portion thereof) under any Loan Document.</w:t>
      </w:r>
    </w:p>
    <w:p>
      <w:pPr>
        <w:spacing w:after="0" w:line="14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Section 10</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b w:val="1"/>
          <w:bCs w:val="1"/>
          <w:color w:val="auto"/>
        </w:rPr>
        <w:t>MISCELLANEOUS</w:t>
      </w:r>
    </w:p>
    <w:p>
      <w:pPr>
        <w:spacing w:after="0" w:line="16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10.1</w:t>
        <w:tab/>
        <w:t>Amendments and Waivers.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118</w:t>
      </w:r>
    </w:p>
    <w:p>
      <w:pPr>
        <w:sectPr>
          <w:pgSz w:w="11900" w:h="16838" w:orient="portrait"/>
          <w:cols w:equalWidth="0" w:num="1">
            <w:col w:w="11240"/>
          </w:cols>
          <w:pgMar w:left="320" w:top="1350" w:right="339" w:bottom="1440" w:gutter="0" w:footer="0" w:header="0"/>
        </w:sectPr>
      </w:pPr>
    </w:p>
    <w:bookmarkStart w:id="250" w:name="page251"/>
    <w:bookmarkEnd w:id="250"/>
    <w:p>
      <w:pPr>
        <w:jc w:val="both"/>
        <w:ind w:firstLine="1254"/>
        <w:spacing w:after="0" w:line="211" w:lineRule="auto"/>
        <w:tabs>
          <w:tab w:leader="none" w:pos="1866"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this Agreement, any other Loan Document, nor any terms hereof or thereof may be amended, supplemented or modified except in accordance with the provisions of this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(except that no amendment or modification of defined terms used in the financial covenants in this Agreement or waiver of any Default or Event of Default or the right to receive interest at the Default Rate shall constitute a reduction in the rate of interest or fees for purposes of this clause (A)) or extend the scheduled date of any payment thereof, or increase the amount or extend the expiration date of any Lender’s Revolving Commitment or Term Commitment, in each case, without the written consent of each Lender directly affected thereby; (B) eliminate or reduce the voting rights of any Lender under this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all or substantially all of the Guarantors from their obligations under the Guarantee and Collateral Agreement, in each case without the written consent of all Lenders; (D) (i) amend, modify or waive the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requirements of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any other provision of the Loan Documents requiring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treatment of the Lenders in a manner that adversely affects Revolving Lenders without the written consent of each Revolving Lender or (ii) amend, modify or waive the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requirements of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or any other provision of the Loan Documents requiring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treatment of the Lenders in a manner that adversely affects Term Lenders or the L/C Lenders without the written consent of each Term Lender and/or, as applicable, each L/C Lender; (E) reduce the percentage specified in the definition of Majority Revolving Lenders without the written consent of all Revolving Lenders or reduce the percentage specified in the definition of Majority Term Lenders without the written consent of all Term Lenders; (F) amend, modify or waive any provision of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without the written consent of the Administrative Agent; (G) amend, modify or waive any provision of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2.7</w:t>
      </w:r>
      <w:r>
        <w:rPr>
          <w:rFonts w:ascii="Times New Roman" w:cs="Times New Roman" w:eastAsia="Times New Roman" w:hAnsi="Times New Roman"/>
          <w:sz w:val="19"/>
          <w:szCs w:val="19"/>
          <w:color w:val="auto"/>
        </w:rPr>
        <w:t xml:space="preserve"> without the written consent of the Swingline Lender; (H) amend, modify or waive any provision of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without the written consent of the Issuing Lender; (I) (i) amend or modify the application of prepayments set forth in </w:t>
      </w:r>
      <w:r>
        <w:rPr>
          <w:rFonts w:ascii="Times New Roman" w:cs="Times New Roman" w:eastAsia="Times New Roman" w:hAnsi="Times New Roman"/>
          <w:sz w:val="19"/>
          <w:szCs w:val="19"/>
          <w:u w:val="single" w:color="auto"/>
          <w:color w:val="auto"/>
        </w:rPr>
        <w:t>Section 2.12(c)</w:t>
      </w:r>
      <w:r>
        <w:rPr>
          <w:rFonts w:ascii="Times New Roman" w:cs="Times New Roman" w:eastAsia="Times New Roman" w:hAnsi="Times New Roman"/>
          <w:sz w:val="19"/>
          <w:szCs w:val="19"/>
          <w:color w:val="auto"/>
        </w:rPr>
        <w:t xml:space="preserve"> or the application of payments set forth in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 xml:space="preserve"> in a manner that adversely affects Revolving Lenders without the written consent of the Majority Revolving Lenders, (ii) amend or modify the application of prepayments set forth in </w:t>
      </w:r>
      <w:r>
        <w:rPr>
          <w:rFonts w:ascii="Times New Roman" w:cs="Times New Roman" w:eastAsia="Times New Roman" w:hAnsi="Times New Roman"/>
          <w:sz w:val="19"/>
          <w:szCs w:val="19"/>
          <w:u w:val="single" w:color="auto"/>
          <w:color w:val="auto"/>
        </w:rPr>
        <w:t>Section 2.12(c)</w:t>
      </w:r>
      <w:r>
        <w:rPr>
          <w:rFonts w:ascii="Times New Roman" w:cs="Times New Roman" w:eastAsia="Times New Roman" w:hAnsi="Times New Roman"/>
          <w:sz w:val="19"/>
          <w:szCs w:val="19"/>
          <w:color w:val="auto"/>
        </w:rPr>
        <w:t xml:space="preserve"> or the application of payments set forth in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 xml:space="preserve"> in a manner that adversely affects Term Lenders or the L/C Lenders without the written consent of the Majority Term Lenders and, as applicable, the L/C Lenders, or (iii) amend or modify the application of payments provisions set forth in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 xml:space="preserve"> in a manner that adversely affects the Issuing Lender, any Cash Management Bank or any Qualified Counterparty, as applicable, without the written consent of the Issuing Lender, such Cash Management Bank or any such Qualified Counterparty, as applicable; or (J) subordinate the Obligations under the Facilities or Liens securing such Obligations (other than with respect to Liens constituting purchase money Liens and Capital Lease Obligations) without the written consent of each Lender. Any such waiver and any such amendment, supplement or modification shall apply equally to each of the Lenders and shall be binding upon the Loan Parties, the Lenders, the Administrative Agent, the Issuing Lender,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w:t>
      </w:r>
    </w:p>
    <w:p>
      <w:pPr>
        <w:spacing w:after="0" w:line="167" w:lineRule="exact"/>
        <w:rPr>
          <w:rFonts w:ascii="Times New Roman" w:cs="Times New Roman" w:eastAsia="Times New Roman" w:hAnsi="Times New Roman"/>
          <w:sz w:val="19"/>
          <w:szCs w:val="19"/>
          <w:color w:val="auto"/>
        </w:rPr>
      </w:pPr>
    </w:p>
    <w:p>
      <w:pPr>
        <w:jc w:val="both"/>
        <w:ind w:firstLine="1254"/>
        <w:spacing w:after="0" w:line="229" w:lineRule="auto"/>
        <w:tabs>
          <w:tab w:leader="none" w:pos="1863"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contained in </w:t>
      </w:r>
      <w:r>
        <w:rPr>
          <w:rFonts w:ascii="Times New Roman" w:cs="Times New Roman" w:eastAsia="Times New Roman" w:hAnsi="Times New Roman"/>
          <w:sz w:val="19"/>
          <w:szCs w:val="19"/>
          <w:u w:val="single" w:color="auto"/>
          <w:color w:val="auto"/>
        </w:rPr>
        <w:t>Section 10.1(a)</w:t>
      </w:r>
      <w:r>
        <w:rPr>
          <w:rFonts w:ascii="Times New Roman" w:cs="Times New Roman" w:eastAsia="Times New Roman" w:hAnsi="Times New Roman"/>
          <w:sz w:val="19"/>
          <w:szCs w:val="19"/>
          <w:color w:val="auto"/>
        </w:rPr>
        <w:t xml:space="preserve"> above, in the event that (i) the Borrower requests that this Agreement or any of the other Loan Documents be amended or otherwise modified in a manner which would require the consent of all of the Lenders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119</w:t>
      </w:r>
    </w:p>
    <w:p>
      <w:pPr>
        <w:sectPr>
          <w:pgSz w:w="11900" w:h="16838" w:orient="portrait"/>
          <w:cols w:equalWidth="0" w:num="1">
            <w:col w:w="11240"/>
          </w:cols>
          <w:pgMar w:left="320" w:top="1354"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9"/>
          <w:szCs w:val="19"/>
          <w:color w:val="auto"/>
        </w:rPr>
        <w:t>such amendment or other modification is agreed to by the Borrower, the Required Lenders and the Administrative Agent or (ii) any Disqualified</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Institution becomes a Lender in contravention of </w:t>
      </w:r>
      <w:r>
        <w:rPr>
          <w:rFonts w:ascii="Times New Roman" w:cs="Times New Roman" w:eastAsia="Times New Roman" w:hAnsi="Times New Roman"/>
          <w:sz w:val="19"/>
          <w:szCs w:val="19"/>
          <w:u w:val="single" w:color="auto"/>
          <w:color w:val="auto"/>
        </w:rPr>
        <w:t>Section 10.6(b)(v)</w:t>
      </w:r>
      <w:r>
        <w:rPr>
          <w:rFonts w:ascii="Times New Roman" w:cs="Times New Roman" w:eastAsia="Times New Roman" w:hAnsi="Times New Roman"/>
          <w:sz w:val="19"/>
          <w:szCs w:val="19"/>
          <w:color w:val="auto"/>
        </w:rPr>
        <w:t>, then, with the consent of the Borrower, the Administrative Agent and the Required Lenders, this Agreement or such other Loan Document may be amended without the consent of the Lender or Lenders who are unwilling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agree to such amendment or other modification (each, a “</w:t>
      </w:r>
      <w:r>
        <w:rPr>
          <w:rFonts w:ascii="Times New Roman" w:cs="Times New Roman" w:eastAsia="Times New Roman" w:hAnsi="Times New Roman"/>
          <w:sz w:val="19"/>
          <w:szCs w:val="19"/>
          <w:b w:val="1"/>
          <w:bCs w:val="1"/>
          <w:i w:val="1"/>
          <w:iCs w:val="1"/>
          <w:color w:val="auto"/>
        </w:rPr>
        <w:t>Minority Lender</w:t>
      </w:r>
      <w:r>
        <w:rPr>
          <w:rFonts w:ascii="Times New Roman" w:cs="Times New Roman" w:eastAsia="Times New Roman" w:hAnsi="Times New Roman"/>
          <w:sz w:val="19"/>
          <w:szCs w:val="19"/>
          <w:color w:val="auto"/>
        </w:rPr>
        <w:t>”), to provide for:</w:t>
      </w:r>
    </w:p>
    <w:p>
      <w:pPr>
        <w:spacing w:after="0" w:line="163" w:lineRule="exact"/>
        <w:rPr>
          <w:sz w:val="20"/>
          <w:szCs w:val="20"/>
          <w:color w:val="auto"/>
        </w:rPr>
      </w:pPr>
    </w:p>
    <w:p>
      <w:pPr>
        <w:ind w:left="2500" w:hanging="620"/>
        <w:spacing w:after="0"/>
        <w:tabs>
          <w:tab w:leader="none" w:pos="2500"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termination of the Commitment of each such Minority Lender;</w:t>
      </w:r>
    </w:p>
    <w:p>
      <w:pPr>
        <w:spacing w:after="0" w:line="172" w:lineRule="exact"/>
        <w:rPr>
          <w:rFonts w:ascii="Times New Roman" w:cs="Times New Roman" w:eastAsia="Times New Roman" w:hAnsi="Times New Roman"/>
          <w:sz w:val="19"/>
          <w:szCs w:val="19"/>
          <w:color w:val="auto"/>
        </w:rPr>
      </w:pPr>
    </w:p>
    <w:p>
      <w:pPr>
        <w:ind w:firstLine="1880"/>
        <w:spacing w:after="0" w:line="249" w:lineRule="auto"/>
        <w:tabs>
          <w:tab w:leader="none" w:pos="2499"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assumption of the Loans and Commitment of each such Minority Lender by one or more Replacement Lenders pursuant to the provisions of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and</w:t>
      </w:r>
    </w:p>
    <w:p>
      <w:pPr>
        <w:spacing w:after="0" w:line="145" w:lineRule="exact"/>
        <w:rPr>
          <w:rFonts w:ascii="Times New Roman" w:cs="Times New Roman" w:eastAsia="Times New Roman" w:hAnsi="Times New Roman"/>
          <w:sz w:val="19"/>
          <w:szCs w:val="19"/>
          <w:color w:val="auto"/>
        </w:rPr>
      </w:pPr>
    </w:p>
    <w:p>
      <w:pPr>
        <w:jc w:val="both"/>
        <w:ind w:firstLine="1880"/>
        <w:spacing w:after="0" w:line="229" w:lineRule="auto"/>
        <w:tabs>
          <w:tab w:leader="none" w:pos="2500" w:val="left"/>
        </w:tabs>
        <w:numPr>
          <w:ilvl w:val="1"/>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spacing w:after="0" w:line="156" w:lineRule="exact"/>
        <w:rPr>
          <w:rFonts w:ascii="Times New Roman" w:cs="Times New Roman" w:eastAsia="Times New Roman" w:hAnsi="Times New Roman"/>
          <w:sz w:val="19"/>
          <w:szCs w:val="19"/>
          <w:color w:val="auto"/>
        </w:rPr>
      </w:pPr>
    </w:p>
    <w:p>
      <w:pPr>
        <w:jc w:val="both"/>
        <w:ind w:firstLine="1254"/>
        <w:spacing w:after="0" w:line="216" w:lineRule="auto"/>
        <w:tabs>
          <w:tab w:leader="none" w:pos="1866" w:val="left"/>
        </w:tabs>
        <w:numPr>
          <w:ilvl w:val="0"/>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herein to the contrary, this Agreement may be amended (or amended and restated) with the written consent of the Required Lenders, the Administrative Agent, and the Borrower, (i) to add one or more additional credit or term loan facilities to this Agreement and to permit all such additional Credit Extensions and all related obligations and liabilities arising in connection therewith and from time to time outstanding thereunder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and Majority Revolving Lenders or Majority Term Lenders, as applicable.</w:t>
      </w:r>
    </w:p>
    <w:p>
      <w:pPr>
        <w:spacing w:after="0" w:line="159" w:lineRule="exact"/>
        <w:rPr>
          <w:rFonts w:ascii="Times New Roman" w:cs="Times New Roman" w:eastAsia="Times New Roman" w:hAnsi="Times New Roman"/>
          <w:sz w:val="19"/>
          <w:szCs w:val="19"/>
          <w:color w:val="auto"/>
        </w:rPr>
      </w:pPr>
    </w:p>
    <w:p>
      <w:pPr>
        <w:ind w:firstLine="1254"/>
        <w:spacing w:after="0" w:line="237" w:lineRule="auto"/>
        <w:tabs>
          <w:tab w:leader="none" w:pos="1863" w:val="left"/>
        </w:tabs>
        <w:numPr>
          <w:ilvl w:val="0"/>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herein to the contrary, any Cash Management Agreement may be amended or otherwise modified by the parties thereto in accordance with the terms thereof without the consent of the Administrative Agent or any Lender.</w:t>
      </w:r>
    </w:p>
    <w:p>
      <w:pPr>
        <w:spacing w:after="0" w:line="154"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6" w:val="left"/>
        </w:tabs>
        <w:numPr>
          <w:ilvl w:val="0"/>
          <w:numId w:val="2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herein or in any other Loan Document to the contrary,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w:t>
      </w:r>
    </w:p>
    <w:p>
      <w:pPr>
        <w:spacing w:after="0" w:line="142" w:lineRule="exact"/>
        <w:rPr>
          <w:sz w:val="20"/>
          <w:szCs w:val="20"/>
          <w:color w:val="auto"/>
        </w:rPr>
      </w:pPr>
    </w:p>
    <w:p>
      <w:pPr>
        <w:jc w:val="both"/>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10.2 Notices</w:t>
      </w:r>
      <w:r>
        <w:rPr>
          <w:rFonts w:ascii="Times New Roman" w:cs="Times New Roman" w:eastAsia="Times New Roman" w:hAnsi="Times New Roman"/>
          <w:sz w:val="19"/>
          <w:szCs w:val="19"/>
          <w:color w:val="auto"/>
        </w:rPr>
        <w:t>. All notices, requests and demands to or upon the respective parties hereto to be effective shall be in writing (including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facsimile or electronic mail), and, unless otherwise expressly provided herein, shall be deemed to have been duly given or made when delivered,</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or three Business Days after being deposited in the mail, postage prepaid, or, in the case of facsimile or electronic mail notice, when received, addressed as follows in the case of the Borrower, Holdings and the Administrative Agent, and as set forth in an administrative questionnaire</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delivered to the Administrative Agent in the case of the Lenders, or to such other address as may be hereafter notified by the respective parties hereto: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120</w:t>
      </w:r>
    </w:p>
    <w:p>
      <w:pPr>
        <w:sectPr>
          <w:pgSz w:w="11900" w:h="16838" w:orient="portrait"/>
          <w:cols w:equalWidth="0" w:num="1">
            <w:col w:w="11240"/>
          </w:cols>
          <w:pgMar w:left="320" w:top="1353" w:right="339" w:bottom="1440" w:gutter="0" w:footer="0" w:header="0"/>
        </w:sectPr>
      </w:pPr>
    </w:p>
    <w:bookmarkStart w:id="252" w:name="page253"/>
    <w:bookmarkEnd w:id="252"/>
    <w:p>
      <w:pPr>
        <w:ind w:left="1320"/>
        <w:spacing w:after="0"/>
        <w:rPr>
          <w:sz w:val="20"/>
          <w:szCs w:val="20"/>
          <w:color w:val="auto"/>
        </w:rPr>
      </w:pPr>
      <w:r>
        <w:rPr>
          <w:rFonts w:ascii="Times New Roman" w:cs="Times New Roman" w:eastAsia="Times New Roman" w:hAnsi="Times New Roman"/>
          <w:sz w:val="19"/>
          <w:szCs w:val="19"/>
          <w:color w:val="auto"/>
        </w:rPr>
        <w:t>Borrower/Holdings: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9"/>
          <w:szCs w:val="19"/>
          <w:color w:val="auto"/>
        </w:rPr>
        <w:t>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AirSculpt Technologies,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1200 Broadway, Suite 715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Nashville, Tennessee 37203</w:t>
      </w:r>
    </w:p>
    <w:p>
      <w:pPr>
        <w:spacing w:after="0" w:line="1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color w:val="auto"/>
        </w:rPr>
        <w:t>Attention:</w:t>
        <w:tab/>
        <w:t>Dennis Dean</w:t>
      </w:r>
    </w:p>
    <w:p>
      <w:pPr>
        <w:spacing w:after="0" w:line="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color w:val="auto"/>
        </w:rPr>
        <w:t>Facsimile:</w:t>
        <w:tab/>
        <w:t>N/A</w:t>
      </w:r>
    </w:p>
    <w:p>
      <w:pPr>
        <w:spacing w:after="0" w:line="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9"/>
          <w:szCs w:val="19"/>
          <w:color w:val="auto"/>
        </w:rPr>
        <w:t>Telephone:</w:t>
        <w:tab/>
        <w:t>615-424-0121</w:t>
      </w:r>
    </w:p>
    <w:p>
      <w:pPr>
        <w:spacing w:after="0" w:line="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9"/>
          <w:szCs w:val="19"/>
          <w:color w:val="auto"/>
        </w:rPr>
        <w:t>E-Mail:</w:t>
      </w:r>
      <w:r>
        <w:rPr>
          <w:rFonts w:ascii="Times New Roman" w:cs="Times New Roman" w:eastAsia="Times New Roman" w:hAnsi="Times New Roman"/>
          <w:sz w:val="19"/>
          <w:szCs w:val="19"/>
          <w:color w:val="0000FF"/>
        </w:rPr>
        <w:tab/>
        <w:t>ddean@elitebodysculpture.com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-17780</wp:posOffset>
            </wp:positionV>
            <wp:extent cx="15354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15354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Website URL: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0000FF"/>
        </w:rPr>
        <w:t>www.investors.elitebodysculpture.com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a copy to: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McDermott Will &amp; Emery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333 SE 2nd Avenue, Suite 4500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Miami, Florida 33131-4336</w:t>
      </w:r>
    </w:p>
    <w:p>
      <w:pPr>
        <w:spacing w:after="0" w:line="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color w:val="auto"/>
        </w:rPr>
        <w:t>Attention:</w:t>
        <w:tab/>
        <w:t>Jerry Sokol</w:t>
      </w:r>
    </w:p>
    <w:p>
      <w:pPr>
        <w:spacing w:after="0" w:line="1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color w:val="auto"/>
        </w:rPr>
        <w:t>Facsimile:</w:t>
        <w:tab/>
        <w:t>305-347-6500</w:t>
      </w:r>
    </w:p>
    <w:p>
      <w:pPr>
        <w:spacing w:after="0" w:line="1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9"/>
          <w:szCs w:val="19"/>
          <w:color w:val="auto"/>
        </w:rPr>
        <w:t>Telephone:</w:t>
        <w:tab/>
        <w:t>305-358-3500</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9"/>
          <w:szCs w:val="19"/>
          <w:color w:val="auto"/>
        </w:rPr>
        <w:t>E-Mail:</w:t>
      </w:r>
      <w:r>
        <w:rPr>
          <w:sz w:val="20"/>
          <w:szCs w:val="20"/>
          <w:color w:val="auto"/>
        </w:rPr>
        <w:tab/>
      </w:r>
      <w:r>
        <w:rPr>
          <w:rFonts w:ascii="Times New Roman" w:cs="Times New Roman" w:eastAsia="Times New Roman" w:hAnsi="Times New Roman"/>
          <w:sz w:val="19"/>
          <w:szCs w:val="19"/>
          <w:u w:val="single" w:color="auto"/>
          <w:color w:val="0000FF"/>
        </w:rPr>
        <w:t>jsokol.mwe.com</w:t>
      </w:r>
    </w:p>
    <w:p>
      <w:pPr>
        <w:spacing w:after="0" w:line="1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9"/>
          <w:szCs w:val="19"/>
          <w:color w:val="auto"/>
        </w:rPr>
        <w:t>Website URL:</w:t>
      </w:r>
      <w:r>
        <w:rPr>
          <w:sz w:val="20"/>
          <w:szCs w:val="20"/>
          <w:color w:val="auto"/>
        </w:rPr>
        <w:tab/>
      </w:r>
      <w:r>
        <w:rPr>
          <w:rFonts w:ascii="Times New Roman" w:cs="Times New Roman" w:eastAsia="Times New Roman" w:hAnsi="Times New Roman"/>
          <w:sz w:val="18"/>
          <w:szCs w:val="18"/>
          <w:color w:val="0000FF"/>
        </w:rPr>
        <w:t>www.mwe.com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-17780</wp:posOffset>
            </wp:positionV>
            <wp:extent cx="7594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McDermott Will &amp; Emery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2049 Century Park East, Suite 3200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Los Angeles, California 90067-3206</w:t>
      </w:r>
    </w:p>
    <w:p>
      <w:pPr>
        <w:spacing w:after="0" w:line="1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9"/>
          <w:szCs w:val="19"/>
          <w:color w:val="auto"/>
        </w:rPr>
        <w:t>Attention:</w:t>
        <w:tab/>
        <w:t>Adam G. Spiegel</w:t>
      </w:r>
    </w:p>
    <w:p>
      <w:pPr>
        <w:spacing w:after="0" w:line="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color w:val="auto"/>
        </w:rPr>
        <w:t>Facsimile:</w:t>
        <w:tab/>
        <w:t>310-277-4730</w:t>
      </w:r>
    </w:p>
    <w:p>
      <w:pPr>
        <w:spacing w:after="0" w:line="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9"/>
          <w:szCs w:val="19"/>
          <w:color w:val="auto"/>
        </w:rPr>
        <w:t>Telephone:</w:t>
      </w:r>
      <w:r>
        <w:rPr>
          <w:sz w:val="20"/>
          <w:szCs w:val="20"/>
          <w:color w:val="auto"/>
        </w:rPr>
        <w:tab/>
      </w:r>
      <w:r>
        <w:rPr>
          <w:rFonts w:ascii="Times New Roman" w:cs="Times New Roman" w:eastAsia="Times New Roman" w:hAnsi="Times New Roman"/>
          <w:sz w:val="18"/>
          <w:szCs w:val="18"/>
          <w:color w:val="auto"/>
        </w:rPr>
        <w:t>310-277-4110</w:t>
      </w:r>
    </w:p>
    <w:p>
      <w:pPr>
        <w:spacing w:after="0" w:line="1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9"/>
          <w:szCs w:val="19"/>
          <w:color w:val="auto"/>
        </w:rPr>
        <w:t>E-Mail:</w:t>
      </w:r>
      <w:r>
        <w:rPr>
          <w:sz w:val="20"/>
          <w:szCs w:val="20"/>
          <w:color w:val="auto"/>
        </w:rPr>
        <w:tab/>
      </w:r>
      <w:r>
        <w:rPr>
          <w:rFonts w:ascii="Times New Roman" w:cs="Times New Roman" w:eastAsia="Times New Roman" w:hAnsi="Times New Roman"/>
          <w:sz w:val="18"/>
          <w:szCs w:val="18"/>
          <w:u w:val="single" w:color="auto"/>
          <w:color w:val="0000FF"/>
        </w:rPr>
        <w:t>aspiegel@mwe.com</w:t>
      </w:r>
    </w:p>
    <w:p>
      <w:pPr>
        <w:spacing w:after="0" w:line="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9"/>
          <w:szCs w:val="19"/>
          <w:color w:val="auto"/>
        </w:rPr>
        <w:t>Website URL:</w:t>
      </w:r>
      <w:r>
        <w:rPr>
          <w:sz w:val="20"/>
          <w:szCs w:val="20"/>
          <w:color w:val="auto"/>
        </w:rPr>
        <w:tab/>
      </w:r>
      <w:r>
        <w:rPr>
          <w:rFonts w:ascii="Times New Roman" w:cs="Times New Roman" w:eastAsia="Times New Roman" w:hAnsi="Times New Roman"/>
          <w:sz w:val="18"/>
          <w:szCs w:val="18"/>
          <w:u w:val="single" w:color="auto"/>
          <w:color w:val="0000FF"/>
        </w:rPr>
        <w:t>www.mwe.com</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Silicon Valley Bank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53 State Street</w:t>
      </w:r>
    </w:p>
    <w:p>
      <w:pPr>
        <w:spacing w:after="0" w:line="211" w:lineRule="auto"/>
        <w:rPr>
          <w:sz w:val="20"/>
          <w:szCs w:val="20"/>
          <w:color w:val="auto"/>
        </w:rPr>
      </w:pPr>
      <w:r>
        <w:rPr>
          <w:rFonts w:ascii="Times New Roman" w:cs="Times New Roman" w:eastAsia="Times New Roman" w:hAnsi="Times New Roman"/>
          <w:sz w:val="19"/>
          <w:szCs w:val="19"/>
          <w:color w:val="auto"/>
        </w:rPr>
        <w:t>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Boston, MA 02109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Keith Cox</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kcox@svb.com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a copy to: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Latham &amp; Watkins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1271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 York, NY 10020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Attention: Jesse K. Sheff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jesse.sheff@lw.com</w:t>
      </w:r>
    </w:p>
    <w:p>
      <w:pPr>
        <w:spacing w:after="0" w:line="200" w:lineRule="exact"/>
        <w:rPr>
          <w:sz w:val="20"/>
          <w:szCs w:val="20"/>
          <w:color w:val="auto"/>
        </w:rPr>
      </w:pPr>
    </w:p>
    <w:p>
      <w:pPr>
        <w:sectPr>
          <w:pgSz w:w="11900" w:h="16838" w:orient="portrait"/>
          <w:cols w:equalWidth="0" w:num="2">
            <w:col w:w="3040" w:space="720"/>
            <w:col w:w="6379"/>
          </w:cols>
          <w:pgMar w:left="320" w:top="1406" w:right="1440" w:bottom="144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notice, request or demand to or upon the Administrative Agent or the Lenders shall not be effective until received.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color w:val="auto"/>
        </w:rPr>
        <w:t>121</w:t>
      </w:r>
    </w:p>
    <w:p>
      <w:pPr>
        <w:sectPr>
          <w:pgSz w:w="11900" w:h="16838" w:orient="portrait"/>
          <w:cols w:equalWidth="0" w:num="1">
            <w:col w:w="10139"/>
          </w:cols>
          <w:pgMar w:left="320" w:top="1406" w:right="1440" w:bottom="1440" w:gutter="0" w:footer="0" w:header="0"/>
          <w:type w:val="continuous"/>
        </w:sectPr>
      </w:pPr>
    </w:p>
    <w:bookmarkStart w:id="253" w:name="page254"/>
    <w:bookmarkEnd w:id="253"/>
    <w:p>
      <w:pPr>
        <w:jc w:val="both"/>
        <w:ind w:firstLine="1254"/>
        <w:spacing w:after="0" w:line="214" w:lineRule="auto"/>
        <w:tabs>
          <w:tab w:leader="none" w:pos="1866"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to any Lender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of notification that such notice or communication is available and identifying the website address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both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if such notice or other communication is not sent during the normal business hours of the recipient, such notice or communication shall be deemed to have been sent at the opening of business on the next Business Day for the recipient.</w:t>
      </w:r>
    </w:p>
    <w:p>
      <w:pPr>
        <w:spacing w:after="0" w:line="162" w:lineRule="exact"/>
        <w:rPr>
          <w:rFonts w:ascii="Times New Roman" w:cs="Times New Roman" w:eastAsia="Times New Roman" w:hAnsi="Times New Roman"/>
          <w:sz w:val="19"/>
          <w:szCs w:val="19"/>
          <w:color w:val="auto"/>
        </w:rPr>
      </w:pPr>
    </w:p>
    <w:p>
      <w:pPr>
        <w:ind w:firstLine="1254"/>
        <w:spacing w:after="0" w:line="249" w:lineRule="auto"/>
        <w:tabs>
          <w:tab w:leader="none" w:pos="1863"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party hereto may change its address or facsimile number for notices and other communications hereunder by notice to the other parties hereto.</w:t>
      </w:r>
    </w:p>
    <w:p>
      <w:pPr>
        <w:spacing w:after="0" w:line="132" w:lineRule="exact"/>
        <w:rPr>
          <w:rFonts w:ascii="Times New Roman" w:cs="Times New Roman" w:eastAsia="Times New Roman" w:hAnsi="Times New Roman"/>
          <w:sz w:val="19"/>
          <w:szCs w:val="19"/>
          <w:color w:val="auto"/>
        </w:rPr>
      </w:pPr>
    </w:p>
    <w:p>
      <w:pPr>
        <w:ind w:firstLine="1254"/>
        <w:spacing w:after="0" w:line="249" w:lineRule="auto"/>
        <w:tabs>
          <w:tab w:leader="none" w:pos="1918"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Each Loan Party agrees that the Administrative Agent may, but shall not be obligated to, make the Communications (as defined below) available to the Issuing Lender and the other Lenders by posting the Communications on the Platform.</w:t>
      </w:r>
    </w:p>
    <w:p>
      <w:pPr>
        <w:spacing w:after="0" w:line="158" w:lineRule="exact"/>
        <w:rPr>
          <w:rFonts w:ascii="Times New Roman" w:cs="Times New Roman" w:eastAsia="Times New Roman" w:hAnsi="Times New Roman"/>
          <w:sz w:val="19"/>
          <w:szCs w:val="19"/>
          <w:color w:val="auto"/>
        </w:rPr>
      </w:pPr>
    </w:p>
    <w:p>
      <w:pPr>
        <w:jc w:val="both"/>
        <w:ind w:firstLine="1880"/>
        <w:spacing w:after="0" w:line="253" w:lineRule="auto"/>
        <w:tabs>
          <w:tab w:leader="none" w:pos="2489" w:val="left"/>
        </w:tabs>
        <w:numPr>
          <w:ilvl w:val="1"/>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(ii)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19"/>
          <w:szCs w:val="19"/>
          <w:b w:val="1"/>
          <w:bCs w:val="1"/>
          <w:i w:val="1"/>
          <w:iCs w:val="1"/>
          <w:color w:val="auto"/>
        </w:rPr>
        <w:t>Agent Parties</w:t>
      </w:r>
      <w:r>
        <w:rPr>
          <w:rFonts w:ascii="Times New Roman" w:cs="Times New Roman" w:eastAsia="Times New Roman" w:hAnsi="Times New Roman"/>
          <w:sz w:val="19"/>
          <w:szCs w:val="19"/>
          <w:color w:val="auto"/>
        </w:rPr>
        <w:t>”) have any liability to the Borrower or the other Loan Parties, any Lender or any other Person or entity for damages of any kind, including direct or indirect, special, incidental or consequential damages, losses or expenses (whether in tort, contract or otherwise) arising out of the Borrower’s, any Loan Party’s or the Administrative Agent’s transmission of communications through the Platform. “</w:t>
      </w:r>
      <w:r>
        <w:rPr>
          <w:rFonts w:ascii="Times New Roman" w:cs="Times New Roman" w:eastAsia="Times New Roman" w:hAnsi="Times New Roman"/>
          <w:sz w:val="19"/>
          <w:szCs w:val="19"/>
          <w:b w:val="1"/>
          <w:bCs w:val="1"/>
          <w:i w:val="1"/>
          <w:iCs w:val="1"/>
          <w:color w:val="auto"/>
        </w:rPr>
        <w:t>Communications</w:t>
      </w:r>
      <w:r>
        <w:rPr>
          <w:rFonts w:ascii="Times New Roman" w:cs="Times New Roman" w:eastAsia="Times New Roman" w:hAnsi="Times New Roman"/>
          <w:sz w:val="19"/>
          <w:szCs w:val="19"/>
          <w:color w:val="auto"/>
        </w:rPr>
        <w:t>” means, collectively, any notice, demand, communication, information, document or other material provided by or on behalf of any Loan Party pursuant to any Loan Document or the transactions contemplated therein which is distributed to the Administrative Agent, any Lender or the Issuing Lender by means of electronic communications pursuant to this Section, including through the Platform.</w:t>
      </w:r>
    </w:p>
    <w:p>
      <w:pPr>
        <w:spacing w:after="0" w:line="17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10.3</w:t>
        <w:tab/>
        <w:t xml:space="preserve">No Waiver; Cumulative Remedies. </w:t>
      </w:r>
      <w:r>
        <w:rPr>
          <w:rFonts w:ascii="Times New Roman" w:cs="Times New Roman" w:eastAsia="Times New Roman" w:hAnsi="Times New Roman"/>
          <w:sz w:val="19"/>
          <w:szCs w:val="19"/>
          <w:color w:val="auto"/>
        </w:rPr>
        <w:t>No failure to exercise and no delay in exercising, on the part of the Administrative Agent or</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other right, remedy, power or privilege. The rights, remedies, powers and privileges herein provided are cumulative and not exclusive of any rights, remedies, powers and privileges provided by law.</w:t>
      </w:r>
    </w:p>
    <w:p>
      <w:pPr>
        <w:spacing w:after="0" w:line="140" w:lineRule="exact"/>
        <w:rPr>
          <w:sz w:val="20"/>
          <w:szCs w:val="20"/>
          <w:color w:val="auto"/>
        </w:rPr>
      </w:pPr>
    </w:p>
    <w:p>
      <w:pPr>
        <w:jc w:val="both"/>
        <w:ind w:firstLine="625"/>
        <w:spacing w:after="0" w:line="235" w:lineRule="auto"/>
        <w:rPr>
          <w:sz w:val="20"/>
          <w:szCs w:val="20"/>
          <w:color w:val="auto"/>
        </w:rPr>
      </w:pPr>
      <w:r>
        <w:rPr>
          <w:rFonts w:ascii="Times New Roman" w:cs="Times New Roman" w:eastAsia="Times New Roman" w:hAnsi="Times New Roman"/>
          <w:sz w:val="19"/>
          <w:szCs w:val="19"/>
          <w:b w:val="1"/>
          <w:bCs w:val="1"/>
          <w:color w:val="auto"/>
        </w:rPr>
        <w:t xml:space="preserve">10.4 Survival of Representations and Warranties. </w:t>
      </w:r>
      <w:r>
        <w:rPr>
          <w:rFonts w:ascii="Times New Roman" w:cs="Times New Roman" w:eastAsia="Times New Roman" w:hAnsi="Times New Roman"/>
          <w:sz w:val="19"/>
          <w:szCs w:val="19"/>
          <w:color w:val="auto"/>
        </w:rPr>
        <w:t>All representations and warranties made hereunder, in the other Loan Documents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in any document, certificate or statement delivered pursuant hereto or in connection herewith shall survive the execution and delivery of this Agreement and the making of the Loans and other Credit Extensions hereunder.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122</w:t>
      </w:r>
    </w:p>
    <w:p>
      <w:pPr>
        <w:sectPr>
          <w:pgSz w:w="11900" w:h="16838" w:orient="portrait"/>
          <w:cols w:equalWidth="0" w:num="1">
            <w:col w:w="11240"/>
          </w:cols>
          <w:pgMar w:left="320" w:top="1354" w:right="339" w:bottom="1440" w:gutter="0" w:footer="0" w:header="0"/>
        </w:sectPr>
      </w:pPr>
    </w:p>
    <w:bookmarkStart w:id="254" w:name="page255"/>
    <w:bookmarkEnd w:id="254"/>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10.5</w:t>
        <w:tab/>
        <w:t>Expenses; Indemnity; Damage Waiver.</w:t>
      </w:r>
    </w:p>
    <w:p>
      <w:pPr>
        <w:spacing w:after="0" w:line="187" w:lineRule="exact"/>
        <w:rPr>
          <w:sz w:val="20"/>
          <w:szCs w:val="20"/>
          <w:color w:val="auto"/>
        </w:rPr>
      </w:pPr>
    </w:p>
    <w:p>
      <w:pPr>
        <w:jc w:val="both"/>
        <w:ind w:firstLine="1254"/>
        <w:spacing w:after="0" w:line="214" w:lineRule="auto"/>
        <w:tabs>
          <w:tab w:leader="none" w:pos="1866"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Borrower shall pay (i) all reasonable and documented out-of-pocket expenses incurred by the Administrative Agent and its Affiliates (including the reasonable fees, charges and disbursements of counsel for the Administrative Agent),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Lender in connection with the issuance, amendment, renewal or extension of any Letter of Credit or any demand for payment thereunder, and (iii) all documented and out-of-pocket expenses incurred by the Administrative Agent or any Lender (including the fees, charges and disbursements of any counsel for the Administrative Agent or any Lender, in connection with the enforcement or protection of its rights (A) in connection with this Agreement and the other Loan Documents, including its rights under this Section, or (B) in connection with the Loans made or Letters of Credit issued or participated in hereunder, including all such out-of-pocket expenses incurred during any workout, restructuring or negotiations in respect of such Loans or Letters of Credit.</w:t>
      </w:r>
    </w:p>
    <w:p>
      <w:pPr>
        <w:spacing w:after="0" w:line="162" w:lineRule="exact"/>
        <w:rPr>
          <w:rFonts w:ascii="Times New Roman" w:cs="Times New Roman" w:eastAsia="Times New Roman" w:hAnsi="Times New Roman"/>
          <w:sz w:val="19"/>
          <w:szCs w:val="19"/>
          <w:color w:val="auto"/>
        </w:rPr>
      </w:pPr>
    </w:p>
    <w:p>
      <w:pPr>
        <w:jc w:val="both"/>
        <w:ind w:firstLine="1254"/>
        <w:spacing w:after="0" w:line="222" w:lineRule="auto"/>
        <w:tabs>
          <w:tab w:leader="none" w:pos="1863"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Borrower</w:t>
      </w:r>
      <w:r>
        <w:rPr>
          <w:rFonts w:ascii="Times New Roman" w:cs="Times New Roman" w:eastAsia="Times New Roman" w:hAnsi="Times New Roman"/>
          <w:sz w:val="19"/>
          <w:szCs w:val="19"/>
          <w:color w:val="auto"/>
        </w:rPr>
        <w:t>. The Borrower shall indemnify the Administrative Agent (and any sub-agent thereof), each Lender (including the Issuing Lender), and each Related Party of any of the foregoing Persons (each such Person being called an “</w:t>
      </w:r>
      <w:r>
        <w:rPr>
          <w:rFonts w:ascii="Times New Roman" w:cs="Times New Roman" w:eastAsia="Times New Roman" w:hAnsi="Times New Roman"/>
          <w:sz w:val="19"/>
          <w:szCs w:val="19"/>
          <w:b w:val="1"/>
          <w:bCs w:val="1"/>
          <w:i w:val="1"/>
          <w:iCs w:val="1"/>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liabilities and reasonable and documented out-of-pocket expenses (including the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Holdings or any of its Subsidiaries, or any Environmental Liability related in any way to Holdings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or (z) result from disputes between and among Indemnitees (other than disputes against the Administrative Agent or any Joint Leader Arranger in such capacity or related to any act or omission by Holdings of its Affiliates). This </w:t>
      </w:r>
      <w:r>
        <w:rPr>
          <w:rFonts w:ascii="Times New Roman" w:cs="Times New Roman" w:eastAsia="Times New Roman" w:hAnsi="Times New Roman"/>
          <w:sz w:val="19"/>
          <w:szCs w:val="19"/>
          <w:u w:val="single" w:color="auto"/>
          <w:color w:val="auto"/>
        </w:rPr>
        <w:t>Section 10.5(b)</w:t>
      </w:r>
      <w:r>
        <w:rPr>
          <w:rFonts w:ascii="Times New Roman" w:cs="Times New Roman" w:eastAsia="Times New Roman" w:hAnsi="Times New Roman"/>
          <w:sz w:val="19"/>
          <w:szCs w:val="19"/>
          <w:color w:val="auto"/>
        </w:rPr>
        <w:t xml:space="preserve"> shall not apply with respect to Taxes other than any Taxes that represent losses, claims, damages, etc. arising from any non-Tax claim.</w:t>
      </w:r>
    </w:p>
    <w:p>
      <w:pPr>
        <w:spacing w:after="0" w:line="158" w:lineRule="exact"/>
        <w:rPr>
          <w:rFonts w:ascii="Times New Roman" w:cs="Times New Roman" w:eastAsia="Times New Roman" w:hAnsi="Times New Roman"/>
          <w:sz w:val="19"/>
          <w:szCs w:val="19"/>
          <w:color w:val="auto"/>
        </w:rPr>
      </w:pPr>
    </w:p>
    <w:p>
      <w:pPr>
        <w:jc w:val="both"/>
        <w:ind w:firstLine="1254"/>
        <w:spacing w:after="0" w:line="219" w:lineRule="auto"/>
        <w:tabs>
          <w:tab w:leader="none" w:pos="1866" w:val="left"/>
        </w:tabs>
        <w:numPr>
          <w:ilvl w:val="0"/>
          <w:numId w:val="2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 by Lenders</w:t>
      </w:r>
      <w:r>
        <w:rPr>
          <w:rFonts w:ascii="Times New Roman" w:cs="Times New Roman" w:eastAsia="Times New Roman" w:hAnsi="Times New Roman"/>
          <w:sz w:val="19"/>
          <w:szCs w:val="19"/>
          <w:color w:val="auto"/>
        </w:rPr>
        <w:t xml:space="preserve">. To the extent that the Borrower for any reason fails indefeasibly to pay any amount required under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such unpaid amounts owed to the Issuing Lender or the Swingline Lender solely in its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123</w:t>
      </w:r>
    </w:p>
    <w:p>
      <w:pPr>
        <w:sectPr>
          <w:pgSz w:w="11900" w:h="16838" w:orient="portrait"/>
          <w:cols w:equalWidth="0" w:num="1">
            <w:col w:w="11240"/>
          </w:cols>
          <w:pgMar w:left="320" w:top="1352"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9"/>
          <w:szCs w:val="19"/>
          <w:color w:val="auto"/>
        </w:rPr>
        <w:t>capacity as such, only the Revolving Lenders shall be required to pay such unpaid amounts, such payment to be made severally among them based</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on such Revolving Lenders’ Revolving Percentage (determined as of the time that the applicable unreimbursed expense or indemnity payment is sought)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unreimbursed expense or indemnified loss, claim, damage, liability or related expense, as the case may be, was</w:t>
      </w:r>
    </w:p>
    <w:p>
      <w:pPr>
        <w:spacing w:after="0" w:line="215" w:lineRule="auto"/>
        <w:rPr>
          <w:sz w:val="20"/>
          <w:szCs w:val="20"/>
          <w:color w:val="auto"/>
        </w:rPr>
      </w:pPr>
      <w:r>
        <w:rPr>
          <w:rFonts w:ascii="Times New Roman" w:cs="Times New Roman" w:eastAsia="Times New Roman" w:hAnsi="Times New Roman"/>
          <w:sz w:val="19"/>
          <w:szCs w:val="19"/>
          <w:color w:val="auto"/>
        </w:rPr>
        <w:t>incurred by or asserted against the Administrative Agent (or any such sub-agent), the Issuing Lender or the Swingline Lender in its capacity as</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such, or against any Related Party of any of the foregoing acting for the Administrative Agent (or any such sub-agent), the Issuing Lender or the Swingline Lender in connection with such capacity. The obligations of the Lenders under this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are subject to the provisions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Sections 2.1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2.20(e)</w:t>
      </w:r>
      <w:r>
        <w:rPr>
          <w:rFonts w:ascii="Times New Roman" w:cs="Times New Roman" w:eastAsia="Times New Roman" w:hAnsi="Times New Roman"/>
          <w:sz w:val="19"/>
          <w:szCs w:val="19"/>
          <w:color w:val="auto"/>
        </w:rPr>
        <w:t>.</w:t>
      </w:r>
    </w:p>
    <w:p>
      <w:pPr>
        <w:spacing w:after="0" w:line="163" w:lineRule="exact"/>
        <w:rPr>
          <w:sz w:val="20"/>
          <w:szCs w:val="20"/>
          <w:color w:val="auto"/>
        </w:rPr>
      </w:pPr>
    </w:p>
    <w:p>
      <w:pPr>
        <w:jc w:val="both"/>
        <w:ind w:firstLine="1254"/>
        <w:spacing w:after="0" w:line="219" w:lineRule="auto"/>
        <w:tabs>
          <w:tab w:leader="none" w:pos="1863"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Consequential Damages, Etc.</w:t>
      </w:r>
      <w:r>
        <w:rPr>
          <w:rFonts w:ascii="Times New Roman" w:cs="Times New Roman" w:eastAsia="Times New Roman" w:hAnsi="Times New Roman"/>
          <w:sz w:val="19"/>
          <w:szCs w:val="19"/>
          <w:color w:val="auto"/>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41"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w:t>
      </w:r>
      <w:r>
        <w:rPr>
          <w:rFonts w:ascii="Times New Roman" w:cs="Times New Roman" w:eastAsia="Times New Roman" w:hAnsi="Times New Roman"/>
          <w:sz w:val="19"/>
          <w:szCs w:val="19"/>
          <w:color w:val="auto"/>
        </w:rPr>
        <w:t>. All amounts due under this Section shall be payable within 15 days of written demand therefor.</w:t>
      </w:r>
    </w:p>
    <w:p>
      <w:pPr>
        <w:spacing w:after="0" w:line="185" w:lineRule="exact"/>
        <w:rPr>
          <w:rFonts w:ascii="Times New Roman" w:cs="Times New Roman" w:eastAsia="Times New Roman" w:hAnsi="Times New Roman"/>
          <w:sz w:val="19"/>
          <w:szCs w:val="19"/>
          <w:color w:val="auto"/>
        </w:rPr>
      </w:pPr>
    </w:p>
    <w:p>
      <w:pPr>
        <w:ind w:left="1880" w:hanging="626"/>
        <w:spacing w:after="0"/>
        <w:tabs>
          <w:tab w:leader="none" w:pos="1880" w:val="left"/>
        </w:tabs>
        <w:numPr>
          <w:ilvl w:val="0"/>
          <w:numId w:val="2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Each party’s obligations under this Section shall survive the Discharge of Obligations.</w:t>
      </w:r>
    </w:p>
    <w:p>
      <w:pPr>
        <w:spacing w:after="0" w:line="18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10.6</w:t>
        <w:tab/>
        <w:t>Successors and Assigns; Participations and Assignments.</w:t>
      </w:r>
    </w:p>
    <w:p>
      <w:pPr>
        <w:spacing w:after="0" w:line="174" w:lineRule="exact"/>
        <w:rPr>
          <w:sz w:val="20"/>
          <w:szCs w:val="20"/>
          <w:color w:val="auto"/>
        </w:rPr>
      </w:pPr>
    </w:p>
    <w:p>
      <w:pPr>
        <w:jc w:val="both"/>
        <w:ind w:firstLine="1254"/>
        <w:spacing w:after="0" w:line="216" w:lineRule="auto"/>
        <w:tabs>
          <w:tab w:leader="none" w:pos="1866"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Generally</w:t>
      </w:r>
      <w:r>
        <w:rPr>
          <w:rFonts w:ascii="Times New Roman" w:cs="Times New Roman" w:eastAsia="Times New Roman" w:hAnsi="Times New Roman"/>
          <w:sz w:val="19"/>
          <w:szCs w:val="19"/>
          <w:color w:val="auto"/>
        </w:rPr>
        <w:t xml:space="preserve">. The provisions of this Agreement shall be binding upon and inure to the benefit of the parties hereto and their respective successors and assigns permitted hereby (which, for purposes of this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shall include any Cash Management Bank and any Qualified Counterparty,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(ii) by way of participation in accordance with the provisions of </w:t>
      </w:r>
      <w:r>
        <w:rPr>
          <w:rFonts w:ascii="Times New Roman" w:cs="Times New Roman" w:eastAsia="Times New Roman" w:hAnsi="Times New Roman"/>
          <w:sz w:val="19"/>
          <w:szCs w:val="19"/>
          <w:u w:val="single" w:color="auto"/>
          <w:color w:val="auto"/>
        </w:rPr>
        <w:t>Section 10.6(d)</w:t>
      </w:r>
      <w:r>
        <w:rPr>
          <w:rFonts w:ascii="Times New Roman" w:cs="Times New Roman" w:eastAsia="Times New Roman" w:hAnsi="Times New Roman"/>
          <w:sz w:val="19"/>
          <w:szCs w:val="19"/>
          <w:color w:val="auto"/>
        </w:rPr>
        <w:t xml:space="preserve">, or (iii) by way of pledge or assignment of a security interest subject to the restrictions of </w:t>
      </w:r>
      <w:r>
        <w:rPr>
          <w:rFonts w:ascii="Times New Roman" w:cs="Times New Roman" w:eastAsia="Times New Roman" w:hAnsi="Times New Roman"/>
          <w:sz w:val="19"/>
          <w:szCs w:val="19"/>
          <w:u w:val="single" w:color="auto"/>
          <w:color w:val="auto"/>
        </w:rPr>
        <w:t>Section 10.6(e)</w:t>
      </w:r>
      <w:r>
        <w:rPr>
          <w:rFonts w:ascii="Times New Roman" w:cs="Times New Roman" w:eastAsia="Times New Roman" w:hAnsi="Times New Roman"/>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142" w:lineRule="exact"/>
        <w:rPr>
          <w:rFonts w:ascii="Times New Roman" w:cs="Times New Roman" w:eastAsia="Times New Roman" w:hAnsi="Times New Roman"/>
          <w:sz w:val="19"/>
          <w:szCs w:val="19"/>
          <w:color w:val="auto"/>
        </w:rPr>
      </w:pPr>
    </w:p>
    <w:p>
      <w:pPr>
        <w:jc w:val="both"/>
        <w:ind w:firstLine="1254"/>
        <w:spacing w:after="0" w:line="234" w:lineRule="auto"/>
        <w:tabs>
          <w:tab w:leader="none" w:pos="1863" w:val="left"/>
        </w:tabs>
        <w:numPr>
          <w:ilvl w:val="0"/>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Assignments by Lenders</w:t>
      </w:r>
      <w:r>
        <w:rPr>
          <w:rFonts w:ascii="Times New Roman" w:cs="Times New Roman" w:eastAsia="Times New Roman" w:hAnsi="Times New Roman"/>
          <w:sz w:val="19"/>
          <w:szCs w:val="19"/>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with respect to any Facility) any such assignment shall be subject to the following conditions:</w:t>
      </w:r>
    </w:p>
    <w:p>
      <w:pPr>
        <w:spacing w:after="0" w:line="142" w:lineRule="exact"/>
        <w:rPr>
          <w:rFonts w:ascii="Times New Roman" w:cs="Times New Roman" w:eastAsia="Times New Roman" w:hAnsi="Times New Roman"/>
          <w:sz w:val="19"/>
          <w:szCs w:val="19"/>
          <w:color w:val="auto"/>
        </w:rPr>
      </w:pPr>
    </w:p>
    <w:p>
      <w:pPr>
        <w:ind w:left="2500" w:hanging="620"/>
        <w:spacing w:after="0"/>
        <w:tabs>
          <w:tab w:leader="none" w:pos="2500" w:val="left"/>
        </w:tabs>
        <w:numPr>
          <w:ilvl w:val="1"/>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Minimum Amounts</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jc w:val="both"/>
        <w:ind w:firstLine="2505"/>
        <w:spacing w:after="0" w:line="226" w:lineRule="auto"/>
        <w:tabs>
          <w:tab w:leader="none" w:pos="3117" w:val="left"/>
        </w:tabs>
        <w:numPr>
          <w:ilvl w:val="2"/>
          <w:numId w:val="2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w:t>
      </w:r>
      <w:r>
        <w:rPr>
          <w:rFonts w:ascii="Times New Roman" w:cs="Times New Roman" w:eastAsia="Times New Roman" w:hAnsi="Times New Roman"/>
          <w:sz w:val="19"/>
          <w:szCs w:val="19"/>
          <w:u w:val="single" w:color="auto"/>
          <w:color w:val="auto"/>
        </w:rPr>
        <w:t>paragraph (b)(i)(B)</w:t>
      </w:r>
      <w:r>
        <w:rPr>
          <w:rFonts w:ascii="Times New Roman" w:cs="Times New Roman" w:eastAsia="Times New Roman" w:hAnsi="Times New Roman"/>
          <w:sz w:val="19"/>
          <w:szCs w:val="19"/>
          <w:color w:val="auto"/>
        </w:rPr>
        <w:t xml:space="preserve"> of this Section in the aggregate or in the case of an assignment to a Lender, an Affiliate of a Lender or an Approved Fund, no minimum amount need be assigned; and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124</w:t>
      </w:r>
    </w:p>
    <w:p>
      <w:pPr>
        <w:sectPr>
          <w:pgSz w:w="11900" w:h="16838" w:orient="portrait"/>
          <w:cols w:equalWidth="0" w:num="1">
            <w:col w:w="11240"/>
          </w:cols>
          <w:pgMar w:left="320" w:top="1353" w:right="339" w:bottom="1440" w:gutter="0" w:footer="0" w:header="0"/>
        </w:sectPr>
      </w:pPr>
    </w:p>
    <w:bookmarkStart w:id="256" w:name="page257"/>
    <w:bookmarkEnd w:id="256"/>
    <w:p>
      <w:pPr>
        <w:jc w:val="both"/>
        <w:ind w:left="220" w:firstLine="2493"/>
        <w:spacing w:after="0" w:line="219" w:lineRule="auto"/>
        <w:tabs>
          <w:tab w:leader="none" w:pos="3131" w:val="left"/>
        </w:tabs>
        <w:numPr>
          <w:ilvl w:val="3"/>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any case not described in </w:t>
      </w:r>
      <w:r>
        <w:rPr>
          <w:rFonts w:ascii="Times New Roman" w:cs="Times New Roman" w:eastAsia="Times New Roman" w:hAnsi="Times New Roman"/>
          <w:sz w:val="19"/>
          <w:szCs w:val="19"/>
          <w:u w:val="single" w:color="auto"/>
          <w:color w:val="auto"/>
        </w:rPr>
        <w:t>paragraph (b)(i)(A)</w:t>
      </w:r>
      <w:r>
        <w:rPr>
          <w:rFonts w:ascii="Times New Roman" w:cs="Times New Roman" w:eastAsia="Times New Roman" w:hAnsi="Times New Roman"/>
          <w:sz w:val="19"/>
          <w:szCs w:val="19"/>
          <w:color w:val="auto"/>
        </w:rPr>
        <w:t xml:space="preserve">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19"/>
          <w:szCs w:val="19"/>
          <w:b w:val="1"/>
          <w:bCs w:val="1"/>
          <w:i w:val="1"/>
          <w:iCs w:val="1"/>
          <w:color w:val="auto"/>
        </w:rPr>
        <w:t>Trade Date</w:t>
      </w:r>
      <w:r>
        <w:rPr>
          <w:rFonts w:ascii="Times New Roman" w:cs="Times New Roman" w:eastAsia="Times New Roman" w:hAnsi="Times New Roman"/>
          <w:sz w:val="19"/>
          <w:szCs w:val="19"/>
          <w:color w:val="auto"/>
        </w:rPr>
        <w:t>” is specified in the Assignment and Assumption, as of the Trade Date) shall not be less than $3,000,000, in the case of any assignment in respect of the Revolving Facility, or $10,000,000, in the case of any assignment in respect of the Term Facility, unless each of the Administrative Agent and, so long as no Event of Default has occurred and is continuing, the Borrower otherwise consents (each such consent not to be unreasonably withheld or delayed).</w:t>
      </w:r>
    </w:p>
    <w:p>
      <w:pPr>
        <w:spacing w:after="0" w:line="154" w:lineRule="exact"/>
        <w:rPr>
          <w:rFonts w:ascii="Times New Roman" w:cs="Times New Roman" w:eastAsia="Times New Roman" w:hAnsi="Times New Roman"/>
          <w:sz w:val="19"/>
          <w:szCs w:val="19"/>
          <w:color w:val="auto"/>
        </w:rPr>
      </w:pPr>
    </w:p>
    <w:p>
      <w:pPr>
        <w:jc w:val="both"/>
        <w:ind w:firstLine="1880"/>
        <w:spacing w:after="0" w:line="219" w:lineRule="auto"/>
        <w:tabs>
          <w:tab w:leader="none" w:pos="2499" w:val="left"/>
        </w:tabs>
        <w:numPr>
          <w:ilvl w:val="1"/>
          <w:numId w:val="2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Proportionate Amounts</w:t>
      </w:r>
      <w:r>
        <w:rPr>
          <w:rFonts w:ascii="Times New Roman" w:cs="Times New Roman" w:eastAsia="Times New Roman" w:hAnsi="Times New Roman"/>
          <w:sz w:val="19"/>
          <w:szCs w:val="19"/>
          <w:color w:val="auto"/>
        </w:rPr>
        <w:t xml:space="preserve">. Each partial assignment shall be made as an assignment of a proportionate part of all the assigning Lender’s rights and obligations under this Agreement with respect to the Loan or the Commitment assigned, except that this </w:t>
      </w:r>
      <w:r>
        <w:rPr>
          <w:rFonts w:ascii="Times New Roman" w:cs="Times New Roman" w:eastAsia="Times New Roman" w:hAnsi="Times New Roman"/>
          <w:sz w:val="19"/>
          <w:szCs w:val="19"/>
          <w:u w:val="single" w:color="auto"/>
          <w:color w:val="auto"/>
        </w:rPr>
        <w:t>clause</w:t>
      </w:r>
    </w:p>
    <w:p>
      <w:pPr>
        <w:ind w:left="280" w:hanging="276"/>
        <w:spacing w:after="0"/>
        <w:tabs>
          <w:tab w:leader="none" w:pos="280" w:val="left"/>
        </w:tabs>
        <w:numPr>
          <w:ilvl w:val="0"/>
          <w:numId w:val="27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shall not prohibit any Lender from assigning all or a portion of its rights and obligations among separate Facilities on a non-</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w:t>
      </w:r>
    </w:p>
    <w:p>
      <w:pPr>
        <w:spacing w:after="0" w:line="163" w:lineRule="exact"/>
        <w:rPr>
          <w:rFonts w:ascii="Times New Roman" w:cs="Times New Roman" w:eastAsia="Times New Roman" w:hAnsi="Times New Roman"/>
          <w:sz w:val="19"/>
          <w:szCs w:val="19"/>
          <w:u w:val="single" w:color="auto"/>
          <w:color w:val="auto"/>
        </w:rPr>
      </w:pPr>
    </w:p>
    <w:p>
      <w:pPr>
        <w:ind w:firstLine="1880"/>
        <w:spacing w:after="0" w:line="237" w:lineRule="auto"/>
        <w:tabs>
          <w:tab w:leader="none" w:pos="2500"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Required Consents</w:t>
      </w:r>
      <w:r>
        <w:rPr>
          <w:rFonts w:ascii="Times New Roman" w:cs="Times New Roman" w:eastAsia="Times New Roman" w:hAnsi="Times New Roman"/>
          <w:sz w:val="19"/>
          <w:szCs w:val="19"/>
          <w:color w:val="auto"/>
        </w:rPr>
        <w:t xml:space="preserve">. No consent shall be required for any assignment except to the extent required by </w:t>
      </w:r>
      <w:r>
        <w:rPr>
          <w:rFonts w:ascii="Times New Roman" w:cs="Times New Roman" w:eastAsia="Times New Roman" w:hAnsi="Times New Roman"/>
          <w:sz w:val="19"/>
          <w:szCs w:val="19"/>
          <w:u w:val="single" w:color="auto"/>
          <w:color w:val="auto"/>
        </w:rPr>
        <w:t>paragraph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(b)(i)(B)</w:t>
      </w:r>
      <w:r>
        <w:rPr>
          <w:rFonts w:ascii="Times New Roman" w:cs="Times New Roman" w:eastAsia="Times New Roman" w:hAnsi="Times New Roman"/>
          <w:sz w:val="19"/>
          <w:szCs w:val="19"/>
          <w:color w:val="auto"/>
        </w:rPr>
        <w:t xml:space="preserve"> of this Section and, in addition:</w:t>
      </w:r>
    </w:p>
    <w:p>
      <w:pPr>
        <w:spacing w:after="0" w:line="154" w:lineRule="exact"/>
        <w:rPr>
          <w:rFonts w:ascii="Times New Roman" w:cs="Times New Roman" w:eastAsia="Times New Roman" w:hAnsi="Times New Roman"/>
          <w:sz w:val="19"/>
          <w:szCs w:val="19"/>
          <w:color w:val="auto"/>
        </w:rPr>
      </w:pPr>
    </w:p>
    <w:p>
      <w:pPr>
        <w:jc w:val="both"/>
        <w:ind w:firstLine="2505"/>
        <w:spacing w:after="0" w:line="223" w:lineRule="auto"/>
        <w:tabs>
          <w:tab w:leader="none" w:pos="3117" w:val="left"/>
        </w:tabs>
        <w:numPr>
          <w:ilvl w:val="2"/>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be deemed to have consented to any such assignment unless it shall object thereto by written notice to the Administrative Agent within five Business Days after having received notice thereof,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Borrower’s consent shall not be required during the primary syndication of the Facilities;</w:t>
      </w:r>
    </w:p>
    <w:p>
      <w:pPr>
        <w:spacing w:after="0" w:line="144" w:lineRule="exact"/>
        <w:rPr>
          <w:rFonts w:ascii="Times New Roman" w:cs="Times New Roman" w:eastAsia="Times New Roman" w:hAnsi="Times New Roman"/>
          <w:sz w:val="19"/>
          <w:szCs w:val="19"/>
          <w:color w:val="auto"/>
        </w:rPr>
      </w:pPr>
    </w:p>
    <w:p>
      <w:pPr>
        <w:jc w:val="both"/>
        <w:ind w:firstLine="2505"/>
        <w:spacing w:after="0" w:line="226" w:lineRule="auto"/>
        <w:tabs>
          <w:tab w:leader="none" w:pos="3120" w:val="left"/>
        </w:tabs>
        <w:numPr>
          <w:ilvl w:val="2"/>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Administrative Agent (such consent not to be unreasonably withheld or delayed) shall be required for assignments in respect of (i) the Revolving Facility or any unfunded Commitments with respect to the Term Facility if such assignment is to a Person that is not a Lender with a Commitment in respect of such Facility, an Affiliate of such Lender or an Approved Fund with respect to such Lender, or (ii) any Term Loans to a Person who is not a Lender, an Affiliate of a Lender or an Approved Fund; and</w:t>
      </w:r>
    </w:p>
    <w:p>
      <w:pPr>
        <w:spacing w:after="0" w:line="153" w:lineRule="exact"/>
        <w:rPr>
          <w:rFonts w:ascii="Times New Roman" w:cs="Times New Roman" w:eastAsia="Times New Roman" w:hAnsi="Times New Roman"/>
          <w:sz w:val="19"/>
          <w:szCs w:val="19"/>
          <w:color w:val="auto"/>
        </w:rPr>
      </w:pPr>
    </w:p>
    <w:p>
      <w:pPr>
        <w:ind w:firstLine="2505"/>
        <w:spacing w:after="0" w:line="237" w:lineRule="auto"/>
        <w:tabs>
          <w:tab w:leader="none" w:pos="3219" w:val="left"/>
        </w:tabs>
        <w:numPr>
          <w:ilvl w:val="2"/>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Issuing Lender (such consents not to be unreasonably withheld, delayed or conditioned) shall be required for any assignment in respect of the Revolving Facility.</w:t>
      </w:r>
    </w:p>
    <w:p>
      <w:pPr>
        <w:spacing w:after="0" w:line="154" w:lineRule="exact"/>
        <w:rPr>
          <w:rFonts w:ascii="Times New Roman" w:cs="Times New Roman" w:eastAsia="Times New Roman" w:hAnsi="Times New Roman"/>
          <w:sz w:val="19"/>
          <w:szCs w:val="19"/>
          <w:color w:val="auto"/>
        </w:rPr>
      </w:pPr>
    </w:p>
    <w:p>
      <w:pPr>
        <w:jc w:val="both"/>
        <w:ind w:firstLine="1880"/>
        <w:spacing w:after="0" w:line="226" w:lineRule="auto"/>
        <w:tabs>
          <w:tab w:leader="none" w:pos="2490"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 and Assumption</w:t>
      </w:r>
      <w:r>
        <w:rPr>
          <w:rFonts w:ascii="Times New Roman" w:cs="Times New Roman" w:eastAsia="Times New Roman" w:hAnsi="Times New Roman"/>
          <w:sz w:val="19"/>
          <w:szCs w:val="19"/>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may, in its sole discretion, elect to waive such processing and recordation fee in the case of any assignment. The assignee, if it is not a Lender, shall deliver to the Administrative Agent any such administrative questionnaire as the Administrative Agent may request.</w:t>
      </w:r>
    </w:p>
    <w:p>
      <w:pPr>
        <w:spacing w:after="0" w:line="153" w:lineRule="exact"/>
        <w:rPr>
          <w:rFonts w:ascii="Times New Roman" w:cs="Times New Roman" w:eastAsia="Times New Roman" w:hAnsi="Times New Roman"/>
          <w:sz w:val="19"/>
          <w:szCs w:val="19"/>
          <w:color w:val="auto"/>
        </w:rPr>
      </w:pPr>
    </w:p>
    <w:p>
      <w:pPr>
        <w:jc w:val="both"/>
        <w:ind w:firstLine="1880"/>
        <w:spacing w:after="0" w:line="226" w:lineRule="auto"/>
        <w:tabs>
          <w:tab w:leader="none" w:pos="2489"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Assignment to Certain Persons</w:t>
      </w:r>
      <w:r>
        <w:rPr>
          <w:rFonts w:ascii="Times New Roman" w:cs="Times New Roman" w:eastAsia="Times New Roman" w:hAnsi="Times New Roman"/>
          <w:sz w:val="19"/>
          <w:szCs w:val="19"/>
          <w:color w:val="auto"/>
        </w:rPr>
        <w:t xml:space="preserve">. No such assignment shall be made to (A) the Borrower or any of the Borrower’s Affiliates or Subsidiaries or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or (C) any Disqualified Institution without the consent of the Borrower (so long as no Event of Default has occurred and is continuing).</w:t>
      </w:r>
    </w:p>
    <w:p>
      <w:pPr>
        <w:spacing w:after="0" w:line="140" w:lineRule="exact"/>
        <w:rPr>
          <w:rFonts w:ascii="Times New Roman" w:cs="Times New Roman" w:eastAsia="Times New Roman" w:hAnsi="Times New Roman"/>
          <w:sz w:val="19"/>
          <w:szCs w:val="19"/>
          <w:color w:val="auto"/>
        </w:rPr>
      </w:pPr>
    </w:p>
    <w:p>
      <w:pPr>
        <w:ind w:firstLine="1880"/>
        <w:spacing w:after="0" w:line="249" w:lineRule="auto"/>
        <w:tabs>
          <w:tab w:leader="none" w:pos="2490"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Assignment to Natural Persons</w:t>
      </w:r>
      <w:r>
        <w:rPr>
          <w:rFonts w:ascii="Times New Roman" w:cs="Times New Roman" w:eastAsia="Times New Roman" w:hAnsi="Times New Roman"/>
          <w:sz w:val="19"/>
          <w:szCs w:val="19"/>
          <w:color w:val="auto"/>
        </w:rPr>
        <w:t>. No such assignment shall be made to a natural Person (or a holding company, investment vehicle or trust established for, or owned and operated for the primary benefit of, a natural Person).</w:t>
      </w:r>
    </w:p>
    <w:p>
      <w:pPr>
        <w:spacing w:after="0" w:line="145" w:lineRule="exact"/>
        <w:rPr>
          <w:rFonts w:ascii="Times New Roman" w:cs="Times New Roman" w:eastAsia="Times New Roman" w:hAnsi="Times New Roman"/>
          <w:sz w:val="19"/>
          <w:szCs w:val="19"/>
          <w:color w:val="auto"/>
        </w:rPr>
      </w:pPr>
    </w:p>
    <w:p>
      <w:pPr>
        <w:ind w:firstLine="1880"/>
        <w:spacing w:after="0" w:line="237" w:lineRule="auto"/>
        <w:tabs>
          <w:tab w:leader="none" w:pos="2490"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Additional Payments</w:t>
      </w:r>
      <w:r>
        <w:rPr>
          <w:rFonts w:ascii="Times New Roman" w:cs="Times New Roman" w:eastAsia="Times New Roman" w:hAnsi="Times New Roman"/>
          <w:sz w:val="19"/>
          <w:szCs w:val="19"/>
          <w:color w:val="auto"/>
        </w:rPr>
        <w:t>. In connection with any assignment of rights and obligations of any Defaulting Lender hereunder, no such assignment shall be effective unless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125</w:t>
      </w:r>
    </w:p>
    <w:p>
      <w:pPr>
        <w:sectPr>
          <w:pgSz w:w="11900" w:h="16838" w:orient="portrait"/>
          <w:cols w:equalWidth="0" w:num="1">
            <w:col w:w="11240"/>
          </w:cols>
          <w:pgMar w:left="320" w:top="1354"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9"/>
          <w:szCs w:val="19"/>
          <w:color w:val="auto"/>
        </w:rPr>
        <w:t>and until, in addition to the other conditions thereto set forth herein, the parties to the assignment shall make such additional payments to the</w:t>
      </w:r>
    </w:p>
    <w:p>
      <w:pPr>
        <w:spacing w:after="0" w:line="207" w:lineRule="auto"/>
        <w:rPr>
          <w:sz w:val="20"/>
          <w:szCs w:val="20"/>
          <w:color w:val="auto"/>
        </w:rPr>
      </w:pPr>
      <w:r>
        <w:rPr>
          <w:rFonts w:ascii="Times New Roman" w:cs="Times New Roman" w:eastAsia="Times New Roman" w:hAnsi="Times New Roman"/>
          <w:sz w:val="19"/>
          <w:szCs w:val="19"/>
          <w:color w:val="auto"/>
        </w:rPr>
        <w:t>Administrative Agent in an aggregate amount sufficient, upon distribution thereof as appropriate (which may be outright payment, purchases by the assignee of participations or subparticipations, or other compensating actions, including funding, with the consent of the Borrower and the</w:t>
      </w: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the applicable pro rata share of Loans previously requested but not funded by the Defaulting Lender, to each of which the</w:t>
      </w:r>
    </w:p>
    <w:p>
      <w:pPr>
        <w:spacing w:after="0" w:line="207" w:lineRule="auto"/>
        <w:rPr>
          <w:sz w:val="20"/>
          <w:szCs w:val="20"/>
          <w:color w:val="auto"/>
        </w:rPr>
      </w:pPr>
      <w:r>
        <w:rPr>
          <w:rFonts w:ascii="Times New Roman" w:cs="Times New Roman" w:eastAsia="Times New Roman" w:hAnsi="Times New Roman"/>
          <w:sz w:val="19"/>
          <w:szCs w:val="19"/>
          <w:color w:val="auto"/>
        </w:rPr>
        <w:t>applicable assignee and assignor hereby irrevocably consent), to (x) pay and satisfy in full all payment liabilities then owed by such Defaulting Lender to the Administrative Agent, the Issuing Lender, the Swingline Lender and each other Lender hereunder (and interest accrued thereon), and</w:t>
      </w:r>
    </w:p>
    <w:p>
      <w:pPr>
        <w:spacing w:after="0" w:line="1" w:lineRule="exact"/>
        <w:rPr>
          <w:sz w:val="20"/>
          <w:szCs w:val="20"/>
          <w:color w:val="auto"/>
        </w:rPr>
      </w:pPr>
    </w:p>
    <w:p>
      <w:pPr>
        <w:jc w:val="both"/>
        <w:ind w:firstLine="4"/>
        <w:spacing w:after="0" w:line="220" w:lineRule="auto"/>
        <w:tabs>
          <w:tab w:leader="none" w:pos="277" w:val="left"/>
        </w:tabs>
        <w:numPr>
          <w:ilvl w:val="0"/>
          <w:numId w:val="2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acquire (and fund as appropriate) its full pro rata share of all Loans and participations in Letters of Credit and Swingline Loans in accordance with its Revolving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Subject to acceptance and recording thereof by the Administrative Agent pursuant to </w:t>
      </w:r>
      <w:r>
        <w:rPr>
          <w:rFonts w:ascii="Times New Roman" w:cs="Times New Roman" w:eastAsia="Times New Roman" w:hAnsi="Times New Roman"/>
          <w:sz w:val="19"/>
          <w:szCs w:val="19"/>
          <w:u w:val="single" w:color="auto"/>
          <w:color w:val="auto"/>
        </w:rPr>
        <w:t>paragraph (c)</w:t>
      </w:r>
      <w:r>
        <w:rPr>
          <w:rFonts w:ascii="Times New Roman" w:cs="Times New Roman" w:eastAsia="Times New Roman" w:hAnsi="Times New Roman"/>
          <w:sz w:val="19"/>
          <w:szCs w:val="19"/>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2.19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10.5</w:t>
      </w:r>
      <w:r>
        <w:rPr>
          <w:rFonts w:ascii="Times New Roman" w:cs="Times New Roman" w:eastAsia="Times New Roman" w:hAnsi="Times New Roman"/>
          <w:sz w:val="19"/>
          <w:szCs w:val="19"/>
          <w:color w:val="auto"/>
        </w:rPr>
        <w:t xml:space="preserve"> with respect to facts and circumstances occurring prior to the effective date of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Times New Roman" w:cs="Times New Roman" w:eastAsia="Times New Roman" w:hAnsi="Times New Roman"/>
          <w:sz w:val="19"/>
          <w:szCs w:val="19"/>
          <w:u w:val="single" w:color="auto"/>
          <w:color w:val="auto"/>
        </w:rPr>
        <w:t>paragraph (d)</w:t>
      </w:r>
      <w:r>
        <w:rPr>
          <w:rFonts w:ascii="Times New Roman" w:cs="Times New Roman" w:eastAsia="Times New Roman" w:hAnsi="Times New Roman"/>
          <w:sz w:val="19"/>
          <w:szCs w:val="19"/>
          <w:color w:val="auto"/>
        </w:rPr>
        <w:t xml:space="preserve"> of this Section.</w:t>
      </w:r>
    </w:p>
    <w:p>
      <w:pPr>
        <w:spacing w:after="0" w:line="156" w:lineRule="exact"/>
        <w:rPr>
          <w:sz w:val="20"/>
          <w:szCs w:val="20"/>
          <w:color w:val="auto"/>
        </w:rPr>
      </w:pPr>
    </w:p>
    <w:p>
      <w:pPr>
        <w:jc w:val="both"/>
        <w:ind w:firstLine="1254"/>
        <w:spacing w:after="0" w:line="219" w:lineRule="auto"/>
        <w:tabs>
          <w:tab w:leader="none" w:pos="1866"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Register</w:t>
      </w:r>
      <w:r>
        <w:rPr>
          <w:rFonts w:ascii="Times New Roman" w:cs="Times New Roman" w:eastAsia="Times New Roman" w:hAnsi="Times New Roman"/>
          <w:sz w:val="19"/>
          <w:szCs w:val="19"/>
          <w:color w:val="auto"/>
        </w:rPr>
        <w:t>. The Administrative Agent, acting solely for this purpose as an agent of the Borrower, shall maintain at one of its offices in California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9"/>
          <w:szCs w:val="19"/>
          <w:b w:val="1"/>
          <w:bCs w:val="1"/>
          <w:i w:val="1"/>
          <w:iCs w:val="1"/>
          <w:color w:val="auto"/>
        </w:rPr>
        <w:t>Register</w:t>
      </w:r>
      <w:r>
        <w:rPr>
          <w:rFonts w:ascii="Times New Roman" w:cs="Times New Roman" w:eastAsia="Times New Roman" w:hAnsi="Times New Roman"/>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54" w:lineRule="exact"/>
        <w:rPr>
          <w:rFonts w:ascii="Times New Roman" w:cs="Times New Roman" w:eastAsia="Times New Roman" w:hAnsi="Times New Roman"/>
          <w:sz w:val="19"/>
          <w:szCs w:val="19"/>
          <w:color w:val="auto"/>
        </w:rPr>
      </w:pPr>
    </w:p>
    <w:p>
      <w:pPr>
        <w:jc w:val="both"/>
        <w:ind w:firstLine="1254"/>
        <w:spacing w:after="0" w:line="213" w:lineRule="auto"/>
        <w:tabs>
          <w:tab w:leader="none" w:pos="1863"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Participations</w:t>
      </w:r>
      <w:r>
        <w:rPr>
          <w:rFonts w:ascii="Times New Roman" w:cs="Times New Roman" w:eastAsia="Times New Roman" w:hAnsi="Times New Roman"/>
          <w:sz w:val="19"/>
          <w:szCs w:val="19"/>
          <w:color w:val="auto"/>
        </w:rPr>
        <w:t>. Any Lender may at any time, without the consent of, or notice to, the Borrower (provided that so long as no Event of Default has occurred and is continuing, the Borrower’s consent shall be required to sell participations to any Disqualified Institution) or the Administrative Agent, sell participations to any Person (other than a natural Person, a holding company, investment vehicle or trust established for, or owned and operated for the primary benefit of, a natural Person, or the Borrower or any of the Borrower’s Affiliates or Subsidiaries) (each, a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Lender’s obligations under this Agreement shall remain unchanged,</w:t>
      </w:r>
    </w:p>
    <w:p>
      <w:pPr>
        <w:spacing w:after="0" w:line="4" w:lineRule="exact"/>
        <w:rPr>
          <w:rFonts w:ascii="Times New Roman" w:cs="Times New Roman" w:eastAsia="Times New Roman" w:hAnsi="Times New Roman"/>
          <w:sz w:val="19"/>
          <w:szCs w:val="19"/>
          <w:color w:val="auto"/>
        </w:rPr>
      </w:pPr>
    </w:p>
    <w:p>
      <w:pPr>
        <w:jc w:val="both"/>
        <w:ind w:firstLine="4"/>
        <w:spacing w:after="0" w:line="220" w:lineRule="auto"/>
        <w:tabs>
          <w:tab w:leader="none" w:pos="302"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Lender shall remain solely responsible to the other parties hereto for the performance of such obligations, and (iii) the Borrower, the Administrative Agent, the Issuing Lender and the other Lenders shall continue to deal solely and directly with such Lender in connection with such Lender’s rights and obligations under this Agreement. For the avoidance of doubt, each Lender shall be responsible for the indemnities under </w:t>
      </w:r>
      <w:r>
        <w:rPr>
          <w:rFonts w:ascii="Times New Roman" w:cs="Times New Roman" w:eastAsia="Times New Roman" w:hAnsi="Times New Roman"/>
          <w:sz w:val="19"/>
          <w:szCs w:val="19"/>
          <w:u w:val="single" w:color="auto"/>
          <w:color w:val="auto"/>
        </w:rPr>
        <w:t>Sections 2.20(e)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9.7</w:t>
      </w:r>
      <w:r>
        <w:rPr>
          <w:rFonts w:ascii="Times New Roman" w:cs="Times New Roman" w:eastAsia="Times New Roman" w:hAnsi="Times New Roman"/>
          <w:sz w:val="19"/>
          <w:szCs w:val="19"/>
          <w:color w:val="auto"/>
        </w:rPr>
        <w:t xml:space="preserve"> with respect to any payments made by such Lender to its Participant(s).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126</w:t>
      </w:r>
    </w:p>
    <w:p>
      <w:pPr>
        <w:sectPr>
          <w:pgSz w:w="11900" w:h="16838" w:orient="portrait"/>
          <w:cols w:equalWidth="0" w:num="1">
            <w:col w:w="11240"/>
          </w:cols>
          <w:pgMar w:left="320" w:top="1353" w:right="339" w:bottom="1440" w:gutter="0" w:footer="0" w:header="0"/>
        </w:sectPr>
      </w:pPr>
    </w:p>
    <w:bookmarkStart w:id="258" w:name="page259"/>
    <w:bookmarkEnd w:id="258"/>
    <w:p>
      <w:pPr>
        <w:jc w:val="both"/>
        <w:ind w:firstLine="1250"/>
        <w:spacing w:after="0" w:line="253" w:lineRule="auto"/>
        <w:rPr>
          <w:sz w:val="20"/>
          <w:szCs w:val="20"/>
          <w:color w:val="auto"/>
        </w:rPr>
      </w:pPr>
      <w:r>
        <w:rPr>
          <w:rFonts w:ascii="Times New Roman" w:cs="Times New Roman" w:eastAsia="Times New Roman" w:hAnsi="Times New Roman"/>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which affects such Participant and for which the consent of such Lender is required (as described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The Borrower agrees that each Participant shall be entitled to the benefits of </w:t>
      </w:r>
      <w:r>
        <w:rPr>
          <w:rFonts w:ascii="Times New Roman" w:cs="Times New Roman" w:eastAsia="Times New Roman" w:hAnsi="Times New Roman"/>
          <w:sz w:val="19"/>
          <w:szCs w:val="19"/>
          <w:u w:val="single" w:color="auto"/>
          <w:color w:val="auto"/>
        </w:rPr>
        <w:t>Sections 2.19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2.21</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u w:val="single" w:color="auto"/>
          <w:color w:val="auto"/>
        </w:rPr>
        <w:t>Section 2.20(f)</w:t>
      </w:r>
      <w:r>
        <w:rPr>
          <w:rFonts w:ascii="Times New Roman" w:cs="Times New Roman" w:eastAsia="Times New Roman" w:hAnsi="Times New Roman"/>
          <w:sz w:val="19"/>
          <w:szCs w:val="19"/>
          <w:color w:val="auto"/>
        </w:rPr>
        <w:t xml:space="preserve"> (it being understood that the documentation required under </w:t>
      </w:r>
      <w:r>
        <w:rPr>
          <w:rFonts w:ascii="Times New Roman" w:cs="Times New Roman" w:eastAsia="Times New Roman" w:hAnsi="Times New Roman"/>
          <w:sz w:val="19"/>
          <w:szCs w:val="19"/>
          <w:u w:val="single" w:color="auto"/>
          <w:color w:val="auto"/>
        </w:rPr>
        <w:t>Section 2.20(f)</w:t>
      </w:r>
      <w:r>
        <w:rPr>
          <w:rFonts w:ascii="Times New Roman" w:cs="Times New Roman" w:eastAsia="Times New Roman" w:hAnsi="Times New Roman"/>
          <w:sz w:val="19"/>
          <w:szCs w:val="19"/>
          <w:color w:val="auto"/>
        </w:rPr>
        <w:t xml:space="preserve"> shall be delivered by such Participant to the Lender granting such participation))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Section 10.6(b)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 agrees to be subject to the provisions of </w:t>
      </w:r>
      <w:r>
        <w:rPr>
          <w:rFonts w:ascii="Times New Roman" w:cs="Times New Roman" w:eastAsia="Times New Roman" w:hAnsi="Times New Roman"/>
          <w:sz w:val="19"/>
          <w:szCs w:val="19"/>
          <w:u w:val="single" w:color="auto"/>
          <w:color w:val="auto"/>
        </w:rPr>
        <w:t>Sections 2.23</w:t>
      </w:r>
      <w:r>
        <w:rPr>
          <w:rFonts w:ascii="Times New Roman" w:cs="Times New Roman" w:eastAsia="Times New Roman" w:hAnsi="Times New Roman"/>
          <w:sz w:val="19"/>
          <w:szCs w:val="19"/>
          <w:color w:val="auto"/>
        </w:rPr>
        <w:t xml:space="preserve"> as if it were an assignee under </w:t>
      </w:r>
      <w:r>
        <w:rPr>
          <w:rFonts w:ascii="Times New Roman" w:cs="Times New Roman" w:eastAsia="Times New Roman" w:hAnsi="Times New Roman"/>
          <w:sz w:val="19"/>
          <w:szCs w:val="19"/>
          <w:u w:val="single" w:color="auto"/>
          <w:color w:val="auto"/>
        </w:rPr>
        <w:t>Section 10.6(b)</w:t>
      </w:r>
      <w:r>
        <w:rPr>
          <w:rFonts w:ascii="Times New Roman" w:cs="Times New Roman" w:eastAsia="Times New Roman" w:hAnsi="Times New Roman"/>
          <w:sz w:val="19"/>
          <w:szCs w:val="19"/>
          <w:color w:val="auto"/>
        </w:rPr>
        <w:t xml:space="preserve">; and (B) shall not be entitled to receive any greater payment under </w:t>
      </w:r>
      <w:r>
        <w:rPr>
          <w:rFonts w:ascii="Times New Roman" w:cs="Times New Roman" w:eastAsia="Times New Roman" w:hAnsi="Times New Roman"/>
          <w:sz w:val="19"/>
          <w:szCs w:val="19"/>
          <w:u w:val="single" w:color="auto"/>
          <w:color w:val="auto"/>
        </w:rPr>
        <w:t>Sections 2.19</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with respect to any participation, than its participating Lender would have been entitled to receive, except to the extent such entitlement to receive a greater payment results from a change in any Requirement of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9"/>
          <w:szCs w:val="19"/>
          <w:b w:val="1"/>
          <w:bCs w:val="1"/>
          <w:i w:val="1"/>
          <w:iCs w:val="1"/>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(or, in each case, any amended or successor sections)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4" w:lineRule="exact"/>
        <w:rPr>
          <w:sz w:val="20"/>
          <w:szCs w:val="20"/>
          <w:color w:val="auto"/>
        </w:rPr>
      </w:pPr>
    </w:p>
    <w:p>
      <w:pPr>
        <w:jc w:val="both"/>
        <w:ind w:firstLine="1254"/>
        <w:spacing w:after="0" w:line="226" w:lineRule="auto"/>
        <w:tabs>
          <w:tab w:leader="none" w:pos="1866"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Pledges</w:t>
      </w:r>
      <w:r>
        <w:rPr>
          <w:rFonts w:ascii="Times New Roman" w:cs="Times New Roman" w:eastAsia="Times New Roman" w:hAnsi="Times New Roman"/>
          <w:sz w:val="19"/>
          <w:szCs w:val="19"/>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53" w:lineRule="exact"/>
        <w:rPr>
          <w:rFonts w:ascii="Times New Roman" w:cs="Times New Roman" w:eastAsia="Times New Roman" w:hAnsi="Times New Roman"/>
          <w:sz w:val="19"/>
          <w:szCs w:val="19"/>
          <w:color w:val="auto"/>
        </w:rPr>
      </w:pPr>
    </w:p>
    <w:p>
      <w:pPr>
        <w:ind w:firstLine="1254"/>
        <w:spacing w:after="0" w:line="249" w:lineRule="auto"/>
        <w:tabs>
          <w:tab w:leader="none" w:pos="1871"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Notes</w:t>
      </w:r>
      <w:r>
        <w:rPr>
          <w:rFonts w:ascii="Times New Roman" w:cs="Times New Roman" w:eastAsia="Times New Roman" w:hAnsi="Times New Roman"/>
          <w:sz w:val="19"/>
          <w:szCs w:val="19"/>
          <w:color w:val="auto"/>
        </w:rPr>
        <w:t xml:space="preserve">. The Borrower, upon receipt by the Borrower of written notice from the relevant Lender, agrees to issue Notes to any Lender requiring Notes to facilitate transactions of the type described in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w:t>
      </w:r>
    </w:p>
    <w:p>
      <w:pPr>
        <w:spacing w:after="0" w:line="132"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3" w:val="left"/>
        </w:tabs>
        <w:numPr>
          <w:ilvl w:val="0"/>
          <w:numId w:val="2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Lenders</w:t>
      </w:r>
      <w:r>
        <w:rPr>
          <w:rFonts w:ascii="Times New Roman" w:cs="Times New Roman" w:eastAsia="Times New Roman" w:hAnsi="Times New Roman"/>
          <w:sz w:val="19"/>
          <w:szCs w:val="19"/>
          <w:color w:val="auto"/>
        </w:rPr>
        <w:t>. Each Lender, upon execution and delivery hereof or upon succeeding to an interest in the Commitments or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127</w:t>
      </w:r>
    </w:p>
    <w:p>
      <w:pPr>
        <w:sectPr>
          <w:pgSz w:w="11900" w:h="16838" w:orient="portrait"/>
          <w:cols w:equalWidth="0" w:num="1">
            <w:col w:w="11240"/>
          </w:cols>
          <w:pgMar w:left="320" w:top="1367"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9"/>
          <w:szCs w:val="19"/>
          <w:color w:val="auto"/>
        </w:rPr>
        <w:t>and without a view to distribution of such Commitments and Loans within the meaning of the Securities Act or the Exchange Act, or other federal</w:t>
      </w:r>
    </w:p>
    <w:p>
      <w:pPr>
        <w:spacing w:after="0" w:line="225" w:lineRule="auto"/>
        <w:rPr>
          <w:sz w:val="20"/>
          <w:szCs w:val="20"/>
          <w:color w:val="auto"/>
        </w:rPr>
      </w:pPr>
      <w:r>
        <w:rPr>
          <w:rFonts w:ascii="Times New Roman" w:cs="Times New Roman" w:eastAsia="Times New Roman" w:hAnsi="Times New Roman"/>
          <w:sz w:val="19"/>
          <w:szCs w:val="19"/>
          <w:color w:val="auto"/>
        </w:rPr>
        <w:t xml:space="preserve">securities laws (it being understood that, subject to the provisions of this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the disposition of such Commitments and Loans or any interests therein shall at all times remain within its exclusive control).</w:t>
      </w:r>
    </w:p>
    <w:p>
      <w:pPr>
        <w:spacing w:after="0" w:line="154" w:lineRule="exact"/>
        <w:rPr>
          <w:sz w:val="20"/>
          <w:szCs w:val="20"/>
          <w:color w:val="auto"/>
        </w:rPr>
      </w:pPr>
    </w:p>
    <w:p>
      <w:pPr>
        <w:jc w:val="both"/>
        <w:ind w:firstLine="1254"/>
        <w:spacing w:after="0" w:line="218" w:lineRule="auto"/>
        <w:tabs>
          <w:tab w:leader="none" w:pos="1863"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Disqualified Institutions</w:t>
      </w:r>
      <w:r>
        <w:rPr>
          <w:rFonts w:ascii="Times New Roman" w:cs="Times New Roman" w:eastAsia="Times New Roman" w:hAnsi="Times New Roman"/>
          <w:sz w:val="19"/>
          <w:szCs w:val="19"/>
          <w:color w:val="auto"/>
        </w:rPr>
        <w:t>.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Commitments, or disclosure of confidential information, to any Disqualified Institution. The Administrative Agent shall have the right, and the Borrower hereby expressly authorizes the Administrative Agent, to (A) post the list of Disqualified Institutions provided by the Borrower and any updates thereto from time to time on a Platform, including that portion of such Platform that is designated for “public side” Lenders and/or (B) provide the list of Disqualified Institutions to each Lender requesting the same.</w:t>
      </w:r>
    </w:p>
    <w:p>
      <w:pPr>
        <w:spacing w:after="0" w:line="14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10.7</w:t>
        <w:tab/>
        <w:t>Adjustments; Set-off.</w:t>
      </w:r>
    </w:p>
    <w:p>
      <w:pPr>
        <w:spacing w:after="0" w:line="187" w:lineRule="exact"/>
        <w:rPr>
          <w:sz w:val="20"/>
          <w:szCs w:val="20"/>
          <w:color w:val="auto"/>
        </w:rPr>
      </w:pPr>
    </w:p>
    <w:p>
      <w:pPr>
        <w:jc w:val="both"/>
        <w:ind w:firstLine="1254"/>
        <w:spacing w:after="0" w:line="216" w:lineRule="auto"/>
        <w:tabs>
          <w:tab w:leader="none" w:pos="1866"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that this Agreement expressly provides for payments to be allocated to a particular Lender or to the Lenders under a particular Facility, if any Lender (a “</w:t>
      </w:r>
      <w:r>
        <w:rPr>
          <w:rFonts w:ascii="Times New Roman" w:cs="Times New Roman" w:eastAsia="Times New Roman" w:hAnsi="Times New Roman"/>
          <w:sz w:val="19"/>
          <w:szCs w:val="19"/>
          <w:b w:val="1"/>
          <w:bCs w:val="1"/>
          <w:i w:val="1"/>
          <w:iCs w:val="1"/>
          <w:color w:val="auto"/>
        </w:rPr>
        <w:t>Benefitted Lender</w:t>
      </w:r>
      <w:r>
        <w:rPr>
          <w:rFonts w:ascii="Times New Roman" w:cs="Times New Roman" w:eastAsia="Times New Roman" w:hAnsi="Times New Roman"/>
          <w:sz w:val="19"/>
          <w:szCs w:val="19"/>
          <w:color w:val="auto"/>
        </w:rPr>
        <w:t xml:space="preserve">”) shall, at any time after the Loans and other amounts payable hereunder shall immediately become due and payable pursuant to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receive any payment of all or part of the Obligations owing to it, or receive any collateral in respect thereof (whether voluntarily or involuntarily, by set-off, pursuant to events or proceedings of the nature referred to in </w:t>
      </w:r>
      <w:r>
        <w:rPr>
          <w:rFonts w:ascii="Times New Roman" w:cs="Times New Roman" w:eastAsia="Times New Roman" w:hAnsi="Times New Roman"/>
          <w:sz w:val="19"/>
          <w:szCs w:val="19"/>
          <w:u w:val="single" w:color="auto"/>
          <w:color w:val="auto"/>
        </w:rPr>
        <w:t>Section 8.1(f)</w:t>
      </w:r>
      <w:r>
        <w:rPr>
          <w:rFonts w:ascii="Times New Roman" w:cs="Times New Roman" w:eastAsia="Times New Roman" w:hAnsi="Times New Roman"/>
          <w:sz w:val="19"/>
          <w:szCs w:val="19"/>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43" w:lineRule="exact"/>
        <w:rPr>
          <w:rFonts w:ascii="Times New Roman" w:cs="Times New Roman" w:eastAsia="Times New Roman" w:hAnsi="Times New Roman"/>
          <w:sz w:val="19"/>
          <w:szCs w:val="19"/>
          <w:color w:val="auto"/>
        </w:rPr>
      </w:pPr>
    </w:p>
    <w:p>
      <w:pPr>
        <w:jc w:val="both"/>
        <w:ind w:firstLine="1254"/>
        <w:spacing w:after="0" w:line="213" w:lineRule="auto"/>
        <w:tabs>
          <w:tab w:leader="none" w:pos="1863"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(i) the occurrence and during the continuance of any Event of Default and (ii) obtaining the prior written consent of the Administrative Agent, each Lender and each of its Affiliates is hereby authorized at any time and from time to time, without prior notice to Holdings, the Borrower or any other Loan Party, any such notice being expressly waived by Holdings, the Borrower and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Holdings, the Borrower or any other Loan Party, as the case may be, against any and all of the obligations of Holdings, the Borrower or such other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Holdings, the Borrower or such other Loan Party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128</w:t>
      </w:r>
    </w:p>
    <w:p>
      <w:pPr>
        <w:sectPr>
          <w:pgSz w:w="11900" w:h="16838" w:orient="portrait"/>
          <w:cols w:equalWidth="0" w:num="1">
            <w:col w:w="11240"/>
          </w:cols>
          <w:pgMar w:left="320" w:top="1353"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9"/>
          <w:szCs w:val="19"/>
          <w:color w:val="auto"/>
        </w:rPr>
        <w:t xml:space="preserve">the failure to give such notice shall not affect the validity of such setoff and application. Notwithstanding the provisions of this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if at</w:t>
      </w:r>
    </w:p>
    <w:p>
      <w:pPr>
        <w:spacing w:after="0" w:line="207" w:lineRule="auto"/>
        <w:rPr>
          <w:sz w:val="20"/>
          <w:szCs w:val="20"/>
          <w:color w:val="auto"/>
        </w:rPr>
      </w:pPr>
      <w:r>
        <w:rPr>
          <w:rFonts w:ascii="Times New Roman" w:cs="Times New Roman" w:eastAsia="Times New Roman" w:hAnsi="Times New Roman"/>
          <w:sz w:val="19"/>
          <w:szCs w:val="19"/>
          <w:color w:val="auto"/>
        </w:rPr>
        <w:t>any time any Lender, the Issuing Lender or any of their respective Affiliates maintains one or more deposit accounts for the Borrower or any other Loan Party into which Medicare and/or Medicaid receivables are deposited, such Person shall waive the right of setoff set forth herein. The rights</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 xml:space="preserve">of each Lender and its Affiliates under this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xml:space="preserve"> are in addition to other rights and remedies (including other rights of set-off) which such Lender or its Affiliates may have.</w:t>
      </w:r>
    </w:p>
    <w:p>
      <w:pPr>
        <w:spacing w:after="0" w:line="140"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10.8 Payments Set Aside. </w:t>
      </w:r>
      <w:r>
        <w:rPr>
          <w:rFonts w:ascii="Times New Roman" w:cs="Times New Roman" w:eastAsia="Times New Roman" w:hAnsi="Times New Roman"/>
          <w:sz w:val="19"/>
          <w:szCs w:val="19"/>
          <w:color w:val="auto"/>
        </w:rPr>
        <w:t>To the extent that any payment by or on behalf of the Borrower is made to the Administrative Agent or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Lender, or the Administrative Agent or any Lender exercises its right of setoff, and such payment or the proceeds of such setoff or any part thereof</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w:t>
      </w:r>
    </w:p>
    <w:p>
      <w:pPr>
        <w:spacing w:after="0" w:line="215" w:lineRule="auto"/>
        <w:rPr>
          <w:sz w:val="20"/>
          <w:szCs w:val="20"/>
          <w:color w:val="auto"/>
        </w:rPr>
      </w:pPr>
      <w:r>
        <w:rPr>
          <w:rFonts w:ascii="Times New Roman" w:cs="Times New Roman" w:eastAsia="Times New Roman" w:hAnsi="Times New Roman"/>
          <w:sz w:val="19"/>
          <w:szCs w:val="19"/>
          <w:color w:val="auto"/>
        </w:rPr>
        <w:t>Proceeding or otherwise, then (a) to the extent of such recovery, the obligation or part thereof originally intended to be satisfied shall be revived</w:t>
      </w:r>
    </w:p>
    <w:p>
      <w:pPr>
        <w:spacing w:after="0" w:line="207" w:lineRule="auto"/>
        <w:rPr>
          <w:sz w:val="20"/>
          <w:szCs w:val="20"/>
          <w:color w:val="auto"/>
        </w:rPr>
      </w:pPr>
      <w:r>
        <w:rPr>
          <w:rFonts w:ascii="Times New Roman" w:cs="Times New Roman" w:eastAsia="Times New Roman" w:hAnsi="Times New Roman"/>
          <w:sz w:val="19"/>
          <w:szCs w:val="19"/>
          <w:color w:val="auto"/>
        </w:rPr>
        <w:t>and continued in full force and effect as if such payment had not been made or such setoff had not occurred, and (b) each Lender severally agrees to pay to the Administrative Agent upon demand its applicable share (without duplication) of any amount so recovered from or repaid by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Administrative Agent,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interest thereon from the date of such demand to the date such payment is made at a rate per annum equal to the</w:t>
      </w:r>
    </w:p>
    <w:p>
      <w:pPr>
        <w:spacing w:after="0" w:line="225" w:lineRule="auto"/>
        <w:rPr>
          <w:sz w:val="20"/>
          <w:szCs w:val="20"/>
          <w:color w:val="auto"/>
        </w:rPr>
      </w:pPr>
      <w:r>
        <w:rPr>
          <w:rFonts w:ascii="Times New Roman" w:cs="Times New Roman" w:eastAsia="Times New Roman" w:hAnsi="Times New Roman"/>
          <w:sz w:val="19"/>
          <w:szCs w:val="19"/>
          <w:color w:val="auto"/>
        </w:rPr>
        <w:t xml:space="preserve">Federal Funds Effective Rate from time to time in effect. The obligations of the Lenders under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the preceding sentence shall survive the Discharge of Obligations.</w:t>
      </w:r>
    </w:p>
    <w:p>
      <w:pPr>
        <w:spacing w:after="0" w:line="15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9"/>
          <w:szCs w:val="19"/>
          <w:b w:val="1"/>
          <w:bCs w:val="1"/>
          <w:color w:val="auto"/>
        </w:rPr>
        <w:t>10.9</w:t>
        <w:tab/>
        <w:t xml:space="preserve">Interest Rate Limitation. </w:t>
      </w:r>
      <w:r>
        <w:rPr>
          <w:rFonts w:ascii="Times New Roman" w:cs="Times New Roman" w:eastAsia="Times New Roman" w:hAnsi="Times New Roman"/>
          <w:sz w:val="19"/>
          <w:szCs w:val="19"/>
          <w:color w:val="auto"/>
        </w:rPr>
        <w:t>Notwithstanding anything to the contrary contained in any Loan Document, the interest paid or agreed</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to be paid under the Loan Documents shall not exceed the maximum rate of non-usurious interest permitted by applicable law (the “</w:t>
      </w:r>
      <w:r>
        <w:rPr>
          <w:rFonts w:ascii="Times New Roman" w:cs="Times New Roman" w:eastAsia="Times New Roman" w:hAnsi="Times New Roman"/>
          <w:sz w:val="19"/>
          <w:szCs w:val="19"/>
          <w:b w:val="1"/>
          <w:bCs w:val="1"/>
          <w:i w:val="1"/>
          <w:iCs w:val="1"/>
          <w:color w:val="auto"/>
        </w:rPr>
        <w:t>Maximum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Rate</w:t>
      </w:r>
      <w:r>
        <w:rPr>
          <w:rFonts w:ascii="Times New Roman" w:cs="Times New Roman" w:eastAsia="Times New Roman" w:hAnsi="Times New Roman"/>
          <w:sz w:val="19"/>
          <w:szCs w:val="19"/>
          <w:color w:val="auto"/>
        </w:rPr>
        <w:t>”). If the Administrative Agent or any Lender shall receive interest in an amount that exceeds the Maximum Rate, the excess interest shall be</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applied to the principal of the Loans or, if it exceeds such unpaid principal, refunded to the Borrower. In determining whether the interest contracted for, charged, or received by the Administrative Agent or a Lender exceeds the Maximum Rate, such Person may, to the extent permitted</w:t>
      </w:r>
    </w:p>
    <w:p>
      <w:pPr>
        <w:spacing w:after="0" w:line="215" w:lineRule="auto"/>
        <w:rPr>
          <w:sz w:val="20"/>
          <w:szCs w:val="20"/>
          <w:color w:val="auto"/>
        </w:rPr>
      </w:pPr>
      <w:r>
        <w:rPr>
          <w:rFonts w:ascii="Times New Roman" w:cs="Times New Roman" w:eastAsia="Times New Roman" w:hAnsi="Times New Roman"/>
          <w:sz w:val="19"/>
          <w:szCs w:val="19"/>
          <w:color w:val="auto"/>
        </w:rPr>
        <w:t>by applicable law, (a) characterize any payment that is not principal as an expense, fee, or premium rather than interest, (b) exclude voluntary</w:t>
      </w:r>
    </w:p>
    <w:p>
      <w:pPr>
        <w:spacing w:after="0" w:line="225" w:lineRule="auto"/>
        <w:rPr>
          <w:sz w:val="20"/>
          <w:szCs w:val="20"/>
          <w:color w:val="auto"/>
        </w:rPr>
      </w:pPr>
      <w:r>
        <w:rPr>
          <w:rFonts w:ascii="Times New Roman" w:cs="Times New Roman" w:eastAsia="Times New Roman" w:hAnsi="Times New Roman"/>
          <w:sz w:val="19"/>
          <w:szCs w:val="19"/>
          <w:color w:val="auto"/>
        </w:rPr>
        <w:t>prepayments and the effects thereof, and (c) amortize, prorate, allocate, and spread in equal or unequal parts the total amount of interest throughout the contemplated term of the Obligations hereunder.</w:t>
      </w:r>
    </w:p>
    <w:p>
      <w:pPr>
        <w:spacing w:after="0" w:line="152"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10.10</w:t>
        <w:tab/>
        <w:t>Counterparts; Electronic Execution of Assignments.</w:t>
      </w:r>
    </w:p>
    <w:p>
      <w:pPr>
        <w:spacing w:after="0" w:line="187" w:lineRule="exact"/>
        <w:rPr>
          <w:sz w:val="20"/>
          <w:szCs w:val="20"/>
          <w:color w:val="auto"/>
        </w:rPr>
      </w:pPr>
    </w:p>
    <w:p>
      <w:pPr>
        <w:jc w:val="both"/>
        <w:ind w:firstLine="1254"/>
        <w:spacing w:after="0" w:line="226" w:lineRule="auto"/>
        <w:tabs>
          <w:tab w:leader="none" w:pos="1866"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 manually executed counterpart hereof. A set of the copies of this Agreement signed by all the parties shall be lodged with the Borrower and the Administrative Agent.</w:t>
      </w:r>
    </w:p>
    <w:p>
      <w:pPr>
        <w:spacing w:after="0" w:line="140" w:lineRule="exact"/>
        <w:rPr>
          <w:rFonts w:ascii="Times New Roman" w:cs="Times New Roman" w:eastAsia="Times New Roman" w:hAnsi="Times New Roman"/>
          <w:sz w:val="19"/>
          <w:szCs w:val="19"/>
          <w:color w:val="auto"/>
        </w:rPr>
      </w:pPr>
    </w:p>
    <w:p>
      <w:pPr>
        <w:jc w:val="both"/>
        <w:ind w:firstLine="1254"/>
        <w:spacing w:after="0" w:line="223" w:lineRule="auto"/>
        <w:tabs>
          <w:tab w:leader="none" w:pos="1863" w:val="left"/>
        </w:tabs>
        <w:numPr>
          <w:ilvl w:val="0"/>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5" w:lineRule="exact"/>
        <w:rPr>
          <w:sz w:val="20"/>
          <w:szCs w:val="20"/>
          <w:color w:val="auto"/>
        </w:rPr>
      </w:pPr>
    </w:p>
    <w:p>
      <w:pPr>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10.11 Severability. </w:t>
      </w:r>
      <w:r>
        <w:rPr>
          <w:rFonts w:ascii="Times New Roman" w:cs="Times New Roman" w:eastAsia="Times New Roman" w:hAnsi="Times New Roman"/>
          <w:sz w:val="19"/>
          <w:szCs w:val="19"/>
          <w:color w:val="auto"/>
        </w:rPr>
        <w:t>Any provision of this Agreement that is prohibited or unenforceable in any jurisdiction shall, as to such jurisdiction,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ineffective to the extent of such prohibition or unenforceability without invalidating the remaining provisions hereof, and any such prohibition</w:t>
      </w:r>
    </w:p>
    <w:p>
      <w:pPr>
        <w:spacing w:after="0" w:line="215" w:lineRule="auto"/>
        <w:rPr>
          <w:sz w:val="20"/>
          <w:szCs w:val="20"/>
          <w:color w:val="auto"/>
        </w:rPr>
      </w:pPr>
      <w:r>
        <w:rPr>
          <w:rFonts w:ascii="Times New Roman" w:cs="Times New Roman" w:eastAsia="Times New Roman" w:hAnsi="Times New Roman"/>
          <w:sz w:val="19"/>
          <w:szCs w:val="19"/>
          <w:color w:val="auto"/>
        </w:rPr>
        <w:t>or unenforceability in any jurisdiction shall not invalidate or render unenforceable such provision in any other jurisdiction. Without limiting the</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9"/>
          <w:szCs w:val="19"/>
          <w:color w:val="auto"/>
        </w:rPr>
        <w:t xml:space="preserve">foregoing provisions of this </w:t>
      </w:r>
      <w:r>
        <w:rPr>
          <w:rFonts w:ascii="Times New Roman" w:cs="Times New Roman" w:eastAsia="Times New Roman" w:hAnsi="Times New Roman"/>
          <w:sz w:val="19"/>
          <w:szCs w:val="19"/>
          <w:u w:val="single" w:color="auto"/>
          <w:color w:val="auto"/>
        </w:rPr>
        <w:t>Section 10.11</w:t>
      </w:r>
      <w:r>
        <w:rPr>
          <w:rFonts w:ascii="Times New Roman" w:cs="Times New Roman" w:eastAsia="Times New Roman" w:hAnsi="Times New Roman"/>
          <w:sz w:val="19"/>
          <w:szCs w:val="19"/>
          <w:color w:val="auto"/>
        </w:rPr>
        <w:t>, if and to the extent that the enforceability of any provisions in this Agreement relating to Defaulting Lenders shall be limited under or in connection with any Insolvency Proceeding, as determined in good faith by the Administrative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129</w:t>
      </w:r>
    </w:p>
    <w:p>
      <w:pPr>
        <w:sectPr>
          <w:pgSz w:w="11900" w:h="16838" w:orient="portrait"/>
          <w:cols w:equalWidth="0" w:num="1">
            <w:col w:w="11240"/>
          </w:cols>
          <w:pgMar w:left="320" w:top="1353"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9"/>
          <w:szCs w:val="19"/>
          <w:color w:val="auto"/>
        </w:rPr>
        <w:t>Agent or the Issuing Lender, as applicable, then such provisions shall be deemed to be in effect only to the extent not so limited.</w:t>
      </w:r>
    </w:p>
    <w:p>
      <w:pPr>
        <w:spacing w:after="0" w:line="183" w:lineRule="exact"/>
        <w:rPr>
          <w:sz w:val="20"/>
          <w:szCs w:val="20"/>
          <w:color w:val="auto"/>
        </w:rPr>
      </w:pPr>
    </w:p>
    <w:p>
      <w:pPr>
        <w:jc w:val="both"/>
        <w:ind w:firstLine="625"/>
        <w:spacing w:after="0" w:line="220" w:lineRule="auto"/>
        <w:rPr>
          <w:sz w:val="20"/>
          <w:szCs w:val="20"/>
          <w:color w:val="auto"/>
        </w:rPr>
      </w:pPr>
      <w:r>
        <w:rPr>
          <w:rFonts w:ascii="Times New Roman" w:cs="Times New Roman" w:eastAsia="Times New Roman" w:hAnsi="Times New Roman"/>
          <w:sz w:val="19"/>
          <w:szCs w:val="19"/>
          <w:b w:val="1"/>
          <w:bCs w:val="1"/>
          <w:color w:val="auto"/>
        </w:rPr>
        <w:t xml:space="preserve">10.12 Integration. </w:t>
      </w:r>
      <w:r>
        <w:rPr>
          <w:rFonts w:ascii="Times New Roman" w:cs="Times New Roman" w:eastAsia="Times New Roman" w:hAnsi="Times New Roman"/>
          <w:sz w:val="19"/>
          <w:szCs w:val="19"/>
          <w:color w:val="auto"/>
        </w:rPr>
        <w:t>This Agreement and the other Loan Documents represent the entire agreement of Holdings, the Borrower, the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Loan Parties, the Administrative Agent and the Lenders with respect to the subject matter hereof and thereof, and there are no promises,</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9"/>
          <w:szCs w:val="19"/>
          <w:color w:val="auto"/>
        </w:rPr>
        <w:t>undertakings, representations or warranties by the Administrative Agent or any Lender relative to the subject matter hereof not expressly set forth or referred to herein or in the other Loan Documents.</w:t>
      </w:r>
    </w:p>
    <w:p>
      <w:pPr>
        <w:spacing w:after="0" w:line="140"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10.13</w:t>
        <w:tab/>
        <w:t>GOVERNING LAW</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THIS AGREEMENT, THE OTHER LOAN DOCUMENTS, AND ANY CLAIM, CONTROVERSY,</w:t>
      </w:r>
    </w:p>
    <w:p>
      <w:pPr>
        <w:spacing w:after="0" w:line="215" w:lineRule="auto"/>
        <w:rPr>
          <w:sz w:val="20"/>
          <w:szCs w:val="20"/>
          <w:color w:val="auto"/>
        </w:rPr>
      </w:pPr>
      <w:r>
        <w:rPr>
          <w:rFonts w:ascii="Times New Roman" w:cs="Times New Roman" w:eastAsia="Times New Roman" w:hAnsi="Times New Roman"/>
          <w:sz w:val="19"/>
          <w:szCs w:val="19"/>
          <w:b w:val="1"/>
          <w:bCs w:val="1"/>
          <w:color w:val="auto"/>
        </w:rPr>
        <w:t>DISPUTE, CAUSE OF ACTION, OR PROCEEDING (WHETHER BASED IN CONTRACT, TORT, OR OTHERWISE) BASED UPON,</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b w:val="1"/>
          <w:bCs w:val="1"/>
          <w:color w:val="auto"/>
        </w:rPr>
        <w:t>ARISING OUT OF, CONNECTED WITH, OR RELATING TO THIS AGREEMENT OR ANY OTHER LOAN DOCUMENT (EXCEPT, AS TO ANY OTHER LOAN DOCUMENT, AS EXPRESSLY SET FORTH THEREIN) AND THE TRANSACTIONS</w:t>
      </w:r>
    </w:p>
    <w:p>
      <w:pPr>
        <w:spacing w:after="0" w:line="215" w:lineRule="auto"/>
        <w:rPr>
          <w:sz w:val="20"/>
          <w:szCs w:val="20"/>
          <w:color w:val="auto"/>
        </w:rPr>
      </w:pPr>
      <w:r>
        <w:rPr>
          <w:rFonts w:ascii="Times New Roman" w:cs="Times New Roman" w:eastAsia="Times New Roman" w:hAnsi="Times New Roman"/>
          <w:sz w:val="19"/>
          <w:szCs w:val="19"/>
          <w:b w:val="1"/>
          <w:bCs w:val="1"/>
          <w:color w:val="auto"/>
        </w:rPr>
        <w:t>CONTEMPLATED HEREBY AND THEREBY, AND THE RIGHTS AND OBLIGATIONS OF THE PARTIES HERETO AND</w:t>
      </w:r>
    </w:p>
    <w:p>
      <w:pPr>
        <w:spacing w:after="0" w:line="207" w:lineRule="auto"/>
        <w:rPr>
          <w:sz w:val="20"/>
          <w:szCs w:val="20"/>
          <w:color w:val="auto"/>
        </w:rPr>
      </w:pPr>
      <w:r>
        <w:rPr>
          <w:rFonts w:ascii="Times New Roman" w:cs="Times New Roman" w:eastAsia="Times New Roman" w:hAnsi="Times New Roman"/>
          <w:sz w:val="19"/>
          <w:szCs w:val="19"/>
          <w:b w:val="1"/>
          <w:bCs w:val="1"/>
          <w:color w:val="auto"/>
        </w:rPr>
        <w:t xml:space="preserve">THERETO, SHALL BE GOVERNED BY, AND CONSTRUED AND INTERPRETED IN ACCORDANCE WITH, THE INTERNAL LAWS (AND NOT THE CONFLICT OF LAW RULES) OF THE STATE OF NEW YORK. </w:t>
      </w:r>
      <w:r>
        <w:rPr>
          <w:rFonts w:ascii="Times New Roman" w:cs="Times New Roman" w:eastAsia="Times New Roman" w:hAnsi="Times New Roman"/>
          <w:sz w:val="19"/>
          <w:szCs w:val="19"/>
          <w:color w:val="auto"/>
        </w:rPr>
        <w:t>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10.13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survive the Discharge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Obligations.</w:t>
      </w:r>
    </w:p>
    <w:p>
      <w:pPr>
        <w:spacing w:after="0" w:line="161"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10.14</w:t>
        <w:tab/>
        <w:t xml:space="preserve">Submission to Jurisdiction; Waivers. </w:t>
      </w:r>
      <w:r>
        <w:rPr>
          <w:rFonts w:ascii="Times New Roman" w:cs="Times New Roman" w:eastAsia="Times New Roman" w:hAnsi="Times New Roman"/>
          <w:sz w:val="19"/>
          <w:szCs w:val="19"/>
          <w:color w:val="auto"/>
        </w:rPr>
        <w:t>Each party hereto hereby irrevocably and unconditionally:</w:t>
      </w:r>
    </w:p>
    <w:p>
      <w:pPr>
        <w:spacing w:after="0" w:line="174" w:lineRule="exact"/>
        <w:rPr>
          <w:sz w:val="20"/>
          <w:szCs w:val="20"/>
          <w:color w:val="auto"/>
        </w:rPr>
      </w:pPr>
    </w:p>
    <w:p>
      <w:pPr>
        <w:jc w:val="both"/>
        <w:ind w:firstLine="1254"/>
        <w:spacing w:after="0" w:line="212" w:lineRule="auto"/>
        <w:tabs>
          <w:tab w:leader="none" w:pos="1866" w:val="left"/>
        </w:tabs>
        <w:numPr>
          <w:ilvl w:val="1"/>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any of Holdings and the Borrower against the Administrative Agent or any Lender or any other Secured Party of any kind, shall be brought only in a federal or state court located in the borough of Manhattan, in New York City;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Each of Holdings and the Borrower</w:t>
      </w:r>
    </w:p>
    <w:p>
      <w:pPr>
        <w:spacing w:after="0" w:line="1" w:lineRule="exact"/>
        <w:rPr>
          <w:rFonts w:ascii="Times New Roman" w:cs="Times New Roman" w:eastAsia="Times New Roman" w:hAnsi="Times New Roman"/>
          <w:sz w:val="19"/>
          <w:szCs w:val="19"/>
          <w:color w:val="auto"/>
        </w:rPr>
      </w:pPr>
    </w:p>
    <w:p>
      <w:pPr>
        <w:ind w:left="240" w:hanging="236"/>
        <w:spacing w:after="0" w:line="214" w:lineRule="auto"/>
        <w:tabs>
          <w:tab w:leader="none" w:pos="240" w:val="left"/>
        </w:tabs>
        <w:numPr>
          <w:ilvl w:val="0"/>
          <w:numId w:val="2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expressly submits and consents in advance to such jurisdiction in any action or suit commenced in any such court and to the selection of any</w:t>
      </w:r>
    </w:p>
    <w:p>
      <w:pPr>
        <w:spacing w:after="0" w:line="215" w:lineRule="auto"/>
        <w:rPr>
          <w:sz w:val="20"/>
          <w:szCs w:val="20"/>
          <w:color w:val="auto"/>
        </w:rPr>
      </w:pPr>
      <w:r>
        <w:rPr>
          <w:rFonts w:ascii="Times New Roman" w:cs="Times New Roman" w:eastAsia="Times New Roman" w:hAnsi="Times New Roman"/>
          <w:sz w:val="19"/>
          <w:szCs w:val="19"/>
          <w:color w:val="auto"/>
        </w:rPr>
        <w:t>referee referred to below, (ii) hereby waives any objection that it may have based upon lack of personal jurisdiction, improper venue, or forum non</w:t>
      </w:r>
    </w:p>
    <w:p>
      <w:pPr>
        <w:spacing w:after="0" w:line="207" w:lineRule="auto"/>
        <w:rPr>
          <w:sz w:val="20"/>
          <w:szCs w:val="20"/>
          <w:color w:val="auto"/>
        </w:rPr>
      </w:pPr>
      <w:r>
        <w:rPr>
          <w:rFonts w:ascii="Times New Roman" w:cs="Times New Roman" w:eastAsia="Times New Roman" w:hAnsi="Times New Roman"/>
          <w:sz w:val="19"/>
          <w:szCs w:val="19"/>
          <w:color w:val="auto"/>
        </w:rPr>
        <w:t>conveniens and hereby consents to the granting of such legal or equitable relief as is deemed appropriate by such court, and (iii) agrees that it shall not file any motion or other application seeking to change the venue of any such suit or other action. Each of Holdings and the Borrower hereby</w:t>
      </w:r>
    </w:p>
    <w:p>
      <w:pPr>
        <w:spacing w:after="0" w:line="215" w:lineRule="auto"/>
        <w:rPr>
          <w:sz w:val="20"/>
          <w:szCs w:val="20"/>
          <w:color w:val="auto"/>
        </w:rPr>
      </w:pPr>
      <w:r>
        <w:rPr>
          <w:rFonts w:ascii="Times New Roman" w:cs="Times New Roman" w:eastAsia="Times New Roman" w:hAnsi="Times New Roman"/>
          <w:sz w:val="19"/>
          <w:szCs w:val="19"/>
          <w:color w:val="auto"/>
        </w:rPr>
        <w:t>waives personal service of any summons, complaints, and other process issued in any such action or suit and agrees that service of any such</w:t>
      </w:r>
    </w:p>
    <w:p>
      <w:pPr>
        <w:spacing w:after="0" w:line="207" w:lineRule="auto"/>
        <w:rPr>
          <w:sz w:val="20"/>
          <w:szCs w:val="20"/>
          <w:color w:val="auto"/>
        </w:rPr>
      </w:pPr>
      <w:r>
        <w:rPr>
          <w:rFonts w:ascii="Times New Roman" w:cs="Times New Roman" w:eastAsia="Times New Roman" w:hAnsi="Times New Roman"/>
          <w:sz w:val="19"/>
          <w:szCs w:val="19"/>
          <w:color w:val="auto"/>
        </w:rPr>
        <w:t xml:space="preserve">summons, complaints, and other process may be made by registered or certified mail addressed to the Borrower or Holdings at the address set forth in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of this Agreement and that service so made shall be deemed completed upon the earlier to occur of the Borrower’s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Holdings’, as applicable, actual receipt thereof or three days after deposit in the U.S. mails, proper postage prepaid;</w:t>
      </w:r>
    </w:p>
    <w:p>
      <w:pPr>
        <w:spacing w:after="0" w:line="161" w:lineRule="exact"/>
        <w:rPr>
          <w:sz w:val="20"/>
          <w:szCs w:val="20"/>
          <w:color w:val="auto"/>
        </w:rPr>
      </w:pPr>
    </w:p>
    <w:p>
      <w:pPr>
        <w:jc w:val="both"/>
        <w:ind w:firstLine="1254"/>
        <w:spacing w:after="0" w:line="219" w:lineRule="auto"/>
        <w:tabs>
          <w:tab w:leader="none" w:pos="1863"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 AGREEMENT AND THE OTHER LOAN DOCUMENTS. EACH OF HOLDINGS AND THE BORROWER HAS REVIEWED THIS WAIVER WITH ITS COUNSEL;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130</w:t>
      </w:r>
    </w:p>
    <w:p>
      <w:pPr>
        <w:sectPr>
          <w:pgSz w:w="11900" w:h="16838" w:orient="portrait"/>
          <w:cols w:equalWidth="0" w:num="1">
            <w:col w:w="11240"/>
          </w:cols>
          <w:pgMar w:left="320" w:top="1354" w:right="339" w:bottom="1440" w:gutter="0" w:footer="0" w:header="0"/>
        </w:sectPr>
      </w:pPr>
    </w:p>
    <w:bookmarkStart w:id="262" w:name="page263"/>
    <w:bookmarkEnd w:id="262"/>
    <w:p>
      <w:pPr>
        <w:jc w:val="both"/>
        <w:ind w:firstLine="1254"/>
        <w:spacing w:after="0" w:line="223" w:lineRule="auto"/>
        <w:tabs>
          <w:tab w:leader="none" w:pos="1866"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AGREES, WITHOUT INTENDING IN ANY WAY TO LIMIT ITS AGREEMENT TO WAIVE ITS RIGHT TO A TRIAL BY JURY</w:t>
      </w:r>
      <w:r>
        <w:rPr>
          <w:rFonts w:ascii="Times New Roman" w:cs="Times New Roman" w:eastAsia="Times New Roman" w:hAnsi="Times New Roman"/>
          <w:sz w:val="19"/>
          <w:szCs w:val="19"/>
          <w:color w:val="auto"/>
        </w:rPr>
        <w:t>, that if (i) any action or proceeding is filed in a court of the State of New York by or against any party hereto in connection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any of the transactions contemplated by this Agreement or any other Loan Document, and (ii) the above waiver of the right to a trial by jury is held by a court to be unenforceable, any and all disputes or controversies of any nature arising under this Agreement, any other Loan Document, or any contemplated transactions related hereto or thereto among any of the parties hereto or thereto at any time shall be decided by a reference to a referee who shall be a retired state or federal judge with judicial experience in civil matters, mutually selected by the Borrower, the Administrative Agent and the Lenders appointed in accordance with New York State law, sitting without a jury, in the borough of Manhattan, in New York City; and the Borrower hereby submits to the jurisdiction of such court. The referee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action, a party hereto desires to seek provisional relief in the action or with respect to any Collateral located within the State of New York, but a referee has not been appointed at that point pursuant to the judicial reference procedures, then such party may apply to the appropriate state or federal court in the State of New York for such relief. The proceeding before the referee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referee shall oversee discovery and may enforce all discovery rules and orders applicable to judicial proceedings in the same manner as a trial court judge. Each of Holdings and the Borrower agrees that the selected or appointed referee shall have the power to decide all issues in the action or proceeding, whether of fact of law, and shall report a statement of decision thereon pursuant to New York State law. Nothing in this paragraph shall limit the right of the Administrative Agent or any Lender at any time to exercise self-help remedies, foreclose against Collateral, or obtain provisional remedies. The referee shall also determine all issues relating to the applicability, interpretation and enforceability of this paragraph; and</w:t>
      </w:r>
    </w:p>
    <w:p>
      <w:pPr>
        <w:spacing w:after="0" w:line="161" w:lineRule="exact"/>
        <w:rPr>
          <w:rFonts w:ascii="Times New Roman" w:cs="Times New Roman" w:eastAsia="Times New Roman" w:hAnsi="Times New Roman"/>
          <w:sz w:val="19"/>
          <w:szCs w:val="19"/>
          <w:color w:val="auto"/>
        </w:rPr>
      </w:pPr>
    </w:p>
    <w:p>
      <w:pPr>
        <w:ind w:firstLine="1254"/>
        <w:spacing w:after="0" w:line="237" w:lineRule="auto"/>
        <w:tabs>
          <w:tab w:leader="none" w:pos="1863" w:val="left"/>
        </w:tabs>
        <w:numPr>
          <w:ilvl w:val="0"/>
          <w:numId w:val="2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waives, to the maximum extent not prohibited by law, any right it may have to claim or recover in any legal action or proceeding referred to in this Section any special, exemplary, punitive or consequential damages.</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u w:val="single" w:color="auto"/>
          <w:color w:val="auto"/>
        </w:rPr>
        <w:t>Section 10.14</w:t>
      </w:r>
      <w:r>
        <w:rPr>
          <w:rFonts w:ascii="Times New Roman" w:cs="Times New Roman" w:eastAsia="Times New Roman" w:hAnsi="Times New Roman"/>
          <w:sz w:val="19"/>
          <w:szCs w:val="19"/>
          <w:color w:val="auto"/>
        </w:rPr>
        <w:t xml:space="preserve"> shall survive the Discharge of Obligations.</w:t>
      </w:r>
    </w:p>
    <w:p>
      <w:pPr>
        <w:spacing w:after="0" w:line="209"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10.15</w:t>
        <w:tab/>
        <w:t xml:space="preserve">Acknowledgements. </w:t>
      </w:r>
      <w:r>
        <w:rPr>
          <w:rFonts w:ascii="Times New Roman" w:cs="Times New Roman" w:eastAsia="Times New Roman" w:hAnsi="Times New Roman"/>
          <w:sz w:val="19"/>
          <w:szCs w:val="19"/>
          <w:color w:val="auto"/>
        </w:rPr>
        <w:t>Each of Holdings and the Borrower hereby acknowledges that:</w:t>
      </w:r>
    </w:p>
    <w:p>
      <w:pPr>
        <w:spacing w:after="0" w:line="173"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9"/>
          <w:szCs w:val="19"/>
          <w:color w:val="auto"/>
        </w:rPr>
        <w:t>it has been advised by counsel in the negotiation, execution and delivery of this Agreement and the other Loan</w:t>
      </w:r>
    </w:p>
    <w:p>
      <w:pPr>
        <w:spacing w:after="0"/>
        <w:rPr>
          <w:sz w:val="20"/>
          <w:szCs w:val="20"/>
          <w:color w:val="auto"/>
        </w:rPr>
      </w:pPr>
      <w:r>
        <w:rPr>
          <w:rFonts w:ascii="Times New Roman" w:cs="Times New Roman" w:eastAsia="Times New Roman" w:hAnsi="Times New Roman"/>
          <w:sz w:val="19"/>
          <w:szCs w:val="19"/>
          <w:color w:val="auto"/>
        </w:rPr>
        <w:t>Documents;</w:t>
      </w:r>
    </w:p>
    <w:p>
      <w:pPr>
        <w:spacing w:after="0" w:line="163" w:lineRule="exact"/>
        <w:rPr>
          <w:sz w:val="20"/>
          <w:szCs w:val="20"/>
          <w:color w:val="auto"/>
        </w:rPr>
      </w:pPr>
    </w:p>
    <w:p>
      <w:pPr>
        <w:jc w:val="both"/>
        <w:ind w:firstLine="1254"/>
        <w:spacing w:after="0" w:line="226" w:lineRule="auto"/>
        <w:tabs>
          <w:tab w:leader="none" w:pos="1863"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Administrative Agent nor any Lender has any fiduciary relationship with or duty to Holdings or the Borrower arising out of or in connection with this Agreement or any of the other Loan Documents, and the relationship between the Administrative Agent and Lenders, on one hand, and Holdings and the Borrower, on the other hand, in connection herewith or therewith is solely that of debtor and creditor; and</w:t>
      </w:r>
    </w:p>
    <w:p>
      <w:pPr>
        <w:spacing w:after="0" w:line="140" w:lineRule="exact"/>
        <w:rPr>
          <w:rFonts w:ascii="Times New Roman" w:cs="Times New Roman" w:eastAsia="Times New Roman" w:hAnsi="Times New Roman"/>
          <w:sz w:val="19"/>
          <w:szCs w:val="19"/>
          <w:color w:val="auto"/>
        </w:rPr>
      </w:pPr>
    </w:p>
    <w:p>
      <w:pPr>
        <w:ind w:firstLine="1254"/>
        <w:spacing w:after="0" w:line="249" w:lineRule="auto"/>
        <w:tabs>
          <w:tab w:leader="none" w:pos="1866"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joint venture is created hereby or by the other Loan Documents or otherwise exists by virtue of the transactions contemplated hereby among the Lenders or among Holdings, the Borrower and the Lenders.</w:t>
      </w:r>
    </w:p>
    <w:p>
      <w:pPr>
        <w:spacing w:after="0" w:line="144"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10.16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72" w:lineRule="exact"/>
        <w:rPr>
          <w:sz w:val="20"/>
          <w:szCs w:val="20"/>
          <w:color w:val="auto"/>
        </w:rPr>
      </w:pPr>
    </w:p>
    <w:p>
      <w:pPr>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10.17 Treatment of Certain Information; Confidentiality. </w:t>
      </w:r>
      <w:r>
        <w:rPr>
          <w:rFonts w:ascii="Times New Roman" w:cs="Times New Roman" w:eastAsia="Times New Roman" w:hAnsi="Times New Roman"/>
          <w:sz w:val="19"/>
          <w:szCs w:val="19"/>
          <w:color w:val="auto"/>
        </w:rPr>
        <w:t>Each of the Administrative Agent and each Lender agrees to maintain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confidentiality of the Information (as defined below), except that Information may be disclosed (a) to its Affiliates and to its Related Parties (it</w:t>
      </w:r>
    </w:p>
    <w:p>
      <w:pPr>
        <w:spacing w:after="0" w:line="1"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9"/>
          <w:szCs w:val="19"/>
          <w:color w:val="auto"/>
        </w:rPr>
        <w:t>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Person or its Related Parties (including 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131</w:t>
      </w:r>
    </w:p>
    <w:p>
      <w:pPr>
        <w:sectPr>
          <w:pgSz w:w="11900" w:h="16838" w:orient="portrait"/>
          <w:cols w:equalWidth="0" w:num="1">
            <w:col w:w="11240"/>
          </w:cols>
          <w:pgMar w:left="320" w:top="1352"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9"/>
          <w:szCs w:val="19"/>
          <w:color w:val="auto"/>
        </w:rPr>
        <w:t>self-regulatory authority, such as the National Association of Insurance Commissioners); (c) to the extent required by applicable laws or</w:t>
      </w:r>
    </w:p>
    <w:p>
      <w:pPr>
        <w:spacing w:after="0" w:line="207" w:lineRule="auto"/>
        <w:rPr>
          <w:sz w:val="20"/>
          <w:szCs w:val="20"/>
          <w:color w:val="auto"/>
        </w:rPr>
      </w:pPr>
      <w:r>
        <w:rPr>
          <w:rFonts w:ascii="Times New Roman" w:cs="Times New Roman" w:eastAsia="Times New Roman" w:hAnsi="Times New Roman"/>
          <w:sz w:val="19"/>
          <w:szCs w:val="19"/>
          <w:color w:val="auto"/>
        </w:rPr>
        <w:t>regulations or by any subpoena or similar legal process; (d) to any other party hereto; (e) in connection with the exercise of any remedies hereunder or under any other Loan Document or any action or proceeding relating to this Agreement or any other Loan Document or the</w:t>
      </w:r>
    </w:p>
    <w:p>
      <w:pPr>
        <w:spacing w:after="0" w:line="215" w:lineRule="auto"/>
        <w:rPr>
          <w:sz w:val="20"/>
          <w:szCs w:val="20"/>
          <w:color w:val="auto"/>
        </w:rPr>
      </w:pPr>
      <w:r>
        <w:rPr>
          <w:rFonts w:ascii="Times New Roman" w:cs="Times New Roman" w:eastAsia="Times New Roman" w:hAnsi="Times New Roman"/>
          <w:sz w:val="19"/>
          <w:szCs w:val="19"/>
          <w:color w:val="auto"/>
        </w:rPr>
        <w:t>enforcement of rights hereunder or thereunder; (f) subject to an agreement containing provisions substantially the same as those of this Section, to</w:t>
      </w:r>
    </w:p>
    <w:p>
      <w:pPr>
        <w:ind w:left="240" w:hanging="236"/>
        <w:spacing w:after="0" w:line="200" w:lineRule="auto"/>
        <w:tabs>
          <w:tab w:leader="none" w:pos="240" w:val="left"/>
        </w:tabs>
        <w:numPr>
          <w:ilvl w:val="0"/>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assignee of or Participant in, or any prospective assignee of or Participant in, any of its rights and obligations under this Agreement, or</w:t>
      </w:r>
    </w:p>
    <w:p>
      <w:pPr>
        <w:ind w:left="300" w:hanging="296"/>
        <w:spacing w:after="0" w:line="214" w:lineRule="auto"/>
        <w:tabs>
          <w:tab w:leader="none" w:pos="300" w:val="left"/>
        </w:tabs>
        <w:numPr>
          <w:ilvl w:val="0"/>
          <w:numId w:val="2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actual or prospective party (or its Related Parties) to any swap, derivative or other transaction under which payments are to be made by</w:t>
      </w:r>
    </w:p>
    <w:p>
      <w:pPr>
        <w:spacing w:after="0" w:line="215" w:lineRule="auto"/>
        <w:rPr>
          <w:sz w:val="20"/>
          <w:szCs w:val="20"/>
          <w:color w:val="auto"/>
        </w:rPr>
      </w:pPr>
      <w:r>
        <w:rPr>
          <w:rFonts w:ascii="Times New Roman" w:cs="Times New Roman" w:eastAsia="Times New Roman" w:hAnsi="Times New Roman"/>
          <w:sz w:val="19"/>
          <w:szCs w:val="19"/>
          <w:color w:val="auto"/>
        </w:rPr>
        <w:t>reference to the Borrower and its obligations, this Agreement or payments hereunder; (g) on a confidential basis to (i) any rating agency in</w:t>
      </w:r>
    </w:p>
    <w:p>
      <w:pPr>
        <w:spacing w:after="0" w:line="207" w:lineRule="auto"/>
        <w:rPr>
          <w:sz w:val="20"/>
          <w:szCs w:val="20"/>
          <w:color w:val="auto"/>
        </w:rPr>
      </w:pPr>
      <w:r>
        <w:rPr>
          <w:rFonts w:ascii="Times New Roman" w:cs="Times New Roman" w:eastAsia="Times New Roman" w:hAnsi="Times New Roman"/>
          <w:sz w:val="19"/>
          <w:szCs w:val="19"/>
          <w:color w:val="auto"/>
        </w:rPr>
        <w:t>connection with rating Holdings, the Borrower or their respective Subsidiaries or the Facilities or (ii) the CUSIP Service Bureau or any similar agency in connection with the issuance and monitoring of CUSIP numbers with respect to the Facilities; (h) with the consent of the Borrower; or</w:t>
      </w:r>
    </w:p>
    <w:p>
      <w:pPr>
        <w:spacing w:after="0" w:line="1" w:lineRule="exact"/>
        <w:rPr>
          <w:sz w:val="20"/>
          <w:szCs w:val="20"/>
          <w:color w:val="auto"/>
        </w:rPr>
      </w:pPr>
    </w:p>
    <w:p>
      <w:pPr>
        <w:jc w:val="both"/>
        <w:ind w:firstLine="4"/>
        <w:spacing w:after="0" w:line="213" w:lineRule="auto"/>
        <w:tabs>
          <w:tab w:leader="none" w:pos="235" w:val="left"/>
        </w:tabs>
        <w:numPr>
          <w:ilvl w:val="0"/>
          <w:numId w:val="2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w:t>
      </w:r>
    </w:p>
    <w:p>
      <w:pPr>
        <w:spacing w:after="0" w:line="173" w:lineRule="exact"/>
        <w:rPr>
          <w:sz w:val="20"/>
          <w:szCs w:val="20"/>
          <w:color w:val="auto"/>
        </w:rPr>
      </w:pPr>
    </w:p>
    <w:p>
      <w:pPr>
        <w:jc w:val="both"/>
        <w:ind w:firstLine="1250"/>
        <w:spacing w:after="0" w:line="264" w:lineRule="auto"/>
        <w:rPr>
          <w:sz w:val="20"/>
          <w:szCs w:val="20"/>
          <w:color w:val="auto"/>
        </w:rPr>
      </w:pPr>
      <w:r>
        <w:rPr>
          <w:rFonts w:ascii="Times New Roman" w:cs="Times New Roman" w:eastAsia="Times New Roman" w:hAnsi="Times New Roman"/>
          <w:sz w:val="19"/>
          <w:szCs w:val="19"/>
          <w:color w:val="auto"/>
        </w:rPr>
        <w:t>Each of the Administrative Agent, the Lenders, and the Issuing Lender acknowledges that (x) the Information may include material non-public information concerning Holdings, the Borrower or a Subsidiary, as the case may be, (y) it has developed compliance procedures regarding the use of material non-public information, and (z) it will handle such material non-public information in accordance with applicable Requirements of Law, including applicable federal and state securities laws, rules and regulations.</w:t>
      </w:r>
    </w:p>
    <w:p>
      <w:pPr>
        <w:spacing w:after="0" w:line="159" w:lineRule="exact"/>
        <w:rPr>
          <w:sz w:val="20"/>
          <w:szCs w:val="20"/>
          <w:color w:val="auto"/>
        </w:rPr>
      </w:pPr>
    </w:p>
    <w:p>
      <w:pPr>
        <w:jc w:val="both"/>
        <w:ind w:firstLine="1250"/>
        <w:spacing w:after="0" w:line="262" w:lineRule="auto"/>
        <w:rPr>
          <w:sz w:val="20"/>
          <w:szCs w:val="20"/>
          <w:color w:val="auto"/>
        </w:rPr>
      </w:pPr>
      <w:r>
        <w:rPr>
          <w:rFonts w:ascii="Times New Roman" w:cs="Times New Roman" w:eastAsia="Times New Roman" w:hAnsi="Times New Roman"/>
          <w:sz w:val="19"/>
          <w:szCs w:val="19"/>
          <w:color w:val="auto"/>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spacing w:after="0" w:line="158" w:lineRule="exact"/>
        <w:rPr>
          <w:sz w:val="20"/>
          <w:szCs w:val="20"/>
          <w:color w:val="auto"/>
        </w:rPr>
      </w:pPr>
    </w:p>
    <w:p>
      <w:pPr>
        <w:jc w:val="both"/>
        <w:ind w:firstLine="1250"/>
        <w:spacing w:after="0" w:line="259" w:lineRule="auto"/>
        <w:rPr>
          <w:sz w:val="20"/>
          <w:szCs w:val="20"/>
          <w:color w:val="auto"/>
        </w:rPr>
      </w:pPr>
      <w:r>
        <w:rPr>
          <w:rFonts w:ascii="Times New Roman" w:cs="Times New Roman" w:eastAsia="Times New Roman" w:hAnsi="Times New Roman"/>
          <w:sz w:val="19"/>
          <w:szCs w:val="19"/>
          <w:color w:val="auto"/>
        </w:rPr>
        <w:t>For purposes of this Section, “</w:t>
      </w:r>
      <w:r>
        <w:rPr>
          <w:rFonts w:ascii="Times New Roman" w:cs="Times New Roman" w:eastAsia="Times New Roman" w:hAnsi="Times New Roman"/>
          <w:sz w:val="19"/>
          <w:szCs w:val="19"/>
          <w:b w:val="1"/>
          <w:bCs w:val="1"/>
          <w:i w:val="1"/>
          <w:iCs w:val="1"/>
          <w:color w:val="auto"/>
        </w:rPr>
        <w:t>Information</w:t>
      </w:r>
      <w:r>
        <w:rPr>
          <w:rFonts w:ascii="Times New Roman" w:cs="Times New Roman" w:eastAsia="Times New Roman" w:hAnsi="Times New Roman"/>
          <w:sz w:val="19"/>
          <w:szCs w:val="19"/>
          <w:color w:val="auto"/>
        </w:rPr>
        <w:t xml:space="preserve">” means all information received from Holdings or any of its Subsidiaries relating to Holdings or any of its Subsidiaries or any of their respective businesses, other than any such information that is available to the Administrative Agent or any Lender on a non-confidential basis prior to disclosure by Holdings or any of its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Holdings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4"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9"/>
          <w:szCs w:val="19"/>
          <w:color w:val="auto"/>
        </w:rPr>
        <w:t>During the course of field examinations and other visits, inspections, examinations and discussions, representatives of Administrative Agent and the Lenders may encounter individually identifiable healthcare information as defined under HIPAA, or other confidential information relating 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132</w:t>
      </w:r>
    </w:p>
    <w:p>
      <w:pPr>
        <w:sectPr>
          <w:pgSz w:w="11900" w:h="16838" w:orient="portrait"/>
          <w:cols w:equalWidth="0" w:num="1">
            <w:col w:w="11240"/>
          </w:cols>
          <w:pgMar w:left="320" w:top="1353" w:right="339" w:bottom="1440" w:gutter="0" w:footer="0" w:header="0"/>
        </w:sectPr>
      </w:pPr>
    </w:p>
    <w:bookmarkStart w:id="264" w:name="page265"/>
    <w:bookmarkEnd w:id="264"/>
    <w:p>
      <w:pPr>
        <w:jc w:val="both"/>
        <w:spacing w:after="0" w:line="257" w:lineRule="auto"/>
        <w:rPr>
          <w:sz w:val="20"/>
          <w:szCs w:val="20"/>
          <w:color w:val="auto"/>
        </w:rPr>
      </w:pPr>
      <w:r>
        <w:rPr>
          <w:rFonts w:ascii="Times New Roman" w:cs="Times New Roman" w:eastAsia="Times New Roman" w:hAnsi="Times New Roman"/>
          <w:sz w:val="19"/>
          <w:szCs w:val="19"/>
          <w:color w:val="auto"/>
        </w:rPr>
        <w:t>healthcare patients (collectively, the “</w:t>
      </w:r>
      <w:r>
        <w:rPr>
          <w:rFonts w:ascii="Times New Roman" w:cs="Times New Roman" w:eastAsia="Times New Roman" w:hAnsi="Times New Roman"/>
          <w:sz w:val="19"/>
          <w:szCs w:val="19"/>
          <w:b w:val="1"/>
          <w:bCs w:val="1"/>
          <w:i w:val="1"/>
          <w:iCs w:val="1"/>
          <w:color w:val="auto"/>
        </w:rPr>
        <w:t>Confidential Healthcare Information</w:t>
      </w:r>
      <w:r>
        <w:rPr>
          <w:rFonts w:ascii="Times New Roman" w:cs="Times New Roman" w:eastAsia="Times New Roman" w:hAnsi="Times New Roman"/>
          <w:sz w:val="19"/>
          <w:szCs w:val="19"/>
          <w:color w:val="auto"/>
        </w:rPr>
        <w:t>”). The Loan Parties maintaining such Confidential Healthcare Information shall, consistent with HIPAA’s “minimum necessary” provisions, permit such disclosure for their “healthcare operations” purposes. Unless otherwise required by law, Administrative Agent, the Lenders and their respective representatives shall not require or perform any act that would cause the Loan Parties to violate any laws, regulations or ordinances intended to protect the privacy rights of healthcare patients, including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HIPAA.</w:t>
      </w:r>
    </w:p>
    <w:p>
      <w:pPr>
        <w:spacing w:after="0" w:line="187"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10.18</w:t>
        <w:tab/>
        <w:t xml:space="preserve">Automatic Debits. </w:t>
      </w:r>
      <w:r>
        <w:rPr>
          <w:rFonts w:ascii="Times New Roman" w:cs="Times New Roman" w:eastAsia="Times New Roman" w:hAnsi="Times New Roman"/>
          <w:sz w:val="19"/>
          <w:szCs w:val="19"/>
          <w:color w:val="auto"/>
        </w:rPr>
        <w:t>With respect to any principal, interest, fee, or any other cost or expense (including attorney costs of the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Administrative Agent or any Lender payable by the Borrower hereunder) due and payable to the Administrative Agent or any Lender under the Loan Documents, the Borrower hereby irrevocably authorizes the Administrative Agent to debit any deposit account (other than an Excluded</w:t>
      </w:r>
    </w:p>
    <w:p>
      <w:pPr>
        <w:spacing w:after="0" w:line="215" w:lineRule="auto"/>
        <w:rPr>
          <w:sz w:val="20"/>
          <w:szCs w:val="20"/>
          <w:color w:val="auto"/>
        </w:rPr>
      </w:pPr>
      <w:r>
        <w:rPr>
          <w:rFonts w:ascii="Times New Roman" w:cs="Times New Roman" w:eastAsia="Times New Roman" w:hAnsi="Times New Roman"/>
          <w:sz w:val="19"/>
          <w:szCs w:val="19"/>
          <w:color w:val="auto"/>
        </w:rPr>
        <w:t>Account) of the Borrower maintained with the Administrative Agent in an amount such that the aggregate amount debited from all such deposit</w:t>
      </w:r>
    </w:p>
    <w:p>
      <w:pPr>
        <w:jc w:val="both"/>
        <w:spacing w:after="0" w:line="207" w:lineRule="auto"/>
        <w:rPr>
          <w:sz w:val="20"/>
          <w:szCs w:val="20"/>
          <w:color w:val="auto"/>
        </w:rPr>
      </w:pPr>
      <w:r>
        <w:rPr>
          <w:rFonts w:ascii="Times New Roman" w:cs="Times New Roman" w:eastAsia="Times New Roman" w:hAnsi="Times New Roman"/>
          <w:sz w:val="19"/>
          <w:szCs w:val="19"/>
          <w:color w:val="auto"/>
        </w:rPr>
        <w:t>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be deemed to be unpaid. No such debit under this </w:t>
      </w:r>
      <w:r>
        <w:rPr>
          <w:rFonts w:ascii="Times New Roman" w:cs="Times New Roman" w:eastAsia="Times New Roman" w:hAnsi="Times New Roman"/>
          <w:sz w:val="19"/>
          <w:szCs w:val="19"/>
          <w:u w:val="single" w:color="auto"/>
          <w:color w:val="auto"/>
        </w:rPr>
        <w:t>Section 10.18</w:t>
      </w:r>
      <w:r>
        <w:rPr>
          <w:rFonts w:ascii="Times New Roman" w:cs="Times New Roman" w:eastAsia="Times New Roman" w:hAnsi="Times New Roman"/>
          <w:sz w:val="19"/>
          <w:szCs w:val="19"/>
          <w:color w:val="auto"/>
        </w:rPr>
        <w:t xml:space="preserve"> shall be deemed a set-off.</w:t>
      </w:r>
    </w:p>
    <w:p>
      <w:pPr>
        <w:spacing w:after="0" w:line="161"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19"/>
          <w:szCs w:val="19"/>
          <w:b w:val="1"/>
          <w:bCs w:val="1"/>
          <w:color w:val="auto"/>
        </w:rPr>
        <w:t>10.19</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72" w:lineRule="exact"/>
        <w:rPr>
          <w:sz w:val="20"/>
          <w:szCs w:val="20"/>
          <w:color w:val="auto"/>
        </w:rPr>
      </w:pPr>
    </w:p>
    <w:p>
      <w:pPr>
        <w:jc w:val="both"/>
        <w:ind w:firstLine="625"/>
        <w:spacing w:after="0" w:line="227" w:lineRule="auto"/>
        <w:rPr>
          <w:sz w:val="20"/>
          <w:szCs w:val="20"/>
          <w:color w:val="auto"/>
        </w:rPr>
      </w:pPr>
      <w:r>
        <w:rPr>
          <w:rFonts w:ascii="Times New Roman" w:cs="Times New Roman" w:eastAsia="Times New Roman" w:hAnsi="Times New Roman"/>
          <w:sz w:val="19"/>
          <w:szCs w:val="19"/>
          <w:b w:val="1"/>
          <w:bCs w:val="1"/>
          <w:color w:val="auto"/>
        </w:rPr>
        <w:t xml:space="preserve">10.20 Patriot Act. </w:t>
      </w:r>
      <w:r>
        <w:rPr>
          <w:rFonts w:ascii="Times New Roman" w:cs="Times New Roman" w:eastAsia="Times New Roman" w:hAnsi="Times New Roman"/>
          <w:sz w:val="19"/>
          <w:szCs w:val="19"/>
          <w:color w:val="auto"/>
        </w:rPr>
        <w:t>Each Lender and the Administrative Agent (for itself and not on behalf of any other party) hereby notifies Holdings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the Borrower and each other Loan Party that, pursuant to the requirements of “know your customer” and anti-money-laundering rules and</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9"/>
          <w:szCs w:val="19"/>
          <w:color w:val="auto"/>
        </w:rPr>
        <w:t>regulations, including the Patriot Act and the Beneficial Ownership Regulation, it is required to obtain, verify and record information that identifies Holdings and the Borrower and each other Loan Party, which information includes the names and addresses and other information that</w:t>
      </w:r>
    </w:p>
    <w:p>
      <w:pPr>
        <w:spacing w:after="0" w:line="215" w:lineRule="auto"/>
        <w:rPr>
          <w:sz w:val="20"/>
          <w:szCs w:val="20"/>
          <w:color w:val="auto"/>
        </w:rPr>
      </w:pPr>
      <w:r>
        <w:rPr>
          <w:rFonts w:ascii="Times New Roman" w:cs="Times New Roman" w:eastAsia="Times New Roman" w:hAnsi="Times New Roman"/>
          <w:sz w:val="19"/>
          <w:szCs w:val="19"/>
          <w:color w:val="auto"/>
        </w:rPr>
        <w:t>will allow such Lender or the Administrative Agent, as applicable, to identify Holdings and the Borrower and each other Loan Party in accordance</w:t>
      </w:r>
    </w:p>
    <w:p>
      <w:pPr>
        <w:jc w:val="both"/>
        <w:spacing w:after="0" w:line="207" w:lineRule="auto"/>
        <w:rPr>
          <w:sz w:val="20"/>
          <w:szCs w:val="20"/>
          <w:color w:val="auto"/>
        </w:rPr>
      </w:pPr>
      <w:r>
        <w:rPr>
          <w:rFonts w:ascii="Times New Roman" w:cs="Times New Roman" w:eastAsia="Times New Roman" w:hAnsi="Times New Roman"/>
          <w:sz w:val="19"/>
          <w:szCs w:val="19"/>
          <w:color w:val="auto"/>
        </w:rPr>
        <w:t>with such rules and regulations. Each of Holdings and the Borrower and each other Loan Party will, and will cause each of its respective Subsidiaries to, provide such information and take such actions as are reasonably requested by the Administrative Agent or any Lender to assist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Administrative Agent or any such Lender in maintaining compliance with such applicable rules and regulations.</w:t>
      </w:r>
    </w:p>
    <w:p>
      <w:pPr>
        <w:spacing w:after="0" w:line="16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left blank intentionally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133</w:t>
      </w:r>
    </w:p>
    <w:p>
      <w:pPr>
        <w:sectPr>
          <w:pgSz w:w="11900" w:h="16838" w:orient="portrait"/>
          <w:cols w:equalWidth="0" w:num="1">
            <w:col w:w="11240"/>
          </w:cols>
          <w:pgMar w:left="320" w:top="1363" w:right="339" w:bottom="1440" w:gutter="0" w:footer="0" w:header="0"/>
        </w:sectPr>
      </w:pPr>
    </w:p>
    <w:bookmarkStart w:id="265" w:name="page266"/>
    <w:bookmarkEnd w:id="265"/>
    <w:p>
      <w:pPr>
        <w:ind w:firstLine="625"/>
        <w:spacing w:after="0" w:line="294" w:lineRule="auto"/>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duly executed and delivered by their proper and duly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authorized officers as of the day and year first above written.</w:t>
      </w:r>
    </w:p>
    <w:p>
      <w:pPr>
        <w:spacing w:after="0" w:line="36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AIRSCULPT TECHNOLOGIES, INC.,</w:t>
      </w:r>
    </w:p>
    <w:p>
      <w:pPr>
        <w:spacing w:after="0" w:line="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as Holdings</w:t>
      </w:r>
    </w:p>
    <w:p>
      <w:pPr>
        <w:spacing w:after="0" w:line="2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-7620</wp:posOffset>
            </wp:positionV>
            <wp:extent cx="1212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spacing w:after="0" w:line="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-17780</wp:posOffset>
            </wp:positionV>
            <wp:extent cx="1212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-17780</wp:posOffset>
            </wp:positionV>
            <wp:extent cx="12128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EBS INTERMEDIATE PARENT LLC,</w:t>
      </w:r>
    </w:p>
    <w:p>
      <w:pPr>
        <w:spacing w:after="0" w:line="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as Intermediate Holdings</w:t>
      </w:r>
    </w:p>
    <w:p>
      <w:pPr>
        <w:spacing w:after="0" w:line="2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-7620</wp:posOffset>
            </wp:positionV>
            <wp:extent cx="1212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spacing w:after="0" w:line="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-17780</wp:posOffset>
            </wp:positionV>
            <wp:extent cx="1212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-17780</wp:posOffset>
            </wp:positionV>
            <wp:extent cx="1212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EBS ENTERPRISES LLC,</w:t>
      </w:r>
    </w:p>
    <w:p>
      <w:pPr>
        <w:spacing w:after="0" w:line="3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as the Borrower</w:t>
      </w:r>
    </w:p>
    <w:p>
      <w:pPr>
        <w:spacing w:after="0" w:line="2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-7620</wp:posOffset>
            </wp:positionV>
            <wp:extent cx="1212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spacing w:after="0" w:line="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-17780</wp:posOffset>
            </wp:positionV>
            <wp:extent cx="1212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ind w:left="37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-17780</wp:posOffset>
            </wp:positionV>
            <wp:extent cx="1212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11240"/>
          </w:cols>
          <w:pgMar w:left="320" w:top="1365" w:right="339" w:bottom="1440" w:gutter="0" w:footer="0" w:header="0"/>
        </w:sectPr>
      </w:pPr>
    </w:p>
    <w:bookmarkStart w:id="266" w:name="page267"/>
    <w:bookmarkEnd w:id="266"/>
    <w:p>
      <w:pPr>
        <w:ind w:left="2640"/>
        <w:spacing w:after="0"/>
        <w:rPr>
          <w:sz w:val="20"/>
          <w:szCs w:val="20"/>
          <w:color w:val="auto"/>
        </w:rPr>
      </w:pPr>
      <w:r>
        <w:rPr>
          <w:rFonts w:ascii="Times New Roman" w:cs="Times New Roman" w:eastAsia="Times New Roman" w:hAnsi="Times New Roman"/>
          <w:sz w:val="18"/>
          <w:szCs w:val="18"/>
          <w:b w:val="1"/>
          <w:bCs w:val="1"/>
          <w:color w:val="auto"/>
        </w:rPr>
        <w:t>FIRST-CITIZENS BANK &amp; TRUST COMPANY,</w:t>
      </w:r>
    </w:p>
    <w:p>
      <w:pPr>
        <w:spacing w:after="0" w:line="4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as the Administrative Agent</w:t>
      </w:r>
    </w:p>
    <w:p>
      <w:pPr>
        <w:spacing w:after="0" w:line="22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-7620</wp:posOffset>
            </wp:positionV>
            <wp:extent cx="1212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spacing w:after="0" w:line="1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-17780</wp:posOffset>
            </wp:positionV>
            <wp:extent cx="1212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ind w:left="26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-21590</wp:posOffset>
            </wp:positionV>
            <wp:extent cx="1212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365" w:right="1440" w:bottom="1440" w:gutter="0" w:footer="0" w:header="0"/>
        </w:sectPr>
      </w:pPr>
    </w:p>
    <w:bookmarkStart w:id="267" w:name="page268"/>
    <w:bookmarkEnd w:id="267"/>
    <w:p>
      <w:pPr>
        <w:spacing w:after="0" w:line="13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FIRST-CITIZENS BANK &amp; TRUST COMPANY,</w:t>
      </w:r>
    </w:p>
    <w:p>
      <w:pPr>
        <w:spacing w:after="0" w:line="4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as Issuing Lender, Swingline Lender and as a Lender</w:t>
      </w:r>
    </w:p>
    <w:p>
      <w:pPr>
        <w:spacing w:after="0" w:line="22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-7620</wp:posOffset>
            </wp:positionV>
            <wp:extent cx="1212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spacing w:after="0" w:line="1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-17780</wp:posOffset>
            </wp:positionV>
            <wp:extent cx="1212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ind w:left="264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-21590</wp:posOffset>
            </wp:positionV>
            <wp:extent cx="1212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121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19"/>
          </w:cols>
          <w:pgMar w:left="1440" w:top="1440" w:right="1440"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LIMITED GUARANTEE</w:t>
      </w:r>
    </w:p>
    <w:p>
      <w:pPr>
        <w:spacing w:after="0" w:line="218" w:lineRule="exact"/>
        <w:rPr>
          <w:sz w:val="20"/>
          <w:szCs w:val="20"/>
          <w:color w:val="auto"/>
        </w:rPr>
      </w:pPr>
    </w:p>
    <w:p>
      <w:pPr>
        <w:jc w:val="both"/>
        <w:ind w:firstLine="625"/>
        <w:spacing w:after="0" w:line="254" w:lineRule="auto"/>
        <w:rPr>
          <w:sz w:val="20"/>
          <w:szCs w:val="20"/>
          <w:color w:val="auto"/>
        </w:rPr>
      </w:pPr>
      <w:r>
        <w:rPr>
          <w:rFonts w:ascii="Times New Roman" w:cs="Times New Roman" w:eastAsia="Times New Roman" w:hAnsi="Times New Roman"/>
          <w:sz w:val="21"/>
          <w:szCs w:val="21"/>
          <w:color w:val="auto"/>
        </w:rPr>
        <w:t>This Limited Guarantee, dated as of March 12, 2025 (this “</w:t>
      </w:r>
      <w:r>
        <w:rPr>
          <w:rFonts w:ascii="Times New Roman" w:cs="Times New Roman" w:eastAsia="Times New Roman" w:hAnsi="Times New Roman"/>
          <w:sz w:val="21"/>
          <w:szCs w:val="21"/>
          <w:u w:val="single" w:color="auto"/>
          <w:color w:val="auto"/>
        </w:rPr>
        <w:t>Limited Guarantee</w:t>
      </w:r>
      <w:r>
        <w:rPr>
          <w:rFonts w:ascii="Times New Roman" w:cs="Times New Roman" w:eastAsia="Times New Roman" w:hAnsi="Times New Roman"/>
          <w:sz w:val="21"/>
          <w:szCs w:val="21"/>
          <w:color w:val="auto"/>
        </w:rPr>
        <w:t>”), by each Person listed under “Guarantors” on the signature pages hereto (the “</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21"/>
          <w:szCs w:val="21"/>
          <w:color w:val="auto"/>
        </w:rPr>
        <w:t>”), is in favor of Silicon Valley Bank, a division of First-Citizens Bank &amp; Trust Company, as administrative agent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for itself and the other lenders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from time to time party to that certain Credit Agreement, dated as of November 7, 2022, by and among Airsculpt Technologies, Inc. (the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EBS Intermediate Parent LLC, EBS Enterprises LLC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Lenders, and the Administrative Agent (as the same may be amended,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firstLine="625"/>
        <w:spacing w:after="0" w:line="288" w:lineRule="auto"/>
        <w:rPr>
          <w:sz w:val="20"/>
          <w:szCs w:val="20"/>
          <w:color w:val="auto"/>
        </w:rPr>
      </w:pPr>
      <w:r>
        <w:rPr>
          <w:rFonts w:ascii="Times New Roman" w:cs="Times New Roman" w:eastAsia="Times New Roman" w:hAnsi="Times New Roman"/>
          <w:sz w:val="21"/>
          <w:szCs w:val="21"/>
          <w:color w:val="auto"/>
        </w:rPr>
        <w:t>WHEREAS, pursuant to the Credit Agreement, the Lenders have agreed to make Loans and other financial accommodations to the Borrower upon the terms and subject to the conditions set forth therein;</w:t>
      </w:r>
    </w:p>
    <w:p>
      <w:pPr>
        <w:spacing w:after="0" w:line="137" w:lineRule="exact"/>
        <w:rPr>
          <w:sz w:val="20"/>
          <w:szCs w:val="20"/>
          <w:color w:val="auto"/>
        </w:rPr>
      </w:pPr>
    </w:p>
    <w:p>
      <w:pPr>
        <w:jc w:val="both"/>
        <w:ind w:firstLine="625"/>
        <w:spacing w:after="0" w:line="275" w:lineRule="auto"/>
        <w:rPr>
          <w:sz w:val="20"/>
          <w:szCs w:val="20"/>
          <w:color w:val="auto"/>
        </w:rPr>
      </w:pPr>
      <w:r>
        <w:rPr>
          <w:rFonts w:ascii="Times New Roman" w:cs="Times New Roman" w:eastAsia="Times New Roman" w:hAnsi="Times New Roman"/>
          <w:sz w:val="21"/>
          <w:szCs w:val="21"/>
          <w:color w:val="auto"/>
        </w:rPr>
        <w:t>WHEREAS, each Guarantor acknowledges that the Borrower, the Administrative Agent and certain Lenders are entering into that certain Third Amendment to Credit Agreement, dated as of the date hereof (the “</w:t>
      </w:r>
      <w:r>
        <w:rPr>
          <w:rFonts w:ascii="Times New Roman" w:cs="Times New Roman" w:eastAsia="Times New Roman" w:hAnsi="Times New Roman"/>
          <w:sz w:val="21"/>
          <w:szCs w:val="21"/>
          <w:u w:val="single" w:color="auto"/>
          <w:color w:val="auto"/>
        </w:rPr>
        <w:t>Third Amendment</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both"/>
        <w:ind w:firstLine="625"/>
        <w:spacing w:after="0" w:line="275" w:lineRule="auto"/>
        <w:rPr>
          <w:sz w:val="20"/>
          <w:szCs w:val="20"/>
          <w:color w:val="auto"/>
        </w:rPr>
      </w:pPr>
      <w:r>
        <w:rPr>
          <w:rFonts w:ascii="Times New Roman" w:cs="Times New Roman" w:eastAsia="Times New Roman" w:hAnsi="Times New Roman"/>
          <w:sz w:val="21"/>
          <w:szCs w:val="21"/>
          <w:color w:val="auto"/>
        </w:rPr>
        <w:t>WHEREAS, it is a condition precedent to the effectiveness of the Third Amendment that each Guarantor shall have executed and delivered this Limited Guarantee to the Administrative Agent for its benefit and the benefit of the Lenders;</w:t>
      </w:r>
    </w:p>
    <w:p>
      <w:pPr>
        <w:spacing w:after="0" w:line="150" w:lineRule="exact"/>
        <w:rPr>
          <w:sz w:val="20"/>
          <w:szCs w:val="20"/>
          <w:color w:val="auto"/>
        </w:rPr>
      </w:pPr>
    </w:p>
    <w:p>
      <w:pPr>
        <w:jc w:val="both"/>
        <w:ind w:firstLine="625"/>
        <w:spacing w:after="0" w:line="288" w:lineRule="auto"/>
        <w:rPr>
          <w:sz w:val="20"/>
          <w:szCs w:val="20"/>
          <w:color w:val="auto"/>
        </w:rPr>
      </w:pPr>
      <w:r>
        <w:rPr>
          <w:rFonts w:ascii="Times New Roman" w:cs="Times New Roman" w:eastAsia="Times New Roman" w:hAnsi="Times New Roman"/>
          <w:sz w:val="21"/>
          <w:szCs w:val="21"/>
          <w:color w:val="auto"/>
        </w:rPr>
        <w:t>WHEREAS, each Guarantor will derive substantial direct and indirect benefit from the Lenders’ entering into the Third Amendment; and</w:t>
      </w:r>
    </w:p>
    <w:p>
      <w:pPr>
        <w:spacing w:after="0" w:line="137" w:lineRule="exact"/>
        <w:rPr>
          <w:sz w:val="20"/>
          <w:szCs w:val="20"/>
          <w:color w:val="auto"/>
        </w:rPr>
      </w:pPr>
    </w:p>
    <w:p>
      <w:pPr>
        <w:jc w:val="both"/>
        <w:ind w:firstLine="625"/>
        <w:spacing w:after="0" w:line="279" w:lineRule="auto"/>
        <w:rPr>
          <w:sz w:val="20"/>
          <w:szCs w:val="20"/>
          <w:color w:val="auto"/>
        </w:rPr>
      </w:pPr>
      <w:r>
        <w:rPr>
          <w:rFonts w:ascii="Times New Roman" w:cs="Times New Roman" w:eastAsia="Times New Roman" w:hAnsi="Times New Roman"/>
          <w:sz w:val="20"/>
          <w:szCs w:val="20"/>
          <w:color w:val="auto"/>
        </w:rPr>
        <w:t>NOW, THEREFORE, in consideration of the foregoing premises and to induce the Administrative Agent and the Lenders to enter into the Third Amendment, and for other good and valuable consideration, the receipt and sufficiency of which are hereby acknowledged, each Guarantor hereby agrees with the Administrative Agent, for its benefit and the benefit of the Lenders, as follows.</w:t>
      </w:r>
    </w:p>
    <w:p>
      <w:pPr>
        <w:spacing w:after="0" w:line="123" w:lineRule="exact"/>
        <w:rPr>
          <w:sz w:val="20"/>
          <w:szCs w:val="20"/>
          <w:color w:val="auto"/>
        </w:rPr>
      </w:pPr>
    </w:p>
    <w:p>
      <w:pPr>
        <w:ind w:firstLine="629"/>
        <w:spacing w:after="0" w:line="238" w:lineRule="auto"/>
        <w:tabs>
          <w:tab w:leader="none" w:pos="1250" w:val="left"/>
        </w:tabs>
        <w:numPr>
          <w:ilvl w:val="0"/>
          <w:numId w:val="2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Limited Guarantee, the following terms shall have the following meanings. Capitalized terms used herein but not defined herein shall have the meanings given thereto in the Credit Agreement.</w:t>
      </w:r>
    </w:p>
    <w:p>
      <w:pPr>
        <w:spacing w:after="0" w:line="172" w:lineRule="exact"/>
        <w:rPr>
          <w:sz w:val="20"/>
          <w:szCs w:val="20"/>
          <w:color w:val="auto"/>
        </w:rPr>
      </w:pPr>
    </w:p>
    <w:p>
      <w:pPr>
        <w:jc w:val="both"/>
        <w:ind w:firstLine="625"/>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Capital Commitment</w:t>
      </w:r>
      <w:r>
        <w:rPr>
          <w:rFonts w:ascii="Times New Roman" w:cs="Times New Roman" w:eastAsia="Times New Roman" w:hAnsi="Times New Roman"/>
          <w:sz w:val="21"/>
          <w:szCs w:val="21"/>
          <w:color w:val="auto"/>
        </w:rPr>
        <w:t xml:space="preserve">” means, with respect to each Guarantor, on any date of determination, an amount equal to the sum of (a) the aggregate amount of all capital commitments (including, for the avoidance of doubt, any recallable or recyclable capital) of all of the partners and other investors in the Guarantor then available to be called;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such amount shall not include (i) commitments of limited partners or other investors of the Guarantor who are in default of their commitments,</w:t>
      </w:r>
    </w:p>
    <w:p>
      <w:pPr>
        <w:spacing w:after="0" w:line="1" w:lineRule="exact"/>
        <w:rPr>
          <w:sz w:val="20"/>
          <w:szCs w:val="20"/>
          <w:color w:val="auto"/>
        </w:rPr>
      </w:pPr>
    </w:p>
    <w:p>
      <w:pPr>
        <w:jc w:val="both"/>
        <w:ind w:firstLine="4"/>
        <w:spacing w:after="0" w:line="252" w:lineRule="auto"/>
        <w:tabs>
          <w:tab w:leader="none" w:pos="364"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commitments of limited partners or other investors who have notified the Guarantor that they will not be funding their commitments or have terminated their commitments, or (iii) commitments that cannot be applied to funding under this Limited Guarantee pursuant to any contractual restrictions, including restrictions in the Guarantor’s fund documents,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all unrestricted cash and Cash Equivalents of the</w:t>
      </w:r>
    </w:p>
    <w:p>
      <w:pPr>
        <w:sectPr>
          <w:pgSz w:w="11900" w:h="16838" w:orient="portrait"/>
          <w:cols w:equalWidth="0" w:num="1">
            <w:col w:w="11240"/>
          </w:cols>
          <w:pgMar w:left="320" w:top="121" w:right="339" w:bottom="1440" w:gutter="0" w:footer="0" w:header="0"/>
        </w:sectPr>
      </w:pPr>
    </w:p>
    <w:bookmarkStart w:id="269" w:name="page270"/>
    <w:bookmarkEnd w:id="269"/>
    <w:p>
      <w:pPr>
        <w:spacing w:after="0" w:line="275" w:lineRule="auto"/>
        <w:rPr>
          <w:sz w:val="20"/>
          <w:szCs w:val="20"/>
          <w:color w:val="auto"/>
        </w:rPr>
      </w:pPr>
      <w:r>
        <w:rPr>
          <w:rFonts w:ascii="Times New Roman" w:cs="Times New Roman" w:eastAsia="Times New Roman" w:hAnsi="Times New Roman"/>
          <w:sz w:val="21"/>
          <w:szCs w:val="21"/>
          <w:color w:val="auto"/>
        </w:rPr>
        <w:t xml:space="preserve">Guarantor, which are available to invest,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(c) the aggregate outstanding amount of the Guarantor’s Other Obligations, in each case, as of such date of determination.</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Callable Amount</w:t>
      </w:r>
      <w:r>
        <w:rPr>
          <w:rFonts w:ascii="Times New Roman" w:cs="Times New Roman" w:eastAsia="Times New Roman" w:hAnsi="Times New Roman"/>
          <w:sz w:val="21"/>
          <w:szCs w:val="21"/>
          <w:color w:val="auto"/>
        </w:rPr>
        <w:t>” means:</w:t>
      </w:r>
    </w:p>
    <w:p>
      <w:pPr>
        <w:spacing w:after="0" w:line="227" w:lineRule="exact"/>
        <w:rPr>
          <w:sz w:val="20"/>
          <w:szCs w:val="20"/>
          <w:color w:val="auto"/>
        </w:rPr>
      </w:pPr>
    </w:p>
    <w:p>
      <w:pPr>
        <w:jc w:val="both"/>
        <w:ind w:left="1880" w:hanging="626"/>
        <w:spacing w:after="0" w:line="253" w:lineRule="auto"/>
        <w:tabs>
          <w:tab w:leader="none" w:pos="187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occurrence of a Triggering Event under clause (1) of the definition thereof, the sum of (a) $10,000,000 </w:t>
      </w:r>
      <w:r>
        <w:rPr>
          <w:rFonts w:ascii="Times New Roman" w:cs="Times New Roman" w:eastAsia="Times New Roman" w:hAnsi="Times New Roman"/>
          <w:sz w:val="21"/>
          <w:szCs w:val="21"/>
          <w:i w:val="1"/>
          <w:iCs w:val="1"/>
          <w:color w:val="auto"/>
        </w:rPr>
        <w:t xml:space="preserve">less </w:t>
      </w:r>
      <w:r>
        <w:rPr>
          <w:rFonts w:ascii="Times New Roman" w:cs="Times New Roman" w:eastAsia="Times New Roman" w:hAnsi="Times New Roman"/>
          <w:sz w:val="21"/>
          <w:szCs w:val="21"/>
          <w:color w:val="auto"/>
        </w:rPr>
        <w:t>the Capital Raise Amount as of June 15, 2025, and (b) the amount by which Liquidity is less than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$10,000,000 as of June 15, 2025; provided that if the Capital Raise Amount is greater than $10,000,000 as of June 15, 2025 then the amount calculated pursuant to foregoing clause (a) shall be zero, and if Liquidity is greater than $10,000,000 the amount calculated pursuant to foregoing clause (b) shall be zero;</w:t>
      </w:r>
    </w:p>
    <w:p>
      <w:pPr>
        <w:spacing w:after="0" w:line="185" w:lineRule="exact"/>
        <w:rPr>
          <w:rFonts w:ascii="Times New Roman" w:cs="Times New Roman" w:eastAsia="Times New Roman" w:hAnsi="Times New Roman"/>
          <w:sz w:val="21"/>
          <w:szCs w:val="21"/>
          <w:color w:val="auto"/>
        </w:rPr>
      </w:pPr>
    </w:p>
    <w:p>
      <w:pPr>
        <w:jc w:val="both"/>
        <w:ind w:left="1880" w:hanging="626"/>
        <w:spacing w:after="0" w:line="260" w:lineRule="auto"/>
        <w:tabs>
          <w:tab w:leader="none" w:pos="187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Triggering Event under clause (2) of the definition thereof, the amount that, if added to the Consolidated EBITDA as of the last day of the applicable Fiscal Quarter, would have resulted in the Loan Parties having been in compliance with Section 7.1(a) or Section 7.1(b) of the Credit Agreement;</w:t>
      </w:r>
    </w:p>
    <w:p>
      <w:pPr>
        <w:spacing w:after="0" w:line="165" w:lineRule="exact"/>
        <w:rPr>
          <w:rFonts w:ascii="Times New Roman" w:cs="Times New Roman" w:eastAsia="Times New Roman" w:hAnsi="Times New Roman"/>
          <w:sz w:val="21"/>
          <w:szCs w:val="21"/>
          <w:color w:val="auto"/>
        </w:rPr>
      </w:pPr>
    </w:p>
    <w:p>
      <w:pPr>
        <w:jc w:val="both"/>
        <w:ind w:left="1880" w:hanging="626"/>
        <w:spacing w:after="0" w:line="260" w:lineRule="auto"/>
        <w:tabs>
          <w:tab w:leader="none" w:pos="1876"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Triggering Event under clause (3) of the definition thereof, the amount that, if added to the Liquidity of Holdings and its Subsidiaries as of the last day of the Fiscal Quarter or calendar month, as applicable, would have resulted in the Loan Parties having been in compliance with Section 7.1(c) of the Credit Agreement; and</w:t>
      </w:r>
    </w:p>
    <w:p>
      <w:pPr>
        <w:spacing w:after="0" w:line="164" w:lineRule="exact"/>
        <w:rPr>
          <w:rFonts w:ascii="Times New Roman" w:cs="Times New Roman" w:eastAsia="Times New Roman" w:hAnsi="Times New Roman"/>
          <w:sz w:val="21"/>
          <w:szCs w:val="21"/>
          <w:color w:val="auto"/>
        </w:rPr>
      </w:pPr>
    </w:p>
    <w:p>
      <w:pPr>
        <w:ind w:left="1880" w:hanging="626"/>
        <w:spacing w:after="0"/>
        <w:tabs>
          <w:tab w:leader="none" w:pos="1880" w:val="left"/>
        </w:tabs>
        <w:numPr>
          <w:ilvl w:val="0"/>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any other Triggering Event, the Guaranteed Obligations.</w:t>
      </w:r>
    </w:p>
    <w:p>
      <w:pPr>
        <w:spacing w:after="0" w:line="214" w:lineRule="exact"/>
        <w:rPr>
          <w:sz w:val="20"/>
          <w:szCs w:val="20"/>
          <w:color w:val="auto"/>
        </w:rPr>
      </w:pPr>
    </w:p>
    <w:p>
      <w:pPr>
        <w:jc w:val="both"/>
        <w:ind w:firstLine="625"/>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Raise Amount</w:t>
      </w:r>
      <w:r>
        <w:rPr>
          <w:rFonts w:ascii="Times New Roman" w:cs="Times New Roman" w:eastAsia="Times New Roman" w:hAnsi="Times New Roman"/>
          <w:sz w:val="21"/>
          <w:szCs w:val="21"/>
          <w:color w:val="auto"/>
        </w:rPr>
        <w:t>” means, during the period between the date hereof and June 15, 2025, the aggregate amount of cash proceeds actually received by the Administrative Agent (for its benefit and the benefit of the Lenders) (a) contributed by the Parent, directly or indirectly, to the Loan Parties resulting from one or more equity offerings of Parent, or (b) funded by non-Loan Parties as unsecured debt to the Loan Parties, provided that such unsecured debt is subject to a subordination agreement in form and substance acceptable to the Administrative Agent.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Costs and Expenses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jc w:val="both"/>
        <w:ind w:firstLine="625"/>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Enforcement Expenses</w:t>
      </w:r>
      <w:r>
        <w:rPr>
          <w:rFonts w:ascii="Times New Roman" w:cs="Times New Roman" w:eastAsia="Times New Roman" w:hAnsi="Times New Roman"/>
          <w:sz w:val="21"/>
          <w:szCs w:val="21"/>
          <w:color w:val="auto"/>
        </w:rPr>
        <w:t>” means the aggregate amount of applicable Costs and Expenses, and any interest thereon due under Section 4 hereof.</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Guaranteed Obligations</w:t>
      </w:r>
      <w:r>
        <w:rPr>
          <w:rFonts w:ascii="Times New Roman" w:cs="Times New Roman" w:eastAsia="Times New Roman" w:hAnsi="Times New Roman"/>
          <w:sz w:val="21"/>
          <w:szCs w:val="21"/>
          <w:color w:val="auto"/>
        </w:rPr>
        <w:t>” means all Obligations outstanding at any time from and after any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6" w:right="339" w:bottom="1440" w:gutter="0" w:footer="0" w:header="0"/>
        </w:sectPr>
      </w:pPr>
    </w:p>
    <w:bookmarkStart w:id="270" w:name="page271"/>
    <w:bookmarkEnd w:id="270"/>
    <w:p>
      <w:pPr>
        <w:jc w:val="both"/>
        <w:ind w:firstLine="625"/>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Guarantor Bankruptcy Event</w:t>
      </w:r>
      <w:r>
        <w:rPr>
          <w:rFonts w:ascii="Times New Roman" w:cs="Times New Roman" w:eastAsia="Times New Roman" w:hAnsi="Times New Roman"/>
          <w:sz w:val="21"/>
          <w:szCs w:val="21"/>
          <w:color w:val="auto"/>
        </w:rPr>
        <w:t>” means, with respect to each Guarantor, any of the events specified in Section 8.1(f) of the Credit Agreement as applied to such Guarantor as if such Guarantor were a “Loan Party” under the Credit Agreement.</w:t>
      </w:r>
    </w:p>
    <w:p>
      <w:pPr>
        <w:spacing w:after="0" w:line="150" w:lineRule="exact"/>
        <w:rPr>
          <w:sz w:val="20"/>
          <w:szCs w:val="20"/>
          <w:color w:val="auto"/>
        </w:rPr>
      </w:pPr>
    </w:p>
    <w:p>
      <w:pPr>
        <w:jc w:val="both"/>
        <w:ind w:firstLine="625"/>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means any event, act, omission, condition or circumstance which, individually or in the aggregate, has a material adverse effect on (a) with respect to each Guarantor, the ability of each Guarantor to perform its obligations hereunder or (b) the validity or enforceability of this Limited Guarantee or the rights and remedies of the Administrative Agent vis-à-vis each Guarantor.</w:t>
      </w:r>
    </w:p>
    <w:p>
      <w:pPr>
        <w:spacing w:after="0" w:line="163" w:lineRule="exact"/>
        <w:rPr>
          <w:sz w:val="20"/>
          <w:szCs w:val="20"/>
          <w:color w:val="auto"/>
        </w:rPr>
      </w:pPr>
    </w:p>
    <w:p>
      <w:pPr>
        <w:jc w:val="both"/>
        <w:ind w:firstLine="625"/>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Maximum Amount</w:t>
      </w:r>
      <w:r>
        <w:rPr>
          <w:rFonts w:ascii="Times New Roman" w:cs="Times New Roman" w:eastAsia="Times New Roman" w:hAnsi="Times New Roman"/>
          <w:sz w:val="21"/>
          <w:szCs w:val="21"/>
          <w:color w:val="auto"/>
        </w:rPr>
        <w:t xml:space="preserve">” means (a) $10,000,000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(b) the aggregate principal amount of Term Loan prepayments (other than regularly scheduled amortization payments) in excess of $10,000,000 actually received by the Administrative Agent from and after the date 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funds used to make such prepayments are not derived from any source or on account of any sale or other transaction or event that is prohibited under the Credit Agreement).</w:t>
      </w:r>
    </w:p>
    <w:p>
      <w:pPr>
        <w:spacing w:after="0" w:line="167" w:lineRule="exact"/>
        <w:rPr>
          <w:sz w:val="20"/>
          <w:szCs w:val="20"/>
          <w:color w:val="auto"/>
        </w:rPr>
      </w:pPr>
    </w:p>
    <w:p>
      <w:pPr>
        <w:jc w:val="both"/>
        <w:ind w:firstLine="625"/>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Obligations</w:t>
      </w:r>
      <w:r>
        <w:rPr>
          <w:rFonts w:ascii="Times New Roman" w:cs="Times New Roman" w:eastAsia="Times New Roman" w:hAnsi="Times New Roman"/>
          <w:sz w:val="21"/>
          <w:szCs w:val="21"/>
          <w:color w:val="auto"/>
        </w:rPr>
        <w:t>” means, with respect to any Guarantor, without duplication, the collective reference to all obligations and liabilities of the Guarantor, excluding the obligations of the Guarantor under this Limited Guarantee.</w:t>
      </w:r>
    </w:p>
    <w:p>
      <w:pPr>
        <w:spacing w:after="0" w:line="150" w:lineRule="exact"/>
        <w:rPr>
          <w:sz w:val="20"/>
          <w:szCs w:val="20"/>
          <w:color w:val="auto"/>
        </w:rPr>
      </w:pPr>
    </w:p>
    <w:p>
      <w:pPr>
        <w:jc w:val="both"/>
        <w:ind w:firstLine="625"/>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 Rata Percentage</w:t>
      </w:r>
      <w:r>
        <w:rPr>
          <w:rFonts w:ascii="Times New Roman" w:cs="Times New Roman" w:eastAsia="Times New Roman" w:hAnsi="Times New Roman"/>
          <w:sz w:val="21"/>
          <w:szCs w:val="21"/>
          <w:color w:val="auto"/>
        </w:rPr>
        <w:t xml:space="preserve">” means, with respect to each Guarantor, the percentage set forth next to such Guarantor’s name on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hereto.</w:t>
      </w:r>
    </w:p>
    <w:p>
      <w:pPr>
        <w:spacing w:after="0" w:line="163" w:lineRule="exact"/>
        <w:rPr>
          <w:sz w:val="20"/>
          <w:szCs w:val="20"/>
          <w:color w:val="auto"/>
        </w:rPr>
      </w:pPr>
    </w:p>
    <w:p>
      <w:pPr>
        <w:jc w:val="both"/>
        <w:ind w:firstLine="625"/>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Triggering Event</w:t>
      </w:r>
      <w:r>
        <w:rPr>
          <w:rFonts w:ascii="Times New Roman" w:cs="Times New Roman" w:eastAsia="Times New Roman" w:hAnsi="Times New Roman"/>
          <w:sz w:val="21"/>
          <w:szCs w:val="21"/>
          <w:color w:val="auto"/>
        </w:rPr>
        <w:t>” means the occurrence of any of the following conditions and/or events, whether voluntary or involuntary, by operation of law or otherwise:</w:t>
      </w:r>
    </w:p>
    <w:p>
      <w:pPr>
        <w:spacing w:after="0" w:line="150" w:lineRule="exact"/>
        <w:rPr>
          <w:sz w:val="20"/>
          <w:szCs w:val="20"/>
          <w:color w:val="auto"/>
        </w:rPr>
      </w:pPr>
    </w:p>
    <w:p>
      <w:pPr>
        <w:ind w:left="1880" w:hanging="626"/>
        <w:spacing w:after="0"/>
        <w:tabs>
          <w:tab w:leader="none" w:pos="1880"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June 15, 2025;</w:t>
      </w:r>
    </w:p>
    <w:p>
      <w:pPr>
        <w:spacing w:after="0" w:line="214" w:lineRule="exact"/>
        <w:rPr>
          <w:rFonts w:ascii="Times New Roman" w:cs="Times New Roman" w:eastAsia="Times New Roman" w:hAnsi="Times New Roman"/>
          <w:sz w:val="21"/>
          <w:szCs w:val="21"/>
          <w:color w:val="auto"/>
        </w:rPr>
      </w:pPr>
    </w:p>
    <w:p>
      <w:pPr>
        <w:ind w:left="1880" w:hanging="626"/>
        <w:spacing w:after="0" w:line="275" w:lineRule="auto"/>
        <w:tabs>
          <w:tab w:leader="none" w:pos="1876"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Event of Default under Section 8.1(c) of the Credit Agreement on account of the Borrower’s failure to comply with Section 7.1(a) or Section 7.1(b) of the Credit Agreement;</w:t>
      </w:r>
    </w:p>
    <w:p>
      <w:pPr>
        <w:spacing w:after="0" w:line="162" w:lineRule="exact"/>
        <w:rPr>
          <w:rFonts w:ascii="Times New Roman" w:cs="Times New Roman" w:eastAsia="Times New Roman" w:hAnsi="Times New Roman"/>
          <w:sz w:val="21"/>
          <w:szCs w:val="21"/>
          <w:color w:val="auto"/>
        </w:rPr>
      </w:pPr>
    </w:p>
    <w:p>
      <w:pPr>
        <w:ind w:left="1880" w:hanging="626"/>
        <w:spacing w:after="0" w:line="275" w:lineRule="auto"/>
        <w:tabs>
          <w:tab w:leader="none" w:pos="1876"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Event of Default under Section 8.1(c) of the Credit Agreement as a result of any Loan Party’s failure to comply with Section 7.1(c) of the Credit Agreement;</w:t>
      </w:r>
    </w:p>
    <w:p>
      <w:pPr>
        <w:spacing w:after="0" w:line="149" w:lineRule="exact"/>
        <w:rPr>
          <w:rFonts w:ascii="Times New Roman" w:cs="Times New Roman" w:eastAsia="Times New Roman" w:hAnsi="Times New Roman"/>
          <w:sz w:val="21"/>
          <w:szCs w:val="21"/>
          <w:color w:val="auto"/>
        </w:rPr>
      </w:pPr>
    </w:p>
    <w:p>
      <w:pPr>
        <w:jc w:val="both"/>
        <w:ind w:left="1880" w:hanging="626"/>
        <w:spacing w:after="0" w:line="260" w:lineRule="auto"/>
        <w:tabs>
          <w:tab w:leader="none" w:pos="1876"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third Business Day following an Event of Default under Section 6.1, Section 6.2(b), clause (i) or clause (ii) of Section 6.5(a), Section 6.8(a), or Section 6.10 of the Credit Agreement, unless within such three (3) Business Day period Holdings and/or its Subsidiaries shall have performed such actions that, if they had been timely performed, would have prevented such Event of Default from occurring;</w:t>
      </w:r>
    </w:p>
    <w:p>
      <w:pPr>
        <w:spacing w:after="0" w:line="164" w:lineRule="exact"/>
        <w:rPr>
          <w:rFonts w:ascii="Times New Roman" w:cs="Times New Roman" w:eastAsia="Times New Roman" w:hAnsi="Times New Roman"/>
          <w:sz w:val="21"/>
          <w:szCs w:val="21"/>
          <w:color w:val="auto"/>
        </w:rPr>
      </w:pPr>
    </w:p>
    <w:p>
      <w:pPr>
        <w:ind w:left="1880" w:hanging="626"/>
        <w:spacing w:after="0"/>
        <w:tabs>
          <w:tab w:leader="none" w:pos="1880"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Event of Default under Section 8.1(a) or Section 8.1(f)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6" w:right="339" w:bottom="1440" w:gutter="0" w:footer="0" w:header="0"/>
        </w:sectPr>
      </w:pPr>
    </w:p>
    <w:bookmarkStart w:id="271" w:name="page272"/>
    <w:bookmarkEnd w:id="271"/>
    <w:p>
      <w:pPr>
        <w:ind w:left="1880" w:hanging="626"/>
        <w:spacing w:after="0"/>
        <w:tabs>
          <w:tab w:leader="none" w:pos="1880"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acceleration of the Obligations pursuant to Section 8.2 of the Credit Agreement; and</w:t>
      </w:r>
    </w:p>
    <w:p>
      <w:pPr>
        <w:spacing w:after="0" w:line="214" w:lineRule="exact"/>
        <w:rPr>
          <w:rFonts w:ascii="Times New Roman" w:cs="Times New Roman" w:eastAsia="Times New Roman" w:hAnsi="Times New Roman"/>
          <w:sz w:val="21"/>
          <w:szCs w:val="21"/>
          <w:color w:val="auto"/>
        </w:rPr>
      </w:pPr>
    </w:p>
    <w:p>
      <w:pPr>
        <w:ind w:left="1880" w:hanging="626"/>
        <w:spacing w:after="0"/>
        <w:tabs>
          <w:tab w:leader="none" w:pos="1880"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Guarantor Event of Default.</w:t>
      </w:r>
    </w:p>
    <w:p>
      <w:pPr>
        <w:spacing w:after="0" w:line="188" w:lineRule="exact"/>
        <w:rPr>
          <w:rFonts w:ascii="Times New Roman" w:cs="Times New Roman" w:eastAsia="Times New Roman" w:hAnsi="Times New Roman"/>
          <w:sz w:val="21"/>
          <w:szCs w:val="21"/>
          <w:color w:val="auto"/>
        </w:rPr>
      </w:pPr>
    </w:p>
    <w:p>
      <w:pPr>
        <w:ind w:left="1260" w:hanging="631"/>
        <w:spacing w:after="0"/>
        <w:tabs>
          <w:tab w:leader="none" w:pos="1260" w:val="left"/>
        </w:tabs>
        <w:numPr>
          <w:ilvl w:val="0"/>
          <w:numId w:val="29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254"/>
        <w:spacing w:after="0" w:line="214" w:lineRule="auto"/>
        <w:tabs>
          <w:tab w:leader="none" w:pos="1872" w:val="left"/>
        </w:tabs>
        <w:numPr>
          <w:ilvl w:val="1"/>
          <w:numId w:val="2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Guarantor hereby unconditionally and irrevocably guaranties the Administrative Agent, for its benefit and the benefit of the Lenders and their respective successors, endorsees, transferees and assigns, the complete payment by the Borrower and the other Loan Parties of the Guaranteed Obligations in the manner and at the time specified in this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Upon the occurrence of a Triggering Event, each Guarantor shall, within twenty (20) Business Days after demand by the Administrative Agent, pay its Pro Rata Percentage of the Callable Amount to the Administrative Agent. The Administrative Agent may make demand for payment (up to such Callable Amount) under this Limited Guarantee at any time, and from time to time (and in multiple demands), from and after the occurrence of any Triggering Event, whether or not the Guaranteed Obligations are otherwise due and payable by Borrower at such time, and without any other condition, event or occurrence having to exist as a condition to Administrative Agent making such demand.</w:t>
      </w:r>
    </w:p>
    <w:p>
      <w:pPr>
        <w:spacing w:after="0" w:line="145" w:lineRule="exact"/>
        <w:rPr>
          <w:rFonts w:ascii="Times New Roman" w:cs="Times New Roman" w:eastAsia="Times New Roman" w:hAnsi="Times New Roman"/>
          <w:sz w:val="21"/>
          <w:szCs w:val="21"/>
          <w:color w:val="010000"/>
        </w:rPr>
      </w:pPr>
    </w:p>
    <w:p>
      <w:pPr>
        <w:jc w:val="both"/>
        <w:ind w:firstLine="1254"/>
        <w:spacing w:after="0" w:line="214" w:lineRule="auto"/>
        <w:tabs>
          <w:tab w:leader="none" w:pos="1871" w:val="left"/>
        </w:tabs>
        <w:numPr>
          <w:ilvl w:val="1"/>
          <w:numId w:val="2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payment received or collected by the Administrative Agent or any Lender from the Borrower or any Loan Party, including by virtue of any action or proceeding or any set-off or appropriation or application at any time or from time to time, in reduction of or in payment of the Obligations, shall be deemed to modify, reduce, release or otherwise affect the liability hereunder of the Guarantor, which shall, notwithstanding any such payment, remain liable for the Guaranteed Obligations until the Guarantee Termination Date. Each Guarantor acknowledges and agrees that any and all repayments and prepayments of, or proceeds applied to, any of the Obligations (other than payments made by each Guarantor to Administrative Agent pursuant to this Limited Guarantee) shall be deemed applied first to Obligations not constituting Guaranteed Obligations before being applied to Obligations constituting Guaranteed Obligations.</w:t>
      </w:r>
    </w:p>
    <w:p>
      <w:pPr>
        <w:spacing w:after="0" w:line="152" w:lineRule="exact"/>
        <w:rPr>
          <w:rFonts w:ascii="Times New Roman" w:cs="Times New Roman" w:eastAsia="Times New Roman" w:hAnsi="Times New Roman"/>
          <w:sz w:val="21"/>
          <w:szCs w:val="21"/>
          <w:color w:val="010000"/>
        </w:rPr>
      </w:pPr>
    </w:p>
    <w:p>
      <w:pPr>
        <w:jc w:val="both"/>
        <w:ind w:firstLine="1254"/>
        <w:spacing w:after="0" w:line="217" w:lineRule="auto"/>
        <w:tabs>
          <w:tab w:leader="none" w:pos="1872" w:val="left"/>
        </w:tabs>
        <w:numPr>
          <w:ilvl w:val="1"/>
          <w:numId w:val="2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Payments by each Guarantor hereunder shall be paid to the Administrative Agent in immediately available funds by wire transfer to the account of the Administrative Agent specified in the Credit Agreement as the account to which the Borrower will make required payments of principal and interest (or to such other account or by such other means or to such other address as the Administrative Agent shall have notified such Guarantor in writing) in the currency in which such Obligation is payable under the Credit Agreement. The Guarantor shall pay the Administrative Agent in the manner set forth in the preceding sentence within twenty (20) Business Days after demand by Administrative Agent in accordance with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010000"/>
        </w:rPr>
      </w:pPr>
    </w:p>
    <w:p>
      <w:pPr>
        <w:jc w:val="both"/>
        <w:ind w:firstLine="1254"/>
        <w:spacing w:after="0" w:line="228" w:lineRule="auto"/>
        <w:tabs>
          <w:tab w:leader="none" w:pos="1871" w:val="left"/>
        </w:tabs>
        <w:numPr>
          <w:ilvl w:val="1"/>
          <w:numId w:val="2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contained herein, the liability hereunder of each Guarantor in respect of the Guaranteed Obligations shall not exceed each Guarantor’s Pro Rata Percentage of the Maximum Amount (in addition to any amounts for which each Guarantor may become liable pursuant to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010000"/>
        </w:rPr>
      </w:pPr>
    </w:p>
    <w:p>
      <w:pPr>
        <w:jc w:val="both"/>
        <w:ind w:firstLine="629"/>
        <w:spacing w:after="0" w:line="217" w:lineRule="auto"/>
        <w:tabs>
          <w:tab w:leader="none" w:pos="1250" w:val="left"/>
        </w:tabs>
        <w:numPr>
          <w:ilvl w:val="0"/>
          <w:numId w:val="29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PARENT SECURITIES.</w:t>
      </w:r>
      <w:r>
        <w:rPr>
          <w:rFonts w:ascii="Times New Roman" w:cs="Times New Roman" w:eastAsia="Times New Roman" w:hAnsi="Times New Roman"/>
          <w:sz w:val="21"/>
          <w:szCs w:val="21"/>
          <w:color w:val="auto"/>
        </w:rPr>
        <w:t xml:space="preserve"> In the event any Guarantor is required under this Limited Guarantee to make any payment in respect of its Pro Rata Percentage of the Guaranteed Obligation, except in the event that such payment is required as a result of the occurrence of an Event of Default under Section 8.1(f) of the Credit Agreement, (a) such Guarantor shall be deemed to have purchased, shares of the Parent (the “</w:t>
      </w:r>
      <w:r>
        <w:rPr>
          <w:rFonts w:ascii="Times New Roman" w:cs="Times New Roman" w:eastAsia="Times New Roman" w:hAnsi="Times New Roman"/>
          <w:sz w:val="21"/>
          <w:szCs w:val="21"/>
          <w:u w:val="single" w:color="auto"/>
          <w:color w:val="auto"/>
        </w:rPr>
        <w:t>Parent Securities</w:t>
      </w:r>
      <w:r>
        <w:rPr>
          <w:rFonts w:ascii="Times New Roman" w:cs="Times New Roman" w:eastAsia="Times New Roman" w:hAnsi="Times New Roman"/>
          <w:sz w:val="21"/>
          <w:szCs w:val="21"/>
          <w:color w:val="auto"/>
        </w:rPr>
        <w:t>”) having an aggregate value equal to the amount of such payment (together with any expenses incurred by such Guarantor in connection with this Limited Guarantee), with each Parent Security having a value for such purpose equal to the then-current market value of the Parent Securities. Parent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76" w:right="339" w:bottom="1440" w:gutter="0" w:footer="0" w:header="0"/>
        </w:sectPr>
      </w:pPr>
    </w:p>
    <w:bookmarkStart w:id="272" w:name="page273"/>
    <w:bookmarkEnd w:id="272"/>
    <w:p>
      <w:pPr>
        <w:spacing w:after="0" w:line="238" w:lineRule="auto"/>
        <w:rPr>
          <w:sz w:val="20"/>
          <w:szCs w:val="20"/>
          <w:color w:val="auto"/>
        </w:rPr>
      </w:pPr>
      <w:r>
        <w:rPr>
          <w:rFonts w:ascii="Times New Roman" w:cs="Times New Roman" w:eastAsia="Times New Roman" w:hAnsi="Times New Roman"/>
          <w:sz w:val="21"/>
          <w:szCs w:val="21"/>
          <w:color w:val="auto"/>
        </w:rPr>
        <w:t>agrees (on behalf of itself and each of its Subsidiaries, including the Borrower) to issue a subordinated note to any Guarantor to the extent such Guarantor does not opt to receive Parent Securities.</w:t>
      </w:r>
    </w:p>
    <w:p>
      <w:pPr>
        <w:spacing w:after="0" w:line="146" w:lineRule="exact"/>
        <w:rPr>
          <w:sz w:val="20"/>
          <w:szCs w:val="20"/>
          <w:color w:val="auto"/>
        </w:rPr>
      </w:pPr>
    </w:p>
    <w:p>
      <w:pPr>
        <w:ind w:left="1260" w:hanging="631"/>
        <w:spacing w:after="0"/>
        <w:tabs>
          <w:tab w:leader="none" w:pos="1260" w:val="left"/>
        </w:tabs>
        <w:numPr>
          <w:ilvl w:val="0"/>
          <w:numId w:val="2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ENFORCEMENT EXPENSES; INTEREST</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010000"/>
        </w:rPr>
      </w:pPr>
    </w:p>
    <w:p>
      <w:pPr>
        <w:jc w:val="both"/>
        <w:ind w:firstLine="1254"/>
        <w:spacing w:after="0" w:line="217" w:lineRule="auto"/>
        <w:tabs>
          <w:tab w:leader="none" w:pos="1872" w:val="left"/>
        </w:tabs>
        <w:numPr>
          <w:ilvl w:val="1"/>
          <w:numId w:val="2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Guarantor agrees to pay or reimburse the Administrative Agent for such Guarantor’s Pro Rata Percentage of all the Administrative Agent’s reasonable and documented out of pocket costs and expenses incurred in collecting any amounts hereunder or otherwise enforcing, preserving or analyzing any rights under this Limited Guarantee, including the fees and disbursements of one (1) primary firm of outside counsel (and any special or local counsel as may be reasonably required) to the Administrative Agent incurred for advice, suit, appeal, or in connection with any actual or potential insolvency or other proceedings under the Bankruptcy Code or otherwise (collectively, the “</w:t>
      </w:r>
      <w:r>
        <w:rPr>
          <w:rFonts w:ascii="Times New Roman" w:cs="Times New Roman" w:eastAsia="Times New Roman" w:hAnsi="Times New Roman"/>
          <w:sz w:val="21"/>
          <w:szCs w:val="21"/>
          <w:u w:val="single" w:color="auto"/>
          <w:color w:val="auto"/>
        </w:rPr>
        <w:t>Costs and Expenses</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010000"/>
        </w:rPr>
      </w:pPr>
    </w:p>
    <w:p>
      <w:pPr>
        <w:jc w:val="both"/>
        <w:ind w:firstLine="1254"/>
        <w:spacing w:after="0" w:line="222" w:lineRule="auto"/>
        <w:tabs>
          <w:tab w:leader="none" w:pos="1871" w:val="left"/>
        </w:tabs>
        <w:numPr>
          <w:ilvl w:val="1"/>
          <w:numId w:val="2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obligations hereunder, including all Costs and Expenses, that are not paid on the due date thereof shall bear interest at a rate per annum equal to the default rate of interest payable under the Credit Agreement in respect of Revolving Loans that are ABR Loans for the period from and including the due date thereof through and including the date of indefeasible payment in full in cash of all such overdue amounts.</w:t>
      </w:r>
    </w:p>
    <w:p>
      <w:pPr>
        <w:spacing w:after="0" w:line="148" w:lineRule="exact"/>
        <w:rPr>
          <w:rFonts w:ascii="Times New Roman" w:cs="Times New Roman" w:eastAsia="Times New Roman" w:hAnsi="Times New Roman"/>
          <w:sz w:val="21"/>
          <w:szCs w:val="21"/>
          <w:color w:val="010000"/>
        </w:rPr>
      </w:pPr>
    </w:p>
    <w:p>
      <w:pPr>
        <w:ind w:firstLine="629"/>
        <w:spacing w:after="0" w:line="238" w:lineRule="auto"/>
        <w:tabs>
          <w:tab w:leader="none" w:pos="1250" w:val="left"/>
        </w:tabs>
        <w:numPr>
          <w:ilvl w:val="0"/>
          <w:numId w:val="2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To induce the Administrative Agent and the Lenders to enter into the Third Amendment, each Guarantor hereby represents and warrants that:</w:t>
      </w:r>
    </w:p>
    <w:p>
      <w:pPr>
        <w:spacing w:after="0" w:line="146" w:lineRule="exact"/>
        <w:rPr>
          <w:rFonts w:ascii="Times New Roman" w:cs="Times New Roman" w:eastAsia="Times New Roman" w:hAnsi="Times New Roman"/>
          <w:sz w:val="21"/>
          <w:szCs w:val="21"/>
          <w:color w:val="010000"/>
        </w:rPr>
      </w:pPr>
    </w:p>
    <w:p>
      <w:pPr>
        <w:ind w:firstLine="1254"/>
        <w:spacing w:after="0" w:line="238" w:lineRule="auto"/>
        <w:tabs>
          <w:tab w:leader="none" w:pos="1872" w:val="left"/>
        </w:tabs>
        <w:numPr>
          <w:ilvl w:val="1"/>
          <w:numId w:val="2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Guarantor is duly formed, registered, validly existing and in good standing under the laws of the jurisdiction of its registration.</w:t>
      </w:r>
    </w:p>
    <w:p>
      <w:pPr>
        <w:spacing w:after="0" w:line="146" w:lineRule="exact"/>
        <w:rPr>
          <w:rFonts w:ascii="Times New Roman" w:cs="Times New Roman" w:eastAsia="Times New Roman" w:hAnsi="Times New Roman"/>
          <w:sz w:val="21"/>
          <w:szCs w:val="21"/>
          <w:color w:val="010000"/>
        </w:rPr>
      </w:pPr>
    </w:p>
    <w:p>
      <w:pPr>
        <w:jc w:val="both"/>
        <w:ind w:firstLine="1254"/>
        <w:spacing w:after="0" w:line="214" w:lineRule="auto"/>
        <w:tabs>
          <w:tab w:leader="none" w:pos="1871" w:val="left"/>
        </w:tabs>
        <w:numPr>
          <w:ilvl w:val="1"/>
          <w:numId w:val="2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execution, delivery and performance by each Guarantor of this Limited Guarantee (a) are within each Guarantor’s limited partnership powers and, at the time of execution thereof, have been duly authorized by all necessary parties, (b) do not (i) contravene each Guarantor’s constituent documents, (ii) violate any requirement of law or (iii) conflict with, contravene, constitute a default or breach under, or result in or permit the termination or acceleration of, any material contractual obligation of each Guarantor other than those conflicts, contraventions, defaults, breaches, terminations, or accelerations that would not, in the aggregate, reasonably be expected to have a Material Adverse Effect and (c) do not require any permit of, or filing with, any governmental authority or any consent of, or notice to, any Person, other than those that, if not obtained, would not, in the aggregate, reasonably be expected to have a Material Adverse Effect.</w:t>
      </w:r>
    </w:p>
    <w:p>
      <w:pPr>
        <w:spacing w:after="0" w:line="152" w:lineRule="exact"/>
        <w:rPr>
          <w:rFonts w:ascii="Times New Roman" w:cs="Times New Roman" w:eastAsia="Times New Roman" w:hAnsi="Times New Roman"/>
          <w:sz w:val="21"/>
          <w:szCs w:val="21"/>
          <w:color w:val="010000"/>
        </w:rPr>
      </w:pPr>
    </w:p>
    <w:p>
      <w:pPr>
        <w:jc w:val="both"/>
        <w:ind w:firstLine="1254"/>
        <w:spacing w:after="0" w:line="222" w:lineRule="auto"/>
        <w:tabs>
          <w:tab w:leader="none" w:pos="1872" w:val="left"/>
        </w:tabs>
        <w:numPr>
          <w:ilvl w:val="1"/>
          <w:numId w:val="2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From and after its delivery to the Company, this Limited Guarantee has been duly executed and delivered to the other parties hereto by each Guarantor, is the legal, valid and binding obligation of each Guarantor and is enforceable against each Guarantor in accordance with its terms, except as enforceability may be limited by applicable bankruptcy, insolvency, or similar laws affecting the enforcement of creditors’ rights generally or by equitable principles relating to enforceability.</w:t>
      </w:r>
    </w:p>
    <w:p>
      <w:pPr>
        <w:spacing w:after="0" w:line="148" w:lineRule="exact"/>
        <w:rPr>
          <w:rFonts w:ascii="Times New Roman" w:cs="Times New Roman" w:eastAsia="Times New Roman" w:hAnsi="Times New Roman"/>
          <w:sz w:val="21"/>
          <w:szCs w:val="21"/>
          <w:color w:val="010000"/>
        </w:rPr>
      </w:pPr>
    </w:p>
    <w:p>
      <w:pPr>
        <w:ind w:firstLine="1254"/>
        <w:spacing w:after="0" w:line="238" w:lineRule="auto"/>
        <w:tabs>
          <w:tab w:leader="none" w:pos="1871" w:val="left"/>
        </w:tabs>
        <w:numPr>
          <w:ilvl w:val="1"/>
          <w:numId w:val="2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Guarantor’s Available Capital Commitment equals or exceeds its Pro Rata Percentage of the Maximum Amount, as certified by such Guarantor’s chief financial officer.</w:t>
      </w:r>
    </w:p>
    <w:p>
      <w:pPr>
        <w:spacing w:after="0" w:line="146" w:lineRule="exact"/>
        <w:rPr>
          <w:rFonts w:ascii="Times New Roman" w:cs="Times New Roman" w:eastAsia="Times New Roman" w:hAnsi="Times New Roman"/>
          <w:sz w:val="21"/>
          <w:szCs w:val="21"/>
          <w:color w:val="010000"/>
        </w:rPr>
      </w:pPr>
    </w:p>
    <w:p>
      <w:pPr>
        <w:ind w:firstLine="1254"/>
        <w:spacing w:after="0" w:line="238" w:lineRule="auto"/>
        <w:tabs>
          <w:tab w:leader="none" w:pos="1872" w:val="left"/>
        </w:tabs>
        <w:numPr>
          <w:ilvl w:val="1"/>
          <w:numId w:val="2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There are no pending (or, to the knowledge of each Guarantor, threatened) actions, investigations, suits, proceedings, audits, claims, demands, orders or disputes affecting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50" w:right="339" w:bottom="1440" w:gutter="0" w:footer="0" w:header="0"/>
        </w:sectPr>
      </w:pPr>
    </w:p>
    <w:bookmarkStart w:id="273" w:name="page274"/>
    <w:bookmarkEnd w:id="273"/>
    <w:p>
      <w:pPr>
        <w:spacing w:after="0" w:line="238" w:lineRule="auto"/>
        <w:rPr>
          <w:sz w:val="20"/>
          <w:szCs w:val="20"/>
          <w:color w:val="auto"/>
        </w:rPr>
      </w:pPr>
      <w:r>
        <w:rPr>
          <w:rFonts w:ascii="Times New Roman" w:cs="Times New Roman" w:eastAsia="Times New Roman" w:hAnsi="Times New Roman"/>
          <w:sz w:val="21"/>
          <w:szCs w:val="21"/>
          <w:color w:val="auto"/>
        </w:rPr>
        <w:t>any of the Guarantors with, by or before any governmental authority other than those that would not, in the aggregate, reasonably be expected to have a Material Adverse Effect.</w:t>
      </w:r>
    </w:p>
    <w:p>
      <w:pPr>
        <w:spacing w:after="0" w:line="146" w:lineRule="exact"/>
        <w:rPr>
          <w:sz w:val="20"/>
          <w:szCs w:val="20"/>
          <w:color w:val="auto"/>
        </w:rPr>
      </w:pPr>
    </w:p>
    <w:p>
      <w:pPr>
        <w:ind w:firstLine="1254"/>
        <w:spacing w:after="0" w:line="238" w:lineRule="auto"/>
        <w:tabs>
          <w:tab w:leader="none" w:pos="1875" w:val="left"/>
        </w:tabs>
        <w:numPr>
          <w:ilvl w:val="1"/>
          <w:numId w:val="29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Guarantor is in default with respect to any of its contractual obligations, other than those defaults that would not, in the aggregate, reasonably be expected to have a Material Adverse Effect.</w:t>
      </w:r>
    </w:p>
    <w:p>
      <w:pPr>
        <w:spacing w:after="0" w:line="146" w:lineRule="exact"/>
        <w:rPr>
          <w:rFonts w:ascii="Times New Roman" w:cs="Times New Roman" w:eastAsia="Times New Roman" w:hAnsi="Times New Roman"/>
          <w:sz w:val="21"/>
          <w:szCs w:val="21"/>
          <w:color w:val="010000"/>
        </w:rPr>
      </w:pPr>
    </w:p>
    <w:p>
      <w:pPr>
        <w:ind w:firstLine="629"/>
        <w:spacing w:after="0" w:line="238" w:lineRule="auto"/>
        <w:tabs>
          <w:tab w:leader="none" w:pos="1250" w:val="left"/>
        </w:tabs>
        <w:numPr>
          <w:ilvl w:val="0"/>
          <w:numId w:val="2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 Each Guarantor covenants and agrees that, from and after the date of this Limited Guarantee until the Guarantee Termination Date:</w:t>
      </w:r>
    </w:p>
    <w:p>
      <w:pPr>
        <w:spacing w:after="0" w:line="146" w:lineRule="exact"/>
        <w:rPr>
          <w:rFonts w:ascii="Times New Roman" w:cs="Times New Roman" w:eastAsia="Times New Roman" w:hAnsi="Times New Roman"/>
          <w:sz w:val="21"/>
          <w:szCs w:val="21"/>
          <w:color w:val="010000"/>
        </w:rPr>
      </w:pPr>
    </w:p>
    <w:p>
      <w:pPr>
        <w:jc w:val="both"/>
        <w:ind w:firstLine="1254"/>
        <w:spacing w:after="0" w:line="228" w:lineRule="auto"/>
        <w:tabs>
          <w:tab w:leader="none" w:pos="1872" w:val="left"/>
        </w:tabs>
        <w:numPr>
          <w:ilvl w:val="1"/>
          <w:numId w:val="2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Guarantor shall maintain at all times an Available Capital Commitment in an amount that equals or exceeds its Pro Rata Percentage of the Maximum Amount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any amounts funded by the Guarantors under this Limited Guarantee that are actually received by the Administrative Agent (for its benefit and the benefit of the Lenders).</w:t>
      </w:r>
    </w:p>
    <w:p>
      <w:pPr>
        <w:spacing w:after="0" w:line="145" w:lineRule="exact"/>
        <w:rPr>
          <w:rFonts w:ascii="Times New Roman" w:cs="Times New Roman" w:eastAsia="Times New Roman" w:hAnsi="Times New Roman"/>
          <w:sz w:val="21"/>
          <w:szCs w:val="21"/>
          <w:color w:val="010000"/>
        </w:rPr>
      </w:pPr>
    </w:p>
    <w:p>
      <w:pPr>
        <w:jc w:val="both"/>
        <w:ind w:firstLine="1254"/>
        <w:spacing w:after="0" w:line="228" w:lineRule="auto"/>
        <w:tabs>
          <w:tab w:leader="none" w:pos="1871" w:val="left"/>
        </w:tabs>
        <w:numPr>
          <w:ilvl w:val="1"/>
          <w:numId w:val="2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Guarantor shall (a) preserve and maintain its legal existence and (b) preserve and maintain its rights (charter and statutory), privileges, franchises and permits necessary or desirable in the conduct of its business, except, in the case of clause (b), where the failure to do so would not, in the aggregate, reasonably be expected to have a Material Adverse Effect.</w:t>
      </w:r>
    </w:p>
    <w:p>
      <w:pPr>
        <w:spacing w:after="0" w:line="145" w:lineRule="exact"/>
        <w:rPr>
          <w:rFonts w:ascii="Times New Roman" w:cs="Times New Roman" w:eastAsia="Times New Roman" w:hAnsi="Times New Roman"/>
          <w:sz w:val="21"/>
          <w:szCs w:val="21"/>
          <w:color w:val="010000"/>
        </w:rPr>
      </w:pPr>
    </w:p>
    <w:p>
      <w:pPr>
        <w:ind w:firstLine="1254"/>
        <w:spacing w:after="0" w:line="238" w:lineRule="auto"/>
        <w:tabs>
          <w:tab w:leader="none" w:pos="1872" w:val="left"/>
        </w:tabs>
        <w:numPr>
          <w:ilvl w:val="1"/>
          <w:numId w:val="2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Guarantor shall comply with all requirements of law, contractual obligations and permits, except for such failures to comply that would not, in the aggregate, reasonably be expected to have a Material Adverse Effect.</w:t>
      </w:r>
    </w:p>
    <w:p>
      <w:pPr>
        <w:spacing w:after="0" w:line="146" w:lineRule="exact"/>
        <w:rPr>
          <w:rFonts w:ascii="Times New Roman" w:cs="Times New Roman" w:eastAsia="Times New Roman" w:hAnsi="Times New Roman"/>
          <w:sz w:val="21"/>
          <w:szCs w:val="21"/>
          <w:color w:val="010000"/>
        </w:rPr>
      </w:pPr>
    </w:p>
    <w:p>
      <w:pPr>
        <w:jc w:val="both"/>
        <w:ind w:firstLine="1254"/>
        <w:spacing w:after="0" w:line="228" w:lineRule="auto"/>
        <w:tabs>
          <w:tab w:leader="none" w:pos="1871" w:val="left"/>
        </w:tabs>
        <w:numPr>
          <w:ilvl w:val="1"/>
          <w:numId w:val="2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Guarantor will not voluntarily dissolve, liquidate, or wind up its affairs, or be a party to any transaction of merger or consolidation in which each such Guarantor merges or consolidates with or into another Person unless such applicable Guarantor is the surviving Person.</w:t>
      </w:r>
    </w:p>
    <w:p>
      <w:pPr>
        <w:spacing w:after="0" w:line="145" w:lineRule="exact"/>
        <w:rPr>
          <w:rFonts w:ascii="Times New Roman" w:cs="Times New Roman" w:eastAsia="Times New Roman" w:hAnsi="Times New Roman"/>
          <w:sz w:val="21"/>
          <w:szCs w:val="21"/>
          <w:color w:val="010000"/>
        </w:rPr>
      </w:pPr>
    </w:p>
    <w:p>
      <w:pPr>
        <w:jc w:val="both"/>
        <w:ind w:firstLine="1254"/>
        <w:spacing w:after="0" w:line="228" w:lineRule="auto"/>
        <w:tabs>
          <w:tab w:leader="none" w:pos="1872" w:val="left"/>
        </w:tabs>
        <w:numPr>
          <w:ilvl w:val="1"/>
          <w:numId w:val="2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Guarantor’s agreement of limited partnership shall not be amended in any way that (a) would have a Material Adverse Effect on each such Guarantor’s ability to perform its respective obligations hereunder or (b) is inconsistent with this Limited Guarantee, including the representations and warranties contained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010000"/>
        </w:rPr>
      </w:pPr>
    </w:p>
    <w:p>
      <w:pPr>
        <w:jc w:val="both"/>
        <w:ind w:firstLine="629"/>
        <w:spacing w:after="0" w:line="219" w:lineRule="auto"/>
        <w:tabs>
          <w:tab w:leader="none" w:pos="1250" w:val="left"/>
        </w:tabs>
        <w:numPr>
          <w:ilvl w:val="0"/>
          <w:numId w:val="2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xml:space="preserve">. The provisions of this Limited Guarantee shall be binding upon the successors and assigns of each Guarantor and shall inure to the benefit of the Administrative Agent and its successors and assigns (for the benefit of itself and the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Guarantor may not assign, transfer, or delegate any of its rights or obligations under this Limited Guarantee without the prior written consent of the Administrative Agent, any such purported assignment, transfer or delegation without such consent being null and void.</w:t>
      </w:r>
    </w:p>
    <w:p>
      <w:pPr>
        <w:spacing w:after="0" w:line="148" w:lineRule="exact"/>
        <w:rPr>
          <w:rFonts w:ascii="Times New Roman" w:cs="Times New Roman" w:eastAsia="Times New Roman" w:hAnsi="Times New Roman"/>
          <w:sz w:val="21"/>
          <w:szCs w:val="21"/>
          <w:color w:val="010000"/>
        </w:rPr>
      </w:pPr>
    </w:p>
    <w:p>
      <w:pPr>
        <w:ind w:firstLine="629"/>
        <w:spacing w:after="0" w:line="238" w:lineRule="auto"/>
        <w:tabs>
          <w:tab w:leader="none" w:pos="1250" w:val="left"/>
        </w:tabs>
        <w:numPr>
          <w:ilvl w:val="0"/>
          <w:numId w:val="2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claims, demands and other communications hereunder shall be given by the means specified in the Credit Agreement (and shall be deemed given as specified therein),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50" w:right="339" w:bottom="1440" w:gutter="0" w:footer="0" w:header="0"/>
        </w:sectPr>
      </w:pPr>
    </w:p>
    <w:bookmarkStart w:id="274" w:name="page275"/>
    <w:bookmarkEnd w:id="274"/>
    <w:p>
      <w:pPr>
        <w:ind w:left="280"/>
        <w:spacing w:after="0"/>
        <w:rPr>
          <w:sz w:val="20"/>
          <w:szCs w:val="20"/>
          <w:color w:val="auto"/>
        </w:rPr>
      </w:pPr>
      <w:r>
        <w:rPr>
          <w:rFonts w:ascii="Times New Roman" w:cs="Times New Roman" w:eastAsia="Times New Roman" w:hAnsi="Times New Roman"/>
          <w:sz w:val="21"/>
          <w:szCs w:val="21"/>
          <w:color w:val="auto"/>
        </w:rPr>
        <w:t>If to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right="20"/>
        <w:spacing w:after="0" w:line="238" w:lineRule="auto"/>
        <w:rPr>
          <w:sz w:val="20"/>
          <w:szCs w:val="20"/>
          <w:color w:val="auto"/>
        </w:rPr>
      </w:pPr>
      <w:r>
        <w:rPr>
          <w:rFonts w:ascii="Times New Roman" w:cs="Times New Roman" w:eastAsia="Times New Roman" w:hAnsi="Times New Roman"/>
          <w:sz w:val="21"/>
          <w:szCs w:val="21"/>
          <w:color w:val="auto"/>
        </w:rPr>
        <w:t>With copies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1"/>
          <w:szCs w:val="21"/>
          <w:color w:val="auto"/>
        </w:rPr>
        <w:t>If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80" w:right="20"/>
        <w:spacing w:after="0" w:line="238" w:lineRule="auto"/>
        <w:rPr>
          <w:sz w:val="20"/>
          <w:szCs w:val="20"/>
          <w:color w:val="auto"/>
        </w:rPr>
      </w:pPr>
      <w:r>
        <w:rPr>
          <w:rFonts w:ascii="Times New Roman" w:cs="Times New Roman" w:eastAsia="Times New Roman" w:hAnsi="Times New Roman"/>
          <w:sz w:val="21"/>
          <w:szCs w:val="21"/>
          <w:color w:val="auto"/>
        </w:rPr>
        <w:t>With copies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hanging="631"/>
        <w:spacing w:after="0"/>
        <w:tabs>
          <w:tab w:leader="none" w:pos="1260" w:val="left"/>
        </w:tabs>
        <w:numPr>
          <w:ilvl w:val="0"/>
          <w:numId w:val="2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CONTINUING GUARANTEE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 Vesey Street Capital Partners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428 Greenwich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NY 10013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Daniel Sollof; Bryan Sekino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21"/>
          <w:szCs w:val="21"/>
          <w:u w:val="single" w:color="auto"/>
          <w:color w:val="0000FF"/>
        </w:rPr>
        <w:t>dan@vscpllc.com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bryan@vscpllc.com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Kirkland &amp; Ellis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601 Lexington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NY 10022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Aditi Iyer, P.C.; Leonard Kim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000FF"/>
        </w:rPr>
        <w:t>aditi.iyer@kirkland.com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leonard.kim@kirkland.com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Silicon Valley Bank</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53 State Street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Boston, MA 02109</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Keith Cox</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Email: kcox@svb.com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Latham &amp; Watkins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1271 6th Ave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NY 10020</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Jesse Sheff; Helen Lui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21"/>
          <w:szCs w:val="21"/>
          <w:u w:val="single" w:color="auto"/>
          <w:color w:val="0000FF"/>
        </w:rPr>
        <w:t>Haijing.Liu@lw.com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Jesse.Sheff@lw.com</w:t>
      </w:r>
    </w:p>
    <w:p>
      <w:pPr>
        <w:spacing w:after="0" w:line="722" w:lineRule="exact"/>
        <w:rPr>
          <w:sz w:val="20"/>
          <w:szCs w:val="20"/>
          <w:color w:val="auto"/>
        </w:rPr>
      </w:pPr>
    </w:p>
    <w:p>
      <w:pPr>
        <w:sectPr>
          <w:pgSz w:w="11900" w:h="16838" w:orient="portrait"/>
          <w:cols w:equalWidth="0" w:num="2">
            <w:col w:w="3940" w:space="120"/>
            <w:col w:w="7180"/>
          </w:cols>
          <w:pgMar w:left="320" w:top="1402" w:right="339" w:bottom="1440" w:gutter="0" w:footer="0" w:header="0"/>
        </w:sectPr>
      </w:pPr>
    </w:p>
    <w:p>
      <w:pPr>
        <w:jc w:val="both"/>
        <w:ind w:firstLine="1254"/>
        <w:spacing w:after="0" w:line="211" w:lineRule="auto"/>
        <w:tabs>
          <w:tab w:leader="none" w:pos="1872" w:val="left"/>
        </w:tabs>
        <w:numPr>
          <w:ilvl w:val="0"/>
          <w:numId w:val="2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Limited Guarantee shall remain in full force and effect until the earliest to occur of (a) the date on which all the Obligations under the Credit Agreement, including the Guaranteed Obligations (but excluding contingent indemnity Obligations for which no demand has been made), have been satisfied by payment in full in cash, all Commitments under the Credit Agreement have been terminated and all Letters of Credit Issued under the Credit Agreement have expired, have been discharged, or have been cash collateralized in accordance with the terms of the Credit Agreement (the “</w:t>
      </w:r>
      <w:r>
        <w:rPr>
          <w:rFonts w:ascii="Times New Roman" w:cs="Times New Roman" w:eastAsia="Times New Roman" w:hAnsi="Times New Roman"/>
          <w:sz w:val="21"/>
          <w:szCs w:val="21"/>
          <w:u w:val="single" w:color="auto"/>
          <w:color w:val="auto"/>
        </w:rPr>
        <w:t>Paid in Full Date</w:t>
      </w:r>
      <w:r>
        <w:rPr>
          <w:rFonts w:ascii="Times New Roman" w:cs="Times New Roman" w:eastAsia="Times New Roman" w:hAnsi="Times New Roman"/>
          <w:sz w:val="21"/>
          <w:szCs w:val="21"/>
          <w:color w:val="auto"/>
        </w:rPr>
        <w:t>”), (b) the date on which the Administrative Agent has received payment in cash from the Guarantors in respect of, and in aggregate amount equal to, the Maximum Amount, plus any Enforcement Expenses, and (c) the date on which the aggregate principal amount of Term Loan prepayments (other than regularly scheduled amortization payments) actually received by the Administrative Agent from and after the date hereof is at least $20,000,000; provided that the funds used to make such prepayments are not derived from any source or on account of any sale or other transaction or event that is prohibited under the Credit Agreement (the earliest to occur of clauses (a) through (c), the “</w:t>
      </w:r>
      <w:r>
        <w:rPr>
          <w:rFonts w:ascii="Times New Roman" w:cs="Times New Roman" w:eastAsia="Times New Roman" w:hAnsi="Times New Roman"/>
          <w:sz w:val="21"/>
          <w:szCs w:val="21"/>
          <w:u w:val="single" w:color="auto"/>
          <w:color w:val="auto"/>
        </w:rPr>
        <w:t>Guarantee Termination Date</w:t>
      </w:r>
      <w:r>
        <w:rPr>
          <w:rFonts w:ascii="Times New Roman" w:cs="Times New Roman" w:eastAsia="Times New Roman" w:hAnsi="Times New Roman"/>
          <w:sz w:val="21"/>
          <w:szCs w:val="21"/>
          <w:color w:val="auto"/>
        </w:rPr>
        <w:t>”). Thereafter, but subject to the following, the Administrative Agent shall take such action and execute such documents as the Guarantor may reasonably request (and at the Guarantors’ or Borrower’s cost and expense) in order to evidence the termination of this Limited Guarantee.</w:t>
      </w:r>
    </w:p>
    <w:p>
      <w:pPr>
        <w:spacing w:after="0" w:line="157" w:lineRule="exact"/>
        <w:rPr>
          <w:rFonts w:ascii="Times New Roman" w:cs="Times New Roman" w:eastAsia="Times New Roman" w:hAnsi="Times New Roman"/>
          <w:sz w:val="21"/>
          <w:szCs w:val="21"/>
          <w:color w:val="010000"/>
        </w:rPr>
      </w:pPr>
    </w:p>
    <w:p>
      <w:pPr>
        <w:ind w:firstLine="1254"/>
        <w:spacing w:after="0" w:line="238" w:lineRule="auto"/>
        <w:tabs>
          <w:tab w:leader="none" w:pos="1871" w:val="left"/>
        </w:tabs>
        <w:numPr>
          <w:ilvl w:val="0"/>
          <w:numId w:val="2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the occurrence of the Guarantee Termination Date, each Guarantor further agrees that, to the extent that the Borrower, each Guarantor,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02" w:right="339" w:bottom="1440" w:gutter="0" w:footer="0" w:header="0"/>
          <w:type w:val="continuous"/>
        </w:sectPr>
      </w:pPr>
    </w:p>
    <w:bookmarkStart w:id="275" w:name="page276"/>
    <w:bookmarkEnd w:id="275"/>
    <w:p>
      <w:pPr>
        <w:jc w:val="both"/>
        <w:spacing w:after="0" w:line="212" w:lineRule="auto"/>
        <w:rPr>
          <w:sz w:val="20"/>
          <w:szCs w:val="20"/>
          <w:color w:val="auto"/>
        </w:rPr>
      </w:pPr>
      <w:r>
        <w:rPr>
          <w:rFonts w:ascii="Times New Roman" w:cs="Times New Roman" w:eastAsia="Times New Roman" w:hAnsi="Times New Roman"/>
          <w:sz w:val="21"/>
          <w:szCs w:val="21"/>
          <w:color w:val="auto"/>
        </w:rPr>
        <w:t>Person makes a payment or payments to the Administrative Agent or any of the Lenders on the Obligations, or the Administrative Agent or the Lenders receive any proceeds of Collateral securing the Obligations or any other payments with respect to the Obligations, which payment or receipt of proceeds or any part thereof is subsequently avoided, rescinded, invalidated, declared to be fraudulent or preferential, set aside or required to be returned or repaid to the Borrower, its estate, trustee, receiver, debtor in possession or any other Person, including the Guarantor, (a) under any insolvency or bankruptcy law, state or federal law, common law or equitable cause, or (b) upon or as a result of the appointment of a receiver, intervenor or conservator of, or trustee or similar officer for, the Borrower, any other Credit Party or the Guarantor or any substantial part of its property, or (c) for any similar reason, then to the extent of such payment, return or repayment, this Limited Guarantee shall either be reinstated or continue in full force and effect in accordance with its terms, all as though such payment or payments had not been made, notwithstanding any contrary action that may have been taken by the Administrative Agent or the Lenders in reliance upon such payment, and any such contrary action so taken shall be without prejudice to the Administrative Agent’s or the Lenders’ rights under this Limited Guarantee and shall be deemed to have been conditioned upon such payment having become final and irrevocable.</w:t>
      </w:r>
    </w:p>
    <w:p>
      <w:pPr>
        <w:spacing w:after="0" w:line="149" w:lineRule="exact"/>
        <w:rPr>
          <w:sz w:val="20"/>
          <w:szCs w:val="20"/>
          <w:color w:val="auto"/>
        </w:rPr>
      </w:pPr>
    </w:p>
    <w:p>
      <w:pPr>
        <w:jc w:val="both"/>
        <w:ind w:firstLine="629"/>
        <w:spacing w:after="0" w:line="211" w:lineRule="auto"/>
        <w:tabs>
          <w:tab w:leader="none" w:pos="1250" w:val="left"/>
        </w:tabs>
        <w:numPr>
          <w:ilvl w:val="0"/>
          <w:numId w:val="2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SUBROGATION</w:t>
      </w:r>
      <w:r>
        <w:rPr>
          <w:rFonts w:ascii="Times New Roman" w:cs="Times New Roman" w:eastAsia="Times New Roman" w:hAnsi="Times New Roman"/>
          <w:sz w:val="21"/>
          <w:szCs w:val="21"/>
          <w:color w:val="auto"/>
        </w:rPr>
        <w:t xml:space="preserve">. Notwithstanding (a) any payment made by any Guarantor hereunder, (b) any set-off or application of funds of the Guarantor by the Administrative Agent or any Lender, or (c) any application by the Administrative Agent or any Lender of any other assets of the Guarantor subject to liens granted by the Guarantor as security for the Guaranteed Obligations, such Guarantor shall not be entitled to be subrogated to any of the rights of the Administrative Agent or any Lender against the Borrower or any other Loan Party or any collateral security or guarantee or right of offset held by the Administrative Agent or any Lender for the payment of the Guaranteed Obligations, nor shall the Guarantor seek or be entitled to any contribution or reimbursement from the Borrower or any other Loan Party in respect of payments made by the Guarantor hereunder, in each case until the Paid in Full Date. If any amount shall be paid to the Guarantor on account of such subrogation rights at any time prior to the Paid in Full Date, such amount shall be held by the Guarantor in trust for the Administrative Agent and the Lenders, segregated from other funds of the Guarantor, and shall, forthwith upon receipt by the Guarantor, be turned over to the Administrative Agent in the exact form received by the Guarantor (duly endorsed by the Guarantor to the Administrative Agent, if required), to be applied against the Obligations, whether matured or unmatured, in such order as the Administrative Agent may determine. The agreements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shall survive the Guarantee Termination Date.</w:t>
      </w:r>
    </w:p>
    <w:p>
      <w:pPr>
        <w:spacing w:after="0" w:line="157" w:lineRule="exact"/>
        <w:rPr>
          <w:rFonts w:ascii="Times New Roman" w:cs="Times New Roman" w:eastAsia="Times New Roman" w:hAnsi="Times New Roman"/>
          <w:sz w:val="21"/>
          <w:szCs w:val="21"/>
          <w:color w:val="010000"/>
        </w:rPr>
      </w:pPr>
    </w:p>
    <w:p>
      <w:pPr>
        <w:jc w:val="both"/>
        <w:ind w:firstLine="629"/>
        <w:spacing w:after="0" w:line="211" w:lineRule="auto"/>
        <w:tabs>
          <w:tab w:leader="none" w:pos="1243" w:val="left"/>
        </w:tabs>
        <w:numPr>
          <w:ilvl w:val="0"/>
          <w:numId w:val="2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RECOURSE</w:t>
      </w:r>
      <w:r>
        <w:rPr>
          <w:rFonts w:ascii="Times New Roman" w:cs="Times New Roman" w:eastAsia="Times New Roman" w:hAnsi="Times New Roman"/>
          <w:sz w:val="21"/>
          <w:szCs w:val="21"/>
          <w:color w:val="auto"/>
        </w:rPr>
        <w:t>. Notwithstanding anything that may be expressed or implied in this Limited Guarantee or any document or instrument delivered in connection herewith, and notwithstanding the fact that any Guarantor may be a partnership, by its acceptance of the benefits of this Limited Guarantee, the Administrative Agent, on behalf of itself and its and their respective Affiliates, acknowledges and agrees that no Person other than the Guarantors have any obligations hereunder and that no recourse shall be had hereunder, or for any claim based on, in respect of, or by reason of, such obligations or their creation, or in respect of any oral or written representations made or alleged to be made in connection herewith or therewith, against, and no personal liability shall attach to, be imposed on or otherwise be incurred by any Related Person, whether by or through attempted piercing of the corporate veil, by or through a claim by or on behalf of the Administrative Agent against any Related Person, by the enforcement of any assessment or by any legal or equitable proceeding, by virtue of any law, or otherwise. For the purposes of this Limited Guarantee, “</w:t>
      </w:r>
      <w:r>
        <w:rPr>
          <w:rFonts w:ascii="Times New Roman" w:cs="Times New Roman" w:eastAsia="Times New Roman" w:hAnsi="Times New Roman"/>
          <w:sz w:val="21"/>
          <w:szCs w:val="21"/>
          <w:u w:val="single" w:color="auto"/>
          <w:color w:val="auto"/>
        </w:rPr>
        <w:t>Related Person</w:t>
      </w:r>
      <w:r>
        <w:rPr>
          <w:rFonts w:ascii="Times New Roman" w:cs="Times New Roman" w:eastAsia="Times New Roman" w:hAnsi="Times New Roman"/>
          <w:sz w:val="21"/>
          <w:szCs w:val="21"/>
          <w:color w:val="auto"/>
        </w:rPr>
        <w:t>” means (a) any former, current and future equityholders, controlling persons, directors, officers, employees, agents, Affiliates, affiliated (or commonly advised) funds, members, managers, general or limited partners or assignees or successors of any Guarantor or (b) any former, current or future equityholders, controlling persons, directors, officers, employees, agents, Affiliates, affiliated (or commonly advised)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50" w:right="339" w:bottom="1440" w:gutter="0" w:footer="0" w:header="0"/>
        </w:sectPr>
      </w:pPr>
    </w:p>
    <w:bookmarkStart w:id="276" w:name="page277"/>
    <w:bookmarkEnd w:id="276"/>
    <w:p>
      <w:pPr>
        <w:jc w:val="both"/>
        <w:spacing w:after="0" w:line="210" w:lineRule="auto"/>
        <w:rPr>
          <w:sz w:val="20"/>
          <w:szCs w:val="20"/>
          <w:color w:val="auto"/>
        </w:rPr>
      </w:pPr>
      <w:r>
        <w:rPr>
          <w:rFonts w:ascii="Times New Roman" w:cs="Times New Roman" w:eastAsia="Times New Roman" w:hAnsi="Times New Roman"/>
          <w:sz w:val="21"/>
          <w:szCs w:val="21"/>
          <w:color w:val="auto"/>
        </w:rPr>
        <w:t>funds, members, managers, general or limited partners, or assignees or successors of any of the foregoing. The Administrative Agent, on behalf of itself and its and their respective Affiliates, further agrees that no such Person has any right of recovery against any Guarantor or any Related Person, whether by piercing of the corporate veil, by a claim on behalf of the Borrower or against Guarantor or any Related Person, or otherwise, except for the rights against the Guarantors under this Limited Guarantee, subject to each Guarantor’s Pro Rata Percentage of the Maximum Amount and the other limitations described herein, and the rights against the Borrower expressly provided for under the Credit Agreement, subject to the limitations described therein. Recourse against any Guarantor under this Limited Guarantee shall be the sole and exclusive remedy of the Administrative Agent and its and their respective Affiliates against the Guarantors and any Related Person in respect of any liabilities or obligations arising under, or in connection with, the Credit Agreement or the transactions contemplated thereby. The Administrative Agent, on behalf of itself and its and their respective Affiliates, hereby covenants and agrees that it shall not institute, and it shall cause its Affiliates not to, directly or indirectly, institute, any proceeding or assert in writing any claim arising under, or in connection with, the Credit Agreement or the transactions contemplated thereby, or in respect of any oral representations made or alleged to made in connection therewith, against any Guarantor or any Related Person except for claims against the Guarantors under this Limited Guarantee, subject to each Guarantor’s Pro Rata Percentage of the Maximum Amount and the other terms and limitations herein and therein. Nothing set forth in this Limited Guarantee shall affect or be construed to affect or be construed to confer or give any Person other than the Administrative Agent (including any other Person acting in a representative capacity) any rights or remedies against any Person other than the Guarantors as set forth herein.</w:t>
      </w:r>
    </w:p>
    <w:p>
      <w:pPr>
        <w:spacing w:after="0" w:line="159" w:lineRule="exact"/>
        <w:rPr>
          <w:sz w:val="20"/>
          <w:szCs w:val="20"/>
          <w:color w:val="auto"/>
        </w:rPr>
      </w:pPr>
    </w:p>
    <w:p>
      <w:pPr>
        <w:ind w:left="1260" w:hanging="631"/>
        <w:spacing w:after="0"/>
        <w:tabs>
          <w:tab w:leader="none" w:pos="1260" w:val="left"/>
        </w:tabs>
        <w:numPr>
          <w:ilvl w:val="0"/>
          <w:numId w:val="29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Each of the following shall, with respect to each Guarantor, constitute a “</w:t>
      </w:r>
      <w:r>
        <w:rPr>
          <w:rFonts w:ascii="Times New Roman" w:cs="Times New Roman" w:eastAsia="Times New Roman" w:hAnsi="Times New Roman"/>
          <w:sz w:val="20"/>
          <w:szCs w:val="20"/>
          <w:u w:val="single" w:color="auto"/>
          <w:color w:val="auto"/>
        </w:rPr>
        <w:t>Guarantor Event of</w:t>
      </w:r>
    </w:p>
    <w:p>
      <w:pPr>
        <w:spacing w:after="0" w:line="2"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0"/>
          <w:szCs w:val="20"/>
          <w:color w:val="010000"/>
        </w:rPr>
      </w:pPr>
    </w:p>
    <w:p>
      <w:pPr>
        <w:jc w:val="both"/>
        <w:ind w:firstLine="1254"/>
        <w:spacing w:after="0" w:line="222" w:lineRule="auto"/>
        <w:tabs>
          <w:tab w:leader="none" w:pos="1872" w:val="left"/>
        </w:tabs>
        <w:numPr>
          <w:ilvl w:val="1"/>
          <w:numId w:val="2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Limited Guarantee or any provision hereof shall cease to be in full force and effect with respect to each Guarantor, or each Guarantor or any Person acting by or on behalf of each Guarantor shall take any action for the purpose of terminating, invalidating or rescinding this Limited Guarantee or deny or disaffirm each Guarantor’s obligations under this Limited Guarantee.</w:t>
      </w:r>
    </w:p>
    <w:p>
      <w:pPr>
        <w:spacing w:after="0" w:line="139" w:lineRule="exact"/>
        <w:rPr>
          <w:rFonts w:ascii="Times New Roman" w:cs="Times New Roman" w:eastAsia="Times New Roman" w:hAnsi="Times New Roman"/>
          <w:sz w:val="21"/>
          <w:szCs w:val="21"/>
          <w:color w:val="010000"/>
        </w:rPr>
      </w:pPr>
    </w:p>
    <w:p>
      <w:pPr>
        <w:ind w:left="1880" w:hanging="626"/>
        <w:spacing w:after="0"/>
        <w:tabs>
          <w:tab w:leader="none" w:pos="1880" w:val="left"/>
        </w:tabs>
        <w:numPr>
          <w:ilvl w:val="1"/>
          <w:numId w:val="2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Guarantor shall default in the payment when due of any amounts payable by such Guarantor pursuant to this</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Limited Guarantee.</w:t>
      </w:r>
    </w:p>
    <w:p>
      <w:pPr>
        <w:spacing w:after="0" w:line="151" w:lineRule="exact"/>
        <w:rPr>
          <w:rFonts w:ascii="Times New Roman" w:cs="Times New Roman" w:eastAsia="Times New Roman" w:hAnsi="Times New Roman"/>
          <w:sz w:val="21"/>
          <w:szCs w:val="21"/>
          <w:color w:val="010000"/>
        </w:rPr>
      </w:pPr>
    </w:p>
    <w:p>
      <w:pPr>
        <w:jc w:val="both"/>
        <w:ind w:firstLine="1254"/>
        <w:spacing w:after="0" w:line="228" w:lineRule="auto"/>
        <w:tabs>
          <w:tab w:leader="none" w:pos="1872" w:val="left"/>
        </w:tabs>
        <w:numPr>
          <w:ilvl w:val="1"/>
          <w:numId w:val="2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representation, warranty or statement made or deemed to be made by each Guarantor herein, or in any statement or certificate delivered or required to be delivered pursuant hereto, shall prove untrue in any material respect on the date as of which it was made or deemed to have been made.</w:t>
      </w:r>
    </w:p>
    <w:p>
      <w:pPr>
        <w:spacing w:after="0" w:line="145" w:lineRule="exact"/>
        <w:rPr>
          <w:rFonts w:ascii="Times New Roman" w:cs="Times New Roman" w:eastAsia="Times New Roman" w:hAnsi="Times New Roman"/>
          <w:sz w:val="21"/>
          <w:szCs w:val="21"/>
          <w:color w:val="010000"/>
        </w:rPr>
      </w:pPr>
    </w:p>
    <w:p>
      <w:pPr>
        <w:ind w:firstLine="1254"/>
        <w:spacing w:after="0" w:line="238" w:lineRule="auto"/>
        <w:tabs>
          <w:tab w:leader="none" w:pos="1871" w:val="left"/>
        </w:tabs>
        <w:numPr>
          <w:ilvl w:val="1"/>
          <w:numId w:val="2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 Guarantor shall default in the due performance or observance of any term, covenant or agreement (other than as described in paragraphs (a), (b) and (c) of this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010000"/>
        </w:rPr>
      </w:pPr>
    </w:p>
    <w:p>
      <w:pPr>
        <w:ind w:left="2500" w:hanging="620"/>
        <w:spacing w:after="0"/>
        <w:tabs>
          <w:tab w:leader="none" w:pos="2500" w:val="left"/>
        </w:tabs>
        <w:numPr>
          <w:ilvl w:val="2"/>
          <w:numId w:val="2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contained in Section 4(a) or Section 4(b), or</w:t>
      </w:r>
    </w:p>
    <w:p>
      <w:pPr>
        <w:spacing w:after="0" w:line="175" w:lineRule="exact"/>
        <w:rPr>
          <w:rFonts w:ascii="Times New Roman" w:cs="Times New Roman" w:eastAsia="Times New Roman" w:hAnsi="Times New Roman"/>
          <w:sz w:val="21"/>
          <w:szCs w:val="21"/>
          <w:color w:val="010000"/>
        </w:rPr>
      </w:pPr>
    </w:p>
    <w:p>
      <w:pPr>
        <w:jc w:val="both"/>
        <w:ind w:left="1260" w:firstLine="620"/>
        <w:spacing w:after="0" w:line="228" w:lineRule="auto"/>
        <w:tabs>
          <w:tab w:leader="none" w:pos="2504" w:val="left"/>
        </w:tabs>
        <w:numPr>
          <w:ilvl w:val="2"/>
          <w:numId w:val="2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contained in any Section of this Limited Guarantee (other than Section 4(a) or Section 4(b)), and such default shall continue unremedied for a period of thirty (30) days after the earlier of (A) receipt by such Guarantor of notice from the Administrative Agent of such default or (B) actual knowledge of such Guarantor of such default;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50" w:right="339" w:bottom="1440" w:gutter="0" w:footer="0" w:header="0"/>
        </w:sectPr>
      </w:pPr>
    </w:p>
    <w:bookmarkStart w:id="277" w:name="page278"/>
    <w:bookmarkEnd w:id="277"/>
    <w:p>
      <w:pPr>
        <w:ind w:firstLine="1254"/>
        <w:spacing w:after="0" w:line="238" w:lineRule="auto"/>
        <w:tabs>
          <w:tab w:leader="none" w:pos="1872" w:val="left"/>
        </w:tabs>
        <w:numPr>
          <w:ilvl w:val="2"/>
          <w:numId w:val="30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Guarantor Bankruptcy Event with respect to each Guarantor shall occur, or any writ, judgment, warrant of attachment, execution or similar process, is issued or levied against a substantial part of each Guarantor’s assets.</w:t>
      </w:r>
    </w:p>
    <w:p>
      <w:pPr>
        <w:spacing w:after="0" w:line="172" w:lineRule="exact"/>
        <w:rPr>
          <w:rFonts w:ascii="Times New Roman" w:cs="Times New Roman" w:eastAsia="Times New Roman" w:hAnsi="Times New Roman"/>
          <w:sz w:val="21"/>
          <w:szCs w:val="21"/>
          <w:color w:val="010000"/>
        </w:rPr>
      </w:pPr>
    </w:p>
    <w:p>
      <w:pPr>
        <w:ind w:firstLine="4"/>
        <w:spacing w:after="0" w:line="275" w:lineRule="auto"/>
        <w:tabs>
          <w:tab w:leader="none" w:pos="625" w:val="left"/>
        </w:tabs>
        <w:numPr>
          <w:ilvl w:val="0"/>
          <w:numId w:val="30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Parent and each Guarantor acknowledges that a Guarantor Event of Default prior to the Guarantee Termination Date shall constitute an immediate Event of Default under the Credit Agreements and the other Loan Documents.</w:t>
      </w:r>
    </w:p>
    <w:p>
      <w:pPr>
        <w:spacing w:after="0" w:line="123" w:lineRule="exact"/>
        <w:rPr>
          <w:rFonts w:ascii="Times New Roman" w:cs="Times New Roman" w:eastAsia="Times New Roman" w:hAnsi="Times New Roman"/>
          <w:sz w:val="21"/>
          <w:szCs w:val="21"/>
          <w:u w:val="single" w:color="auto"/>
          <w:color w:val="auto"/>
        </w:rPr>
      </w:pPr>
    </w:p>
    <w:p>
      <w:pPr>
        <w:jc w:val="both"/>
        <w:ind w:firstLine="629"/>
        <w:spacing w:after="0" w:line="228" w:lineRule="auto"/>
        <w:tabs>
          <w:tab w:leader="none" w:pos="1250" w:val="left"/>
        </w:tabs>
        <w:numPr>
          <w:ilvl w:val="1"/>
          <w:numId w:val="3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Limited Guarantee, together with the Credit Agreement, contain the entire understanding of the parties with respect to the subject matter hereof and supersede any and all prior discussions, negotiations, understandings, proposals, undertakings or agreements, either oral or written.</w:t>
      </w:r>
    </w:p>
    <w:p>
      <w:pPr>
        <w:spacing w:after="0" w:line="145" w:lineRule="exact"/>
        <w:rPr>
          <w:rFonts w:ascii="Times New Roman" w:cs="Times New Roman" w:eastAsia="Times New Roman" w:hAnsi="Times New Roman"/>
          <w:sz w:val="21"/>
          <w:szCs w:val="21"/>
          <w:color w:val="010000"/>
        </w:rPr>
      </w:pPr>
    </w:p>
    <w:p>
      <w:pPr>
        <w:jc w:val="both"/>
        <w:ind w:firstLine="629"/>
        <w:spacing w:after="0" w:line="228" w:lineRule="auto"/>
        <w:tabs>
          <w:tab w:leader="none" w:pos="1250" w:val="left"/>
        </w:tabs>
        <w:numPr>
          <w:ilvl w:val="1"/>
          <w:numId w:val="3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GOVERNING LAW; ARBITRATION; CONSENT TO JURISDICTION; WAIVER OF JURY TRIAL; REMEDIES</w:t>
      </w:r>
      <w:r>
        <w:rPr>
          <w:rFonts w:ascii="Times New Roman" w:cs="Times New Roman" w:eastAsia="Times New Roman" w:hAnsi="Times New Roman"/>
          <w:sz w:val="21"/>
          <w:szCs w:val="21"/>
          <w:color w:val="auto"/>
        </w:rPr>
        <w:t xml:space="preserve">. The following provisions of the Credit Agreement are incorporated herein by reference and made a part of this Limited Guarantee,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Section 10.13 (Governing Law) and Section 10.14 (Submission to Jurisdiction; Waivers).</w:t>
      </w:r>
    </w:p>
    <w:p>
      <w:pPr>
        <w:spacing w:after="0" w:line="145" w:lineRule="exact"/>
        <w:rPr>
          <w:rFonts w:ascii="Times New Roman" w:cs="Times New Roman" w:eastAsia="Times New Roman" w:hAnsi="Times New Roman"/>
          <w:sz w:val="21"/>
          <w:szCs w:val="21"/>
          <w:color w:val="010000"/>
        </w:rPr>
      </w:pPr>
    </w:p>
    <w:p>
      <w:pPr>
        <w:jc w:val="both"/>
        <w:ind w:firstLine="629"/>
        <w:spacing w:after="0" w:line="222" w:lineRule="auto"/>
        <w:tabs>
          <w:tab w:leader="none" w:pos="1250" w:val="left"/>
        </w:tabs>
        <w:numPr>
          <w:ilvl w:val="1"/>
          <w:numId w:val="3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AMENDMENTS AND WAIVERS</w:t>
      </w:r>
      <w:r>
        <w:rPr>
          <w:rFonts w:ascii="Times New Roman" w:cs="Times New Roman" w:eastAsia="Times New Roman" w:hAnsi="Times New Roman"/>
          <w:sz w:val="21"/>
          <w:szCs w:val="21"/>
          <w:color w:val="auto"/>
        </w:rPr>
        <w:t>. No amendment or waiver of any provision of this Limited Guarantee (including any amendment to capitalized terms or provisions incorporated herein by reference to the Credit Agreement) will be valid and binding unless it is in writing and signed, in the case of an amendment, by each Guarantor and the Administrative Agent or, in the case of a waiver, by the party against whom the waiver is to be effective.</w:t>
      </w:r>
    </w:p>
    <w:p>
      <w:pPr>
        <w:spacing w:after="0" w:line="148" w:lineRule="exact"/>
        <w:rPr>
          <w:rFonts w:ascii="Times New Roman" w:cs="Times New Roman" w:eastAsia="Times New Roman" w:hAnsi="Times New Roman"/>
          <w:sz w:val="21"/>
          <w:szCs w:val="21"/>
          <w:color w:val="010000"/>
        </w:rPr>
      </w:pPr>
    </w:p>
    <w:p>
      <w:pPr>
        <w:jc w:val="both"/>
        <w:ind w:firstLine="629"/>
        <w:spacing w:after="0" w:line="222" w:lineRule="auto"/>
        <w:tabs>
          <w:tab w:leader="none" w:pos="1250" w:val="left"/>
        </w:tabs>
        <w:numPr>
          <w:ilvl w:val="1"/>
          <w:numId w:val="3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THIRD PARTY BENEFICIARIES</w:t>
      </w:r>
      <w:r>
        <w:rPr>
          <w:rFonts w:ascii="Times New Roman" w:cs="Times New Roman" w:eastAsia="Times New Roman" w:hAnsi="Times New Roman"/>
          <w:sz w:val="21"/>
          <w:szCs w:val="21"/>
          <w:color w:val="auto"/>
        </w:rPr>
        <w:t xml:space="preserve">. Except for the rights of Related Persons provided under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this Limited Guarantee is for the sole benefit of the parties hereto and their permitted successors and assigns and nothing herein expressed or implied shall give or be construed to give to any Person, other than the parties and such successors and assigns, any legal or equitable rights hereunder.</w:t>
      </w:r>
    </w:p>
    <w:p>
      <w:pPr>
        <w:spacing w:after="0" w:line="148" w:lineRule="exact"/>
        <w:rPr>
          <w:rFonts w:ascii="Times New Roman" w:cs="Times New Roman" w:eastAsia="Times New Roman" w:hAnsi="Times New Roman"/>
          <w:sz w:val="21"/>
          <w:szCs w:val="21"/>
          <w:color w:val="010000"/>
        </w:rPr>
      </w:pPr>
    </w:p>
    <w:p>
      <w:pPr>
        <w:jc w:val="both"/>
        <w:ind w:firstLine="629"/>
        <w:spacing w:after="0" w:line="216" w:lineRule="auto"/>
        <w:tabs>
          <w:tab w:leader="none" w:pos="1250" w:val="left"/>
        </w:tabs>
        <w:numPr>
          <w:ilvl w:val="1"/>
          <w:numId w:val="3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This Limited Guarantee shall be treated as confidential and is being provided to the Administrative Agent solely in connection with the transactions contemplated by the Credit Agreement. This Limited Guarantee may not be used, circulated, quoted or otherwise referred to in any document, except with the written consent of each Guarantor;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written consent shall be required for disclosures to employees, agents, legal, financial, accounting or other advisors or representatives, so long as such Persons agree to keep such information confidential;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the Administrative Agent may disclose such information to the extent required by law or pursuant to any action, suit or proceeding relating to the Credit Agreement or the transactions contemplated hereby and thereby.</w:t>
      </w:r>
    </w:p>
    <w:p>
      <w:pPr>
        <w:spacing w:after="0" w:line="145" w:lineRule="exact"/>
        <w:rPr>
          <w:rFonts w:ascii="Times New Roman" w:cs="Times New Roman" w:eastAsia="Times New Roman" w:hAnsi="Times New Roman"/>
          <w:sz w:val="21"/>
          <w:szCs w:val="21"/>
          <w:color w:val="010000"/>
        </w:rPr>
      </w:pPr>
    </w:p>
    <w:p>
      <w:pPr>
        <w:jc w:val="both"/>
        <w:ind w:firstLine="629"/>
        <w:spacing w:after="0" w:line="228" w:lineRule="auto"/>
        <w:tabs>
          <w:tab w:leader="none" w:pos="1250" w:val="left"/>
        </w:tabs>
        <w:numPr>
          <w:ilvl w:val="1"/>
          <w:numId w:val="3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The parties have participated jointly in the negotiations and drafting of this Limited Guarantee and in the event of any ambiguity or question of intent or interpretation, no presumption or burden of proof shall arise favoring or disfavoring any party by virtue of the authorship of any of the provisions of this Limited Guarantee.</w:t>
      </w:r>
    </w:p>
    <w:p>
      <w:pPr>
        <w:spacing w:after="0" w:line="145" w:lineRule="exact"/>
        <w:rPr>
          <w:rFonts w:ascii="Times New Roman" w:cs="Times New Roman" w:eastAsia="Times New Roman" w:hAnsi="Times New Roman"/>
          <w:sz w:val="21"/>
          <w:szCs w:val="21"/>
          <w:color w:val="010000"/>
        </w:rPr>
      </w:pPr>
    </w:p>
    <w:p>
      <w:pPr>
        <w:jc w:val="both"/>
        <w:ind w:firstLine="629"/>
        <w:spacing w:after="0" w:line="219" w:lineRule="auto"/>
        <w:tabs>
          <w:tab w:leader="none" w:pos="1250" w:val="left"/>
        </w:tabs>
        <w:numPr>
          <w:ilvl w:val="1"/>
          <w:numId w:val="3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Limited Guarantee may be executed in counterparts, each of which shall be deemed an original but all of which together shall constitute one and the same instrument. This Limited Guarantee and any amendments hereto, to the extent signed and delivered by means of digital imaging and electronic mail (including pdf or any electronic signature complying with the U.S. federal ESIGN Act of 2000, e.g., www.docusign.com) or a facsimile machine, shall be treated in all manner and respects as an original contract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50"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21"/>
          <w:szCs w:val="21"/>
          <w:color w:val="auto"/>
        </w:rPr>
        <w:t>considered to have the same binding legal effects as if it were the original signed version thereof delivered in person.</w:t>
      </w:r>
    </w:p>
    <w:p>
      <w:pPr>
        <w:spacing w:after="0" w:line="175" w:lineRule="exact"/>
        <w:rPr>
          <w:sz w:val="20"/>
          <w:szCs w:val="20"/>
          <w:color w:val="auto"/>
        </w:rPr>
      </w:pPr>
    </w:p>
    <w:p>
      <w:pPr>
        <w:jc w:val="both"/>
        <w:ind w:firstLine="629"/>
        <w:spacing w:after="0" w:line="228" w:lineRule="auto"/>
        <w:tabs>
          <w:tab w:leader="none" w:pos="1250" w:val="left"/>
        </w:tabs>
        <w:numPr>
          <w:ilvl w:val="0"/>
          <w:numId w:val="30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SEVERAL LIABILITY OF THE GUARANTORS</w:t>
      </w:r>
      <w:r>
        <w:rPr>
          <w:rFonts w:ascii="Times New Roman" w:cs="Times New Roman" w:eastAsia="Times New Roman" w:hAnsi="Times New Roman"/>
          <w:sz w:val="21"/>
          <w:szCs w:val="21"/>
          <w:color w:val="auto"/>
        </w:rPr>
        <w:t>. Notwithstanding anything to the contrary contained in this Limited Guarantee, the liability of each Guarantor hereunder shall be several, not joint and several, based upon its respective Pro Rata Percentage of the Guaranteed Obligation and subject to its respective Maximum Amount.</w:t>
      </w:r>
    </w:p>
    <w:p>
      <w:pPr>
        <w:spacing w:after="0" w:line="145" w:lineRule="exact"/>
        <w:rPr>
          <w:rFonts w:ascii="Times New Roman" w:cs="Times New Roman" w:eastAsia="Times New Roman" w:hAnsi="Times New Roman"/>
          <w:sz w:val="21"/>
          <w:szCs w:val="21"/>
          <w:color w:val="010000"/>
        </w:rPr>
      </w:pPr>
    </w:p>
    <w:p>
      <w:pPr>
        <w:ind w:firstLine="629"/>
        <w:spacing w:after="0" w:line="238" w:lineRule="auto"/>
        <w:tabs>
          <w:tab w:leader="none" w:pos="1250" w:val="left"/>
        </w:tabs>
        <w:numPr>
          <w:ilvl w:val="0"/>
          <w:numId w:val="30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GUARANTOR WAIVERS; ETC</w:t>
      </w:r>
      <w:r>
        <w:rPr>
          <w:rFonts w:ascii="Times New Roman" w:cs="Times New Roman" w:eastAsia="Times New Roman" w:hAnsi="Times New Roman"/>
          <w:sz w:val="21"/>
          <w:szCs w:val="21"/>
          <w:color w:val="auto"/>
        </w:rPr>
        <w:t xml:space="preserve">. Section 2.5 of the Guarantee and Collateral Agreement is incorporated herein by reference and made a part of this Limited Guarantee,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50" w:right="339" w:bottom="1440" w:gutter="0" w:footer="0" w:header="0"/>
        </w:sectPr>
      </w:pPr>
    </w:p>
    <w:bookmarkStart w:id="279" w:name="page280"/>
    <w:bookmarkEnd w:id="279"/>
    <w:p>
      <w:pPr>
        <w:ind w:firstLine="1250"/>
        <w:spacing w:after="0" w:line="275" w:lineRule="auto"/>
        <w:rPr>
          <w:sz w:val="20"/>
          <w:szCs w:val="20"/>
          <w:color w:val="auto"/>
        </w:rPr>
      </w:pPr>
      <w:r>
        <w:rPr>
          <w:rFonts w:ascii="Times New Roman" w:cs="Times New Roman" w:eastAsia="Times New Roman" w:hAnsi="Times New Roman"/>
          <w:sz w:val="21"/>
          <w:szCs w:val="21"/>
          <w:color w:val="auto"/>
        </w:rPr>
        <w:t>IN WITNESS WHEREOF, each Guarantor has caused this Limited Guarantee to be executed and delivered as of the date first written above by its officer thereunto duly authorized.</w:t>
      </w:r>
    </w:p>
    <w:p>
      <w:pPr>
        <w:spacing w:after="0" w:line="14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u w:val="single" w:color="auto"/>
          <w:color w:val="auto"/>
        </w:rPr>
        <w:t>GUARANTORS</w:t>
      </w:r>
      <w:r>
        <w:rPr>
          <w:rFonts w:ascii="Times New Roman" w:cs="Times New Roman" w:eastAsia="Times New Roman" w:hAnsi="Times New Roman"/>
          <w:sz w:val="21"/>
          <w:szCs w:val="21"/>
          <w:b w:val="1"/>
          <w:bCs w:val="1"/>
          <w:color w:val="auto"/>
        </w:rPr>
        <w:t>:</w:t>
      </w:r>
    </w:p>
    <w:p>
      <w:pPr>
        <w:spacing w:after="0" w:line="231" w:lineRule="exact"/>
        <w:rPr>
          <w:sz w:val="20"/>
          <w:szCs w:val="20"/>
          <w:color w:val="auto"/>
        </w:rPr>
      </w:pPr>
    </w:p>
    <w:p>
      <w:pPr>
        <w:ind w:left="3760" w:right="1420"/>
        <w:spacing w:after="0" w:line="496" w:lineRule="auto"/>
        <w:rPr>
          <w:sz w:val="20"/>
          <w:szCs w:val="20"/>
          <w:color w:val="auto"/>
        </w:rPr>
      </w:pPr>
      <w:r>
        <w:rPr>
          <w:rFonts w:ascii="Times New Roman" w:cs="Times New Roman" w:eastAsia="Times New Roman" w:hAnsi="Times New Roman"/>
          <w:sz w:val="20"/>
          <w:szCs w:val="20"/>
          <w:color w:val="auto"/>
        </w:rPr>
        <w:t>VESEY STREET CAPITAL PARTNERS HEALTHCARE FUND, L.P. By: Vesey Street Capital Partners Healthcare GP, L.P., its general partner</w:t>
      </w:r>
    </w:p>
    <w:p>
      <w:pPr>
        <w:ind w:left="3760"/>
        <w:spacing w:after="0"/>
        <w:rPr>
          <w:sz w:val="20"/>
          <w:szCs w:val="20"/>
          <w:color w:val="auto"/>
        </w:rPr>
      </w:pPr>
      <w:r>
        <w:rPr>
          <w:rFonts w:ascii="Times New Roman" w:cs="Times New Roman" w:eastAsia="Times New Roman" w:hAnsi="Times New Roman"/>
          <w:sz w:val="21"/>
          <w:szCs w:val="21"/>
          <w:color w:val="auto"/>
        </w:rPr>
        <w:t>By: Vesey Street Capital Partners Healthcare UGP, LLC, its general partner</w:t>
      </w:r>
    </w:p>
    <w:p>
      <w:pPr>
        <w:spacing w:after="0" w:line="200" w:lineRule="exact"/>
        <w:rPr>
          <w:sz w:val="20"/>
          <w:szCs w:val="20"/>
          <w:color w:val="auto"/>
        </w:rPr>
      </w:pPr>
    </w:p>
    <w:p>
      <w:pPr>
        <w:spacing w:after="0" w:line="223" w:lineRule="exact"/>
        <w:rPr>
          <w:sz w:val="20"/>
          <w:szCs w:val="20"/>
          <w:color w:val="auto"/>
        </w:rPr>
      </w:pPr>
    </w:p>
    <w:p>
      <w:pPr>
        <w:ind w:left="3760"/>
        <w:spacing w:after="0"/>
        <w:tabs>
          <w:tab w:leader="none" w:pos="4300" w:val="left"/>
        </w:tabs>
        <w:rPr>
          <w:sz w:val="20"/>
          <w:szCs w:val="20"/>
          <w:color w:val="auto"/>
        </w:rPr>
      </w:pPr>
      <w:r>
        <w:rPr>
          <w:rFonts w:ascii="Times New Roman" w:cs="Times New Roman" w:eastAsia="Times New Roman" w:hAnsi="Times New Roman"/>
          <w:sz w:val="21"/>
          <w:szCs w:val="21"/>
          <w:color w:val="auto"/>
        </w:rPr>
        <w:t>By:</w:t>
        <w:tab/>
        <w:t>/s/ Adam Feinstein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-11430</wp:posOffset>
            </wp:positionV>
            <wp:extent cx="11322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spacing w:after="0" w:line="1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Name: Adam Feinstein</w:t>
      </w:r>
    </w:p>
    <w:p>
      <w:pPr>
        <w:spacing w:after="0" w:line="1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Title: Managing Partner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VESEY STREET CAPITAL PARTNERS HEALTHCARE FUND-A, L.P.</w:t>
      </w:r>
    </w:p>
    <w:p>
      <w:pPr>
        <w:spacing w:after="0" w:line="200" w:lineRule="exact"/>
        <w:rPr>
          <w:sz w:val="20"/>
          <w:szCs w:val="20"/>
          <w:color w:val="auto"/>
        </w:rPr>
      </w:pPr>
    </w:p>
    <w:p>
      <w:pPr>
        <w:spacing w:after="0" w:line="2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 Vesey Street Capital Partners Healthcare GP, L.P., its general partner</w:t>
      </w:r>
    </w:p>
    <w:p>
      <w:pPr>
        <w:spacing w:after="0" w:line="25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 Vesey Street Capital Partners Healthcare UGP, LLC, its general partner</w:t>
      </w:r>
    </w:p>
    <w:p>
      <w:pPr>
        <w:spacing w:after="0" w:line="200" w:lineRule="exact"/>
        <w:rPr>
          <w:sz w:val="20"/>
          <w:szCs w:val="20"/>
          <w:color w:val="auto"/>
        </w:rPr>
      </w:pPr>
    </w:p>
    <w:p>
      <w:pPr>
        <w:spacing w:after="0" w:line="236" w:lineRule="exact"/>
        <w:rPr>
          <w:sz w:val="20"/>
          <w:szCs w:val="20"/>
          <w:color w:val="auto"/>
        </w:rPr>
      </w:pPr>
    </w:p>
    <w:p>
      <w:pPr>
        <w:ind w:left="3760"/>
        <w:spacing w:after="0"/>
        <w:tabs>
          <w:tab w:leader="none" w:pos="424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Adam Feinstein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-11430</wp:posOffset>
            </wp:positionV>
            <wp:extent cx="11322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spacing w:after="0" w:line="1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Name: Adam Feinstein</w:t>
      </w:r>
    </w:p>
    <w:p>
      <w:pPr>
        <w:spacing w:after="0" w:line="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Title: Managing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Limited Guarantee</w:t>
      </w:r>
    </w:p>
    <w:p>
      <w:pPr>
        <w:sectPr>
          <w:pgSz w:w="11900" w:h="16838" w:orient="portrait"/>
          <w:cols w:equalWidth="0" w:num="1">
            <w:col w:w="11240"/>
          </w:cols>
          <w:pgMar w:left="320" w:top="1376" w:right="339" w:bottom="1440" w:gutter="0" w:footer="0" w:header="0"/>
        </w:sectPr>
      </w:pPr>
    </w:p>
    <w:bookmarkStart w:id="280" w:name="page281"/>
    <w:bookmarkEnd w:id="280"/>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 to:</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ADMINISTRATIVE AGENT</w:t>
      </w:r>
      <w:r>
        <w:rPr>
          <w:rFonts w:ascii="Times New Roman" w:cs="Times New Roman" w:eastAsia="Times New Roman" w:hAnsi="Times New Roman"/>
          <w:sz w:val="21"/>
          <w:szCs w:val="21"/>
          <w:b w:val="1"/>
          <w:bCs w:val="1"/>
          <w:color w:val="auto"/>
        </w:rPr>
        <w:t>:</w:t>
      </w:r>
    </w:p>
    <w:p>
      <w:pPr>
        <w:spacing w:after="0" w:line="240" w:lineRule="exact"/>
        <w:rPr>
          <w:sz w:val="20"/>
          <w:szCs w:val="20"/>
          <w:color w:val="auto"/>
        </w:rPr>
      </w:pPr>
    </w:p>
    <w:p>
      <w:pPr>
        <w:ind w:right="3499"/>
        <w:spacing w:after="0" w:line="292" w:lineRule="auto"/>
        <w:rPr>
          <w:sz w:val="20"/>
          <w:szCs w:val="20"/>
          <w:color w:val="auto"/>
        </w:rPr>
      </w:pPr>
      <w:r>
        <w:rPr>
          <w:rFonts w:ascii="Times New Roman" w:cs="Times New Roman" w:eastAsia="Times New Roman" w:hAnsi="Times New Roman"/>
          <w:sz w:val="21"/>
          <w:szCs w:val="21"/>
          <w:b w:val="1"/>
          <w:bCs w:val="1"/>
          <w:color w:val="auto"/>
        </w:rPr>
        <w:t>SILICON VALLEY BANK, A DIVISION OF FIRST-CITIZENS BANK &amp; TRUST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Jason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-11430</wp:posOffset>
            </wp:positionV>
            <wp:extent cx="14408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Name: Jason Hedrick</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9"/>
          <w:szCs w:val="19"/>
          <w:i w:val="1"/>
          <w:iCs w:val="1"/>
          <w:color w:val="auto"/>
        </w:rPr>
        <w:t>Signature Page to Limited Guarantee</w:t>
      </w:r>
    </w:p>
    <w:p>
      <w:pPr>
        <w:sectPr>
          <w:pgSz w:w="11900" w:h="16838" w:orient="portrait"/>
          <w:cols w:equalWidth="0" w:num="1">
            <w:col w:w="10139"/>
          </w:cols>
          <w:pgMar w:left="320" w:top="1440"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21"/>
          <w:szCs w:val="21"/>
          <w:color w:val="auto"/>
        </w:rPr>
        <w:t>Accepted and Agreed to: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PARENT</w:t>
      </w:r>
      <w:r>
        <w:rPr>
          <w:rFonts w:ascii="Times New Roman" w:cs="Times New Roman" w:eastAsia="Times New Roman" w:hAnsi="Times New Roman"/>
          <w:sz w:val="21"/>
          <w:szCs w:val="21"/>
          <w:b w:val="1"/>
          <w:bCs w:val="1"/>
          <w:color w:val="auto"/>
        </w:rPr>
        <w: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AIRSCULPT TECHNOLOGIES, INC.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-11430</wp:posOffset>
            </wp:positionV>
            <wp:extent cx="13747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Name: Dennis Dean</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9"/>
          <w:szCs w:val="19"/>
          <w:i w:val="1"/>
          <w:iCs w:val="1"/>
          <w:color w:val="auto"/>
        </w:rPr>
        <w:t>Signature Page to Limited Guarantee</w:t>
      </w:r>
    </w:p>
    <w:p>
      <w:pPr>
        <w:sectPr>
          <w:pgSz w:w="11900" w:h="16838" w:orient="portrait"/>
          <w:cols w:equalWidth="0" w:num="1">
            <w:col w:w="10139"/>
          </w:cols>
          <w:pgMar w:left="320" w:top="1376" w:right="1440" w:bottom="1440" w:gutter="0" w:footer="0" w:header="0"/>
        </w:sectPr>
      </w:pPr>
    </w:p>
    <w:bookmarkStart w:id="282" w:name="page283"/>
    <w:bookmarkEnd w:id="282"/>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A</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40" w:type="dxa"/>
            <w:vAlign w:val="bottom"/>
            <w:tcBorders>
              <w:top w:val="single" w:sz="8" w:color="auto"/>
              <w:left w:val="single" w:sz="8" w:color="auto"/>
            </w:tcBorders>
          </w:tcPr>
          <w:p>
            <w:pPr>
              <w:spacing w:after="0"/>
              <w:rPr>
                <w:sz w:val="19"/>
                <w:szCs w:val="19"/>
                <w:color w:val="auto"/>
              </w:rPr>
            </w:pPr>
          </w:p>
        </w:tc>
        <w:tc>
          <w:tcPr>
            <w:tcW w:w="5600" w:type="dxa"/>
            <w:vAlign w:val="bottom"/>
            <w:tcBorders>
              <w:top w:val="single" w:sz="8" w:color="auto"/>
              <w:right w:val="single" w:sz="8" w:color="auto"/>
            </w:tcBorders>
            <w:gridSpan w:val="2"/>
          </w:tcPr>
          <w:p>
            <w:pPr>
              <w:spacing w:after="0" w:line="222" w:lineRule="exact"/>
              <w:rPr>
                <w:sz w:val="20"/>
                <w:szCs w:val="20"/>
                <w:color w:val="auto"/>
              </w:rPr>
            </w:pPr>
            <w:r>
              <w:rPr>
                <w:rFonts w:ascii="Times New Roman" w:cs="Times New Roman" w:eastAsia="Times New Roman" w:hAnsi="Times New Roman"/>
                <w:sz w:val="21"/>
                <w:szCs w:val="21"/>
                <w:b w:val="1"/>
                <w:bCs w:val="1"/>
                <w:color w:val="auto"/>
              </w:rPr>
              <w:t>Guarantor</w:t>
            </w:r>
          </w:p>
        </w:tc>
        <w:tc>
          <w:tcPr>
            <w:tcW w:w="5620" w:type="dxa"/>
            <w:vAlign w:val="bottom"/>
            <w:tcBorders>
              <w:top w:val="single" w:sz="8" w:color="auto"/>
              <w:right w:val="single" w:sz="8" w:color="auto"/>
            </w:tcBorders>
            <w:gridSpan w:val="3"/>
          </w:tcPr>
          <w:p>
            <w:pPr>
              <w:ind w:left="1880"/>
              <w:spacing w:after="0" w:line="222" w:lineRule="exact"/>
              <w:rPr>
                <w:sz w:val="20"/>
                <w:szCs w:val="20"/>
                <w:color w:val="auto"/>
              </w:rPr>
            </w:pPr>
            <w:r>
              <w:rPr>
                <w:rFonts w:ascii="Times New Roman" w:cs="Times New Roman" w:eastAsia="Times New Roman" w:hAnsi="Times New Roman"/>
                <w:sz w:val="21"/>
                <w:szCs w:val="21"/>
                <w:b w:val="1"/>
                <w:bCs w:val="1"/>
                <w:color w:val="auto"/>
              </w:rPr>
              <w:t>Pro Rata Percentage</w:t>
            </w:r>
          </w:p>
        </w:tc>
      </w:tr>
      <w:tr>
        <w:trPr>
          <w:trHeight w:val="32"/>
        </w:trPr>
        <w:tc>
          <w:tcPr>
            <w:tcW w:w="40" w:type="dxa"/>
            <w:vAlign w:val="bottom"/>
            <w:tcBorders>
              <w:left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560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21"/>
                <w:szCs w:val="21"/>
                <w:color w:val="auto"/>
              </w:rPr>
              <w:t>VESEY  STREET  CAPITAL  PARTNERS  HEALTHCARE</w:t>
            </w:r>
          </w:p>
        </w:tc>
        <w:tc>
          <w:tcPr>
            <w:tcW w:w="3720" w:type="dxa"/>
            <w:vAlign w:val="bottom"/>
            <w:gridSpan w:val="2"/>
          </w:tcPr>
          <w:p>
            <w:pPr>
              <w:jc w:val="center"/>
              <w:ind w:left="1756"/>
              <w:spacing w:after="0" w:line="189" w:lineRule="exact"/>
              <w:rPr>
                <w:sz w:val="20"/>
                <w:szCs w:val="20"/>
                <w:color w:val="auto"/>
              </w:rPr>
            </w:pPr>
            <w:r>
              <w:rPr>
                <w:rFonts w:ascii="Times New Roman" w:cs="Times New Roman" w:eastAsia="Times New Roman" w:hAnsi="Times New Roman"/>
                <w:sz w:val="21"/>
                <w:szCs w:val="21"/>
                <w:color w:val="auto"/>
                <w:w w:val="99"/>
              </w:rPr>
              <w:t>36.273373%</w:t>
            </w:r>
          </w:p>
        </w:tc>
        <w:tc>
          <w:tcPr>
            <w:tcW w:w="1900" w:type="dxa"/>
            <w:vAlign w:val="bottom"/>
            <w:tcBorders>
              <w:right w:val="single" w:sz="8" w:color="auto"/>
            </w:tcBorders>
          </w:tcPr>
          <w:p>
            <w:pPr>
              <w:spacing w:after="0"/>
              <w:rPr>
                <w:sz w:val="16"/>
                <w:szCs w:val="16"/>
                <w:color w:val="auto"/>
              </w:rPr>
            </w:pPr>
          </w:p>
        </w:tc>
      </w:tr>
      <w:tr>
        <w:trPr>
          <w:trHeight w:val="273"/>
        </w:trPr>
        <w:tc>
          <w:tcPr>
            <w:tcW w:w="40" w:type="dxa"/>
            <w:vAlign w:val="bottom"/>
            <w:tcBorders>
              <w:left w:val="single" w:sz="8" w:color="auto"/>
              <w:bottom w:val="single" w:sz="8" w:color="auto"/>
            </w:tcBorders>
          </w:tcPr>
          <w:p>
            <w:pPr>
              <w:spacing w:after="0"/>
              <w:rPr>
                <w:sz w:val="23"/>
                <w:szCs w:val="23"/>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FUND, L.P.</w:t>
            </w:r>
          </w:p>
        </w:tc>
        <w:tc>
          <w:tcPr>
            <w:tcW w:w="18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5600" w:type="dxa"/>
            <w:vAlign w:val="bottom"/>
            <w:tcBorders>
              <w:right w:val="single" w:sz="8" w:color="auto"/>
            </w:tcBorders>
            <w:gridSpan w:val="2"/>
          </w:tcPr>
          <w:p>
            <w:pPr>
              <w:spacing w:after="0" w:line="190" w:lineRule="exact"/>
              <w:rPr>
                <w:sz w:val="20"/>
                <w:szCs w:val="20"/>
                <w:color w:val="auto"/>
              </w:rPr>
            </w:pPr>
            <w:r>
              <w:rPr>
                <w:rFonts w:ascii="Times New Roman" w:cs="Times New Roman" w:eastAsia="Times New Roman" w:hAnsi="Times New Roman"/>
                <w:sz w:val="21"/>
                <w:szCs w:val="21"/>
                <w:color w:val="auto"/>
              </w:rPr>
              <w:t>VESEY  STREET  CAPITAL  PARTNERS  HEALTHCARE</w:t>
            </w:r>
          </w:p>
        </w:tc>
        <w:tc>
          <w:tcPr>
            <w:tcW w:w="3720" w:type="dxa"/>
            <w:vAlign w:val="bottom"/>
            <w:gridSpan w:val="2"/>
          </w:tcPr>
          <w:p>
            <w:pPr>
              <w:jc w:val="center"/>
              <w:ind w:left="1756"/>
              <w:spacing w:after="0" w:line="190" w:lineRule="exact"/>
              <w:rPr>
                <w:sz w:val="20"/>
                <w:szCs w:val="20"/>
                <w:color w:val="auto"/>
              </w:rPr>
            </w:pPr>
            <w:r>
              <w:rPr>
                <w:rFonts w:ascii="Times New Roman" w:cs="Times New Roman" w:eastAsia="Times New Roman" w:hAnsi="Times New Roman"/>
                <w:sz w:val="21"/>
                <w:szCs w:val="21"/>
                <w:color w:val="auto"/>
                <w:w w:val="99"/>
              </w:rPr>
              <w:t>63.726627%</w:t>
            </w:r>
          </w:p>
        </w:tc>
        <w:tc>
          <w:tcPr>
            <w:tcW w:w="1900" w:type="dxa"/>
            <w:vAlign w:val="bottom"/>
            <w:tcBorders>
              <w:right w:val="single" w:sz="8" w:color="auto"/>
            </w:tcBorders>
          </w:tcPr>
          <w:p>
            <w:pPr>
              <w:spacing w:after="0"/>
              <w:rPr>
                <w:sz w:val="16"/>
                <w:szCs w:val="16"/>
                <w:color w:val="auto"/>
              </w:rPr>
            </w:pPr>
          </w:p>
        </w:tc>
      </w:tr>
      <w:tr>
        <w:trPr>
          <w:trHeight w:val="273"/>
        </w:trPr>
        <w:tc>
          <w:tcPr>
            <w:tcW w:w="40" w:type="dxa"/>
            <w:vAlign w:val="bottom"/>
            <w:tcBorders>
              <w:left w:val="single" w:sz="8" w:color="auto"/>
              <w:bottom w:val="single" w:sz="8" w:color="auto"/>
            </w:tcBorders>
          </w:tcPr>
          <w:p>
            <w:pPr>
              <w:spacing w:after="0"/>
              <w:rPr>
                <w:sz w:val="23"/>
                <w:szCs w:val="23"/>
                <w:color w:val="auto"/>
              </w:rPr>
            </w:pPr>
          </w:p>
        </w:tc>
        <w:tc>
          <w:tcPr>
            <w:tcW w:w="56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FUND-A, L.P.</w:t>
            </w:r>
          </w:p>
        </w:tc>
        <w:tc>
          <w:tcPr>
            <w:tcW w:w="18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254"/>
        </w:trPr>
        <w:tc>
          <w:tcPr>
            <w:tcW w:w="40" w:type="dxa"/>
            <w:vAlign w:val="bottom"/>
            <w:tcBorders>
              <w:left w:val="single" w:sz="8" w:color="auto"/>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640" w:type="dxa"/>
            <w:vAlign w:val="bottom"/>
            <w:tcBorders>
              <w:bottom w:val="single" w:sz="8" w:color="auto"/>
              <w:right w:val="single" w:sz="8" w:color="auto"/>
            </w:tcBorders>
          </w:tcPr>
          <w:p>
            <w:pPr>
              <w:ind w:left="3840"/>
              <w:spacing w:after="0"/>
              <w:rPr>
                <w:sz w:val="20"/>
                <w:szCs w:val="20"/>
                <w:color w:val="auto"/>
              </w:rPr>
            </w:pPr>
            <w:r>
              <w:rPr>
                <w:rFonts w:ascii="Times New Roman" w:cs="Times New Roman" w:eastAsia="Times New Roman" w:hAnsi="Times New Roman"/>
                <w:sz w:val="21"/>
                <w:szCs w:val="21"/>
                <w:color w:val="auto"/>
              </w:rPr>
              <w:t>TOTAL:</w:t>
            </w:r>
          </w:p>
        </w:tc>
        <w:tc>
          <w:tcPr>
            <w:tcW w:w="3720" w:type="dxa"/>
            <w:vAlign w:val="bottom"/>
            <w:tcBorders>
              <w:bottom w:val="single" w:sz="8" w:color="auto"/>
            </w:tcBorders>
            <w:gridSpan w:val="2"/>
          </w:tcPr>
          <w:p>
            <w:pPr>
              <w:jc w:val="center"/>
              <w:ind w:left="1776"/>
              <w:spacing w:after="0"/>
              <w:rPr>
                <w:sz w:val="20"/>
                <w:szCs w:val="20"/>
                <w:color w:val="auto"/>
              </w:rPr>
            </w:pPr>
            <w:r>
              <w:rPr>
                <w:rFonts w:ascii="Times New Roman" w:cs="Times New Roman" w:eastAsia="Times New Roman" w:hAnsi="Times New Roman"/>
                <w:sz w:val="21"/>
                <w:szCs w:val="21"/>
                <w:color w:val="auto"/>
                <w:w w:val="98"/>
              </w:rPr>
              <w:t>100.000000%</w:t>
            </w:r>
          </w:p>
        </w:tc>
        <w:tc>
          <w:tcPr>
            <w:tcW w:w="190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260"/>
          </w:cols>
          <w:pgMar w:left="320" w:top="1372" w:right="319" w:bottom="1440" w:gutter="0" w:footer="0" w:header="0"/>
        </w:sectPr>
      </w:pPr>
    </w:p>
    <w:bookmarkStart w:id="283" w:name="page284"/>
    <w:bookmarkEnd w:id="283"/>
    <w:p>
      <w:pPr>
        <w:jc w:val="center"/>
        <w:spacing w:after="0"/>
        <w:rPr>
          <w:sz w:val="20"/>
          <w:szCs w:val="20"/>
          <w:color w:val="auto"/>
        </w:rPr>
      </w:pPr>
      <w:r>
        <w:rPr>
          <w:rFonts w:ascii="Times New Roman" w:cs="Times New Roman" w:eastAsia="Times New Roman" w:hAnsi="Times New Roman"/>
          <w:sz w:val="21"/>
          <w:szCs w:val="21"/>
          <w:b w:val="1"/>
          <w:bCs w:val="1"/>
          <w:color w:val="auto"/>
        </w:rPr>
        <w:t>AIRSCULPT TECHNOLOGIES, INC.</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21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Policy Principles</w:t>
      </w:r>
    </w:p>
    <w:p>
      <w:pPr>
        <w:spacing w:after="0" w:line="214" w:lineRule="exact"/>
        <w:rPr>
          <w:sz w:val="20"/>
          <w:szCs w:val="20"/>
          <w:color w:val="auto"/>
        </w:rPr>
      </w:pPr>
    </w:p>
    <w:p>
      <w:pPr>
        <w:ind w:left="620" w:hanging="616"/>
        <w:spacing w:after="0" w:line="257" w:lineRule="auto"/>
        <w:tabs>
          <w:tab w:leader="none" w:pos="400"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Employees, directors, officers and designated contractors and consultants (each a “</w:t>
      </w:r>
      <w:r>
        <w:rPr>
          <w:rFonts w:ascii="Times New Roman" w:cs="Times New Roman" w:eastAsia="Times New Roman" w:hAnsi="Times New Roman"/>
          <w:sz w:val="21"/>
          <w:szCs w:val="21"/>
          <w:b w:val="1"/>
          <w:bCs w:val="1"/>
          <w:i w:val="1"/>
          <w:iCs w:val="1"/>
          <w:color w:val="auto"/>
        </w:rPr>
        <w:t>Covered Person</w:t>
      </w:r>
      <w:r>
        <w:rPr>
          <w:rFonts w:ascii="Times New Roman" w:cs="Times New Roman" w:eastAsia="Times New Roman" w:hAnsi="Times New Roman"/>
          <w:sz w:val="21"/>
          <w:szCs w:val="21"/>
          <w:color w:val="auto"/>
        </w:rPr>
        <w:t>,” and collectively, “</w:t>
      </w:r>
      <w:r>
        <w:rPr>
          <w:rFonts w:ascii="Times New Roman" w:cs="Times New Roman" w:eastAsia="Times New Roman" w:hAnsi="Times New Roman"/>
          <w:sz w:val="21"/>
          <w:szCs w:val="21"/>
          <w:b w:val="1"/>
          <w:bCs w:val="1"/>
          <w:i w:val="1"/>
          <w:iCs w:val="1"/>
          <w:color w:val="auto"/>
        </w:rPr>
        <w:t>Covered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Persons</w:t>
      </w:r>
      <w:r>
        <w:rPr>
          <w:rFonts w:ascii="Times New Roman" w:cs="Times New Roman" w:eastAsia="Times New Roman" w:hAnsi="Times New Roman"/>
          <w:sz w:val="21"/>
          <w:szCs w:val="21"/>
          <w:color w:val="auto"/>
        </w:rPr>
        <w:t>”) of AirSculpt Technologies, Inc. (“</w:t>
      </w:r>
      <w:r>
        <w:rPr>
          <w:rFonts w:ascii="Times New Roman" w:cs="Times New Roman" w:eastAsia="Times New Roman" w:hAnsi="Times New Roman"/>
          <w:sz w:val="21"/>
          <w:szCs w:val="21"/>
          <w:b w:val="1"/>
          <w:bCs w:val="1"/>
          <w:i w:val="1"/>
          <w:iCs w:val="1"/>
          <w:color w:val="auto"/>
        </w:rPr>
        <w:t>AirSculpt</w:t>
      </w:r>
      <w:r>
        <w:rPr>
          <w:rFonts w:ascii="Times New Roman" w:cs="Times New Roman" w:eastAsia="Times New Roman" w:hAnsi="Times New Roman"/>
          <w:sz w:val="21"/>
          <w:szCs w:val="21"/>
          <w:color w:val="auto"/>
        </w:rPr>
        <w:t>”)(or any other person or entity subject to this Insider Trading Policy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are responsible for understanding the obligations that come with having access to material nonpublic information and wanting to transact in securities issued by AirSculpt and/or other entities.</w:t>
      </w:r>
    </w:p>
    <w:p>
      <w:pPr>
        <w:spacing w:after="0" w:line="180" w:lineRule="exact"/>
        <w:rPr>
          <w:rFonts w:ascii="Times New Roman" w:cs="Times New Roman" w:eastAsia="Times New Roman" w:hAnsi="Times New Roman"/>
          <w:sz w:val="21"/>
          <w:szCs w:val="21"/>
          <w:b w:val="1"/>
          <w:bCs w:val="1"/>
          <w:color w:val="auto"/>
        </w:rPr>
      </w:pPr>
    </w:p>
    <w:p>
      <w:pPr>
        <w:ind w:left="620" w:hanging="616"/>
        <w:spacing w:after="0" w:line="253" w:lineRule="auto"/>
        <w:tabs>
          <w:tab w:leader="none" w:pos="436"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Covered Persons may not trade in AirSculpt’s securities if they are in possession of or otherwise aware of material nonpublic information regarding AirSculpt. In addition, Covered Persons may not engage in transactions in securities of another company with which AirSculpt conducts business, such as a customer, partner, or supplier, if they are in possession of or otherwise aware of material nonpublic information relating to such other company obtained in course of employment with, or services performed on behalf of, AirSculpt.</w:t>
      </w:r>
    </w:p>
    <w:p>
      <w:pPr>
        <w:spacing w:after="0" w:line="172" w:lineRule="exact"/>
        <w:rPr>
          <w:rFonts w:ascii="Times New Roman" w:cs="Times New Roman" w:eastAsia="Times New Roman" w:hAnsi="Times New Roman"/>
          <w:sz w:val="21"/>
          <w:szCs w:val="21"/>
          <w:b w:val="1"/>
          <w:bCs w:val="1"/>
          <w:color w:val="auto"/>
        </w:rPr>
      </w:pPr>
    </w:p>
    <w:p>
      <w:pPr>
        <w:ind w:left="620" w:hanging="616"/>
        <w:spacing w:after="0" w:line="288" w:lineRule="auto"/>
        <w:tabs>
          <w:tab w:leader="none" w:pos="362"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Covered Persons may not directly or indirectly disclose material nonpublic information outside of AirSculpt, unless the disclosure is made in accordance with a specific AirSculpt policy that authorizes such disclosure.</w:t>
      </w:r>
    </w:p>
    <w:p>
      <w:pPr>
        <w:spacing w:after="0" w:line="136" w:lineRule="exact"/>
        <w:rPr>
          <w:rFonts w:ascii="Times New Roman" w:cs="Times New Roman" w:eastAsia="Times New Roman" w:hAnsi="Times New Roman"/>
          <w:sz w:val="21"/>
          <w:szCs w:val="21"/>
          <w:b w:val="1"/>
          <w:bCs w:val="1"/>
          <w:color w:val="auto"/>
        </w:rPr>
      </w:pPr>
    </w:p>
    <w:p>
      <w:pPr>
        <w:ind w:left="620" w:hanging="616"/>
        <w:spacing w:after="0" w:line="275" w:lineRule="auto"/>
        <w:tabs>
          <w:tab w:leader="none" w:pos="359"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Covered Persons may not directly or indirectly disclose material nonpublic information to persons within AirSculpt whose jobs do not require them to have that information.</w:t>
      </w:r>
    </w:p>
    <w:p>
      <w:pPr>
        <w:spacing w:after="0" w:line="149" w:lineRule="exact"/>
        <w:rPr>
          <w:rFonts w:ascii="Times New Roman" w:cs="Times New Roman" w:eastAsia="Times New Roman" w:hAnsi="Times New Roman"/>
          <w:sz w:val="21"/>
          <w:szCs w:val="21"/>
          <w:b w:val="1"/>
          <w:bCs w:val="1"/>
          <w:color w:val="auto"/>
        </w:rPr>
      </w:pPr>
    </w:p>
    <w:p>
      <w:pPr>
        <w:ind w:left="360" w:hanging="356"/>
        <w:spacing w:after="0"/>
        <w:tabs>
          <w:tab w:leader="none" w:pos="360"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Covered Persons may not directly or indirectly recommend the purchase or sale of any AirSculpt securities.</w:t>
      </w:r>
    </w:p>
    <w:p>
      <w:pPr>
        <w:spacing w:after="0" w:line="214" w:lineRule="exact"/>
        <w:rPr>
          <w:rFonts w:ascii="Times New Roman" w:cs="Times New Roman" w:eastAsia="Times New Roman" w:hAnsi="Times New Roman"/>
          <w:sz w:val="21"/>
          <w:szCs w:val="21"/>
          <w:b w:val="1"/>
          <w:bCs w:val="1"/>
          <w:color w:val="auto"/>
        </w:rPr>
      </w:pPr>
    </w:p>
    <w:p>
      <w:pPr>
        <w:ind w:left="360" w:hanging="356"/>
        <w:spacing w:after="0"/>
        <w:tabs>
          <w:tab w:leader="none" w:pos="360"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Covered Persons may not directly or indirectly assist anyone engaged in the above activities.</w:t>
      </w:r>
    </w:p>
    <w:p>
      <w:pPr>
        <w:spacing w:after="0" w:line="227" w:lineRule="exact"/>
        <w:rPr>
          <w:rFonts w:ascii="Times New Roman" w:cs="Times New Roman" w:eastAsia="Times New Roman" w:hAnsi="Times New Roman"/>
          <w:sz w:val="21"/>
          <w:szCs w:val="21"/>
          <w:b w:val="1"/>
          <w:bCs w:val="1"/>
          <w:color w:val="auto"/>
        </w:rPr>
      </w:pPr>
    </w:p>
    <w:p>
      <w:pPr>
        <w:ind w:left="620" w:hanging="616"/>
        <w:spacing w:after="0" w:line="255" w:lineRule="auto"/>
        <w:tabs>
          <w:tab w:leader="none" w:pos="478"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AirSculpt itself must comply with U.S. securities laws applicable to its own securities trading activities and will not effect transactions in respect of its securities, or adopt any securities repurchase plans, when it is in possession of material nonpublic information concerning AirSculpt, other than in compliance with applicable law, subject to the policies and procedures adopted by AirSculpt.</w:t>
      </w:r>
    </w:p>
    <w:p>
      <w:pPr>
        <w:spacing w:after="0" w:line="171" w:lineRule="exact"/>
        <w:rPr>
          <w:rFonts w:ascii="Times New Roman" w:cs="Times New Roman" w:eastAsia="Times New Roman" w:hAnsi="Times New Roman"/>
          <w:sz w:val="21"/>
          <w:szCs w:val="21"/>
          <w:b w:val="1"/>
          <w:bCs w:val="1"/>
          <w:color w:val="auto"/>
        </w:rPr>
      </w:pPr>
    </w:p>
    <w:p>
      <w:pPr>
        <w:ind w:left="620" w:hanging="616"/>
        <w:spacing w:after="0" w:line="288" w:lineRule="auto"/>
        <w:tabs>
          <w:tab w:leader="none" w:pos="495" w:val="left"/>
        </w:tabs>
        <w:numPr>
          <w:ilvl w:val="0"/>
          <w:numId w:val="3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Changes to this Policy require approval by AirSculpt’s Board of Directors or a duly appointed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372" w:right="339" w:bottom="1440" w:gutter="0" w:footer="0" w:header="0"/>
        </w:sectPr>
      </w:pPr>
    </w:p>
    <w:bookmarkStart w:id="284" w:name="page285"/>
    <w:bookmarkEnd w:id="284"/>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Policy Q&amp;A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Policy Scope and Purpose</w:t>
      </w:r>
    </w:p>
    <w:p>
      <w:pPr>
        <w:spacing w:after="0" w:line="21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Why have an insider trading policy?</w:t>
      </w:r>
    </w:p>
    <w:p>
      <w:pPr>
        <w:spacing w:after="0" w:line="231" w:lineRule="exact"/>
        <w:rPr>
          <w:sz w:val="20"/>
          <w:szCs w:val="20"/>
          <w:color w:val="auto"/>
        </w:rPr>
      </w:pPr>
    </w:p>
    <w:p>
      <w:pPr>
        <w:ind w:left="620" w:hanging="616"/>
        <w:spacing w:after="0" w:line="253" w:lineRule="auto"/>
        <w:tabs>
          <w:tab w:leader="none" w:pos="480"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course of your relationship with AirSculpt, you may receive material information that is not yet publicly available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about AirSculpt or other companies. Material nonpublic information may give you, or someone to whom you pass that information, an advantage over others when deciding whether to buy, sell, or otherwise transact in AirSculpt’s securities or the securities of another company. This Policy sets forth guidelines with respect to transactions in AirSculpt securities, or the securities issued by other companies by persons subject to this Policy.</w:t>
      </w:r>
    </w:p>
    <w:p>
      <w:pPr>
        <w:spacing w:after="0" w:line="18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Who is subject to this Policy?</w:t>
      </w:r>
    </w:p>
    <w:p>
      <w:pPr>
        <w:spacing w:after="0" w:line="218" w:lineRule="exact"/>
        <w:rPr>
          <w:sz w:val="20"/>
          <w:szCs w:val="20"/>
          <w:color w:val="auto"/>
        </w:rPr>
      </w:pPr>
    </w:p>
    <w:p>
      <w:pPr>
        <w:ind w:left="620" w:hanging="616"/>
        <w:spacing w:after="0" w:line="253" w:lineRule="auto"/>
        <w:tabs>
          <w:tab w:leader="none" w:pos="460"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Policy applies to you and all other Covered Persons. This Policy also applies to members of your family who reside with you, any other persons with whom you share a household, any family members who do not live in your household but whose transactions in AirSculpt’s securities are directed by you or subject to your influence or control, persons who are your economic dependents, and, unless otherwise determined by AirSculpt, any other individuals or entities whose transactions in securities you influence, direct, or control (including, e.g., a venture or other investment fund, if you influence, direct, or control transactions by the fund) (collectively, “</w:t>
      </w:r>
      <w:r>
        <w:rPr>
          <w:rFonts w:ascii="Times New Roman" w:cs="Times New Roman" w:eastAsia="Times New Roman" w:hAnsi="Times New Roman"/>
          <w:sz w:val="21"/>
          <w:szCs w:val="21"/>
          <w:b w:val="1"/>
          <w:bCs w:val="1"/>
          <w:i w:val="1"/>
          <w:iCs w:val="1"/>
          <w:color w:val="auto"/>
        </w:rPr>
        <w:t>Related Persons</w:t>
      </w:r>
      <w:r>
        <w:rPr>
          <w:rFonts w:ascii="Times New Roman" w:cs="Times New Roman" w:eastAsia="Times New Roman" w:hAnsi="Times New Roman"/>
          <w:sz w:val="21"/>
          <w:szCs w:val="21"/>
          <w:color w:val="auto"/>
        </w:rPr>
        <w:t>”). You are responsible for making sure that your Related Persons comply with this Policy.</w:t>
      </w:r>
    </w:p>
    <w:p>
      <w:pPr>
        <w:spacing w:after="0" w:line="172" w:lineRule="exact"/>
        <w:rPr>
          <w:sz w:val="20"/>
          <w:szCs w:val="20"/>
          <w:color w:val="auto"/>
        </w:rPr>
      </w:pPr>
    </w:p>
    <w:p>
      <w:pPr>
        <w:jc w:val="both"/>
        <w:ind w:left="620"/>
        <w:spacing w:after="0" w:line="260" w:lineRule="auto"/>
        <w:rPr>
          <w:sz w:val="20"/>
          <w:szCs w:val="20"/>
          <w:color w:val="auto"/>
        </w:rPr>
      </w:pPr>
      <w:r>
        <w:rPr>
          <w:rFonts w:ascii="Times New Roman" w:cs="Times New Roman" w:eastAsia="Times New Roman" w:hAnsi="Times New Roman"/>
          <w:sz w:val="21"/>
          <w:szCs w:val="21"/>
          <w:color w:val="auto"/>
        </w:rPr>
        <w:t>In addition, if you are an officer or director of AirSculpt, or a designated employee, contractor or consultant of AirSculpt (collectively, “</w:t>
      </w:r>
      <w:r>
        <w:rPr>
          <w:rFonts w:ascii="Times New Roman" w:cs="Times New Roman" w:eastAsia="Times New Roman" w:hAnsi="Times New Roman"/>
          <w:sz w:val="21"/>
          <w:szCs w:val="21"/>
          <w:b w:val="1"/>
          <w:bCs w:val="1"/>
          <w:i w:val="1"/>
          <w:iCs w:val="1"/>
          <w:color w:val="auto"/>
        </w:rPr>
        <w:t>Specified Personnel</w:t>
      </w:r>
      <w:r>
        <w:rPr>
          <w:rFonts w:ascii="Times New Roman" w:cs="Times New Roman" w:eastAsia="Times New Roman" w:hAnsi="Times New Roman"/>
          <w:sz w:val="21"/>
          <w:szCs w:val="21"/>
          <w:color w:val="auto"/>
        </w:rPr>
        <w:t>”), you and your Related Persons are subject to the quarterly trading blackout periods and pre-clearance procedures described below.</w:t>
      </w:r>
    </w:p>
    <w:p>
      <w:pPr>
        <w:spacing w:after="0" w:line="179" w:lineRule="exact"/>
        <w:rPr>
          <w:sz w:val="20"/>
          <w:szCs w:val="20"/>
          <w:color w:val="auto"/>
        </w:rPr>
      </w:pPr>
    </w:p>
    <w:p>
      <w:pPr>
        <w:jc w:val="both"/>
        <w:ind w:left="620"/>
        <w:spacing w:after="0" w:line="275" w:lineRule="auto"/>
        <w:rPr>
          <w:sz w:val="20"/>
          <w:szCs w:val="20"/>
          <w:color w:val="auto"/>
        </w:rPr>
      </w:pPr>
      <w:r>
        <w:rPr>
          <w:rFonts w:ascii="Times New Roman" w:cs="Times New Roman" w:eastAsia="Times New Roman" w:hAnsi="Times New Roman"/>
          <w:sz w:val="21"/>
          <w:szCs w:val="21"/>
          <w:color w:val="auto"/>
        </w:rPr>
        <w:t>This Policy applies also to AirSculpt with respect to transactions in its own securities (particularly repurchases), including persons with oversight responsibility over those AirSculpt transactions.</w:t>
      </w:r>
    </w:p>
    <w:p>
      <w:pPr>
        <w:spacing w:after="0" w:line="14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Whose responsibility is it to comply with this Policy?</w:t>
      </w:r>
    </w:p>
    <w:p>
      <w:pPr>
        <w:spacing w:after="0" w:line="218" w:lineRule="exact"/>
        <w:rPr>
          <w:sz w:val="20"/>
          <w:szCs w:val="20"/>
          <w:color w:val="auto"/>
        </w:rPr>
      </w:pPr>
    </w:p>
    <w:p>
      <w:pPr>
        <w:ind w:left="620" w:hanging="616"/>
        <w:spacing w:after="0" w:line="256" w:lineRule="auto"/>
        <w:tabs>
          <w:tab w:leader="none" w:pos="474"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Persons subject to this Policy have ethical and legal obligations to maintain the confidentiality of information about AirSculpt and to not engage in transactions in AirSculpt’s securities while in possession of or otherwise aware of material nonpublic information relating to AirSculpt. Each individual is responsible for making sure that he or she and his or her Related Persons comply with this Policy. In all cases, the responsibility for determining whether an individual is in possession of or otherwise aware of material nonpublic information rests with that individual, and any action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285" w:name="page286"/>
    <w:bookmarkEnd w:id="285"/>
    <w:p>
      <w:pPr>
        <w:jc w:val="both"/>
        <w:ind w:left="620"/>
        <w:spacing w:after="0" w:line="260" w:lineRule="auto"/>
        <w:rPr>
          <w:sz w:val="20"/>
          <w:szCs w:val="20"/>
          <w:color w:val="auto"/>
        </w:rPr>
      </w:pPr>
      <w:r>
        <w:rPr>
          <w:rFonts w:ascii="Times New Roman" w:cs="Times New Roman" w:eastAsia="Times New Roman" w:hAnsi="Times New Roman"/>
          <w:sz w:val="21"/>
          <w:szCs w:val="21"/>
          <w:color w:val="auto"/>
        </w:rPr>
        <w:t>part of AirSculpt or any Covered Persons pursuant to this Policy (or otherwise) does not in any way constitute legal advice or insulate an individual from liability under applicable securities laws. You could be subject to severe legal penalties and disciplinary action by AirSculpt for any conduct prohibited by this Policy or applicable securities laws.</w:t>
      </w:r>
    </w:p>
    <w:p>
      <w:pPr>
        <w:spacing w:after="0" w:line="17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transactions are subject to this Policy?</w:t>
      </w:r>
    </w:p>
    <w:p>
      <w:pPr>
        <w:spacing w:after="0" w:line="218" w:lineRule="exact"/>
        <w:rPr>
          <w:sz w:val="20"/>
          <w:szCs w:val="20"/>
          <w:color w:val="auto"/>
        </w:rPr>
      </w:pPr>
    </w:p>
    <w:p>
      <w:pPr>
        <w:jc w:val="both"/>
        <w:ind w:left="620" w:hanging="616"/>
        <w:spacing w:after="0" w:line="254" w:lineRule="auto"/>
        <w:tabs>
          <w:tab w:leader="none" w:pos="559" w:val="left"/>
        </w:tabs>
        <w:numPr>
          <w:ilvl w:val="0"/>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Policy applies to all transactions in “securities” whether issued by AirSculpt or another entity, as well as derivative securities such as exchange-traded put or call options or swaps. Accordingly, for purposes of this policy, the terms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transactions</w:t>
      </w:r>
      <w:r>
        <w:rPr>
          <w:rFonts w:ascii="Times New Roman" w:cs="Times New Roman" w:eastAsia="Times New Roman" w:hAnsi="Times New Roman"/>
          <w:sz w:val="21"/>
          <w:szCs w:val="21"/>
          <w:color w:val="auto"/>
        </w:rPr>
        <w:t>” include not only purchases and sales of AirSculpt’s common stock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Insider Trading and Material Nonpublic Information</w:t>
      </w:r>
    </w:p>
    <w:p>
      <w:pPr>
        <w:spacing w:after="0" w:line="21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is insider trading?</w:t>
      </w:r>
    </w:p>
    <w:p>
      <w:pPr>
        <w:spacing w:after="0" w:line="218" w:lineRule="exact"/>
        <w:rPr>
          <w:sz w:val="20"/>
          <w:szCs w:val="20"/>
          <w:color w:val="auto"/>
        </w:rPr>
      </w:pPr>
    </w:p>
    <w:p>
      <w:pPr>
        <w:jc w:val="both"/>
        <w:ind w:left="620" w:hanging="616"/>
        <w:spacing w:after="0" w:line="253" w:lineRule="auto"/>
        <w:tabs>
          <w:tab w:leader="none" w:pos="554"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during the course of your relationship with AirSculpt, you become aware of material nonpublic information about AirSculpt or another company and you trade in AirSculpt’s or such other company’s securities, you may have broken the law and violated this Policy.</w:t>
      </w:r>
    </w:p>
    <w:p>
      <w:pPr>
        <w:spacing w:after="0" w:line="18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is material information?</w:t>
      </w:r>
    </w:p>
    <w:p>
      <w:pPr>
        <w:spacing w:after="0" w:line="218" w:lineRule="exact"/>
        <w:rPr>
          <w:sz w:val="20"/>
          <w:szCs w:val="20"/>
          <w:color w:val="auto"/>
        </w:rPr>
      </w:pPr>
    </w:p>
    <w:p>
      <w:pPr>
        <w:ind w:left="620" w:hanging="616"/>
        <w:spacing w:after="0" w:line="253" w:lineRule="auto"/>
        <w:tabs>
          <w:tab w:leader="none" w:pos="440" w:val="left"/>
        </w:tabs>
        <w:numPr>
          <w:ilvl w:val="0"/>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 Furthermore, information could be material because of its expected effect on the price of AirSculpt’s outstanding securities, the securities of another company not related to AirSculpt or the securities of several such companies.</w:t>
      </w:r>
    </w:p>
    <w:p>
      <w:pPr>
        <w:spacing w:after="0" w:line="16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are examples of material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76" w:right="339" w:bottom="1440" w:gutter="0" w:footer="0" w:header="0"/>
        </w:sectPr>
      </w:pPr>
    </w:p>
    <w:bookmarkStart w:id="286" w:name="page287"/>
    <w:bookmarkEnd w:id="286"/>
    <w:p>
      <w:pPr>
        <w:ind w:left="620" w:hanging="616"/>
        <w:spacing w:after="0" w:line="260" w:lineRule="auto"/>
        <w:tabs>
          <w:tab w:leader="none" w:pos="490" w:val="left"/>
        </w:tabs>
        <w:numPr>
          <w:ilvl w:val="0"/>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information. There may be other types of information that would qualify as material information as well; use this list merely as a non-exhaustive guide:</w:t>
      </w:r>
    </w:p>
    <w:p>
      <w:pPr>
        <w:spacing w:after="0" w:line="164"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projections of future earnings or losses, or other earnings guidance;</w:t>
      </w:r>
    </w:p>
    <w:p>
      <w:pPr>
        <w:spacing w:after="0" w:line="29"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results or forecasts;</w:t>
      </w:r>
    </w:p>
    <w:p>
      <w:pPr>
        <w:spacing w:after="0" w:line="5"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acquisitions, dispositions or other strategic transactions;</w:t>
      </w:r>
    </w:p>
    <w:p>
      <w:pPr>
        <w:spacing w:after="0" w:line="5" w:lineRule="exact"/>
        <w:rPr>
          <w:rFonts w:ascii="Times New Roman" w:cs="Times New Roman" w:eastAsia="Times New Roman" w:hAnsi="Times New Roman"/>
          <w:sz w:val="21"/>
          <w:szCs w:val="21"/>
          <w:color w:val="auto"/>
        </w:rPr>
      </w:pPr>
    </w:p>
    <w:p>
      <w:pPr>
        <w:ind w:left="1260" w:hanging="318"/>
        <w:spacing w:after="0" w:line="252" w:lineRule="auto"/>
        <w:tabs>
          <w:tab w:leader="none" w:pos="1255"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events regarding AirSculpt’s (e.g., repurchase plans, stock splits, public or private equity or debt offerings, or changes in AirSculpt’s dividend policies or amounts);</w:t>
      </w: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related party transactions</w:t>
      </w:r>
    </w:p>
    <w:p>
      <w:pPr>
        <w:spacing w:after="0" w:line="5"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gain or loss of a license agreement or other contract with suppliers;</w:t>
      </w:r>
    </w:p>
    <w:p>
      <w:pPr>
        <w:spacing w:after="0" w:line="5"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or new corporate partner relationships or collaborations;</w:t>
      </w:r>
    </w:p>
    <w:p>
      <w:pPr>
        <w:spacing w:after="0" w:line="5"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major contracts or contract cancellations;</w:t>
      </w:r>
    </w:p>
    <w:p>
      <w:pPr>
        <w:spacing w:after="0" w:line="5"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pricing changes or discount policies;</w:t>
      </w:r>
    </w:p>
    <w:p>
      <w:pPr>
        <w:spacing w:after="0" w:line="6"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body contouring services or procedures;</w:t>
      </w:r>
    </w:p>
    <w:p>
      <w:pPr>
        <w:spacing w:after="0" w:line="18"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health and safety incidents with patients;</w:t>
      </w:r>
    </w:p>
    <w:p>
      <w:pPr>
        <w:spacing w:after="0" w:line="5"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top management or control changes;</w:t>
      </w:r>
    </w:p>
    <w:p>
      <w:pPr>
        <w:spacing w:after="0" w:line="5"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restatements or significant write-offs;</w:t>
      </w:r>
    </w:p>
    <w:p>
      <w:pPr>
        <w:spacing w:after="0" w:line="5"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layoffs;</w:t>
      </w:r>
    </w:p>
    <w:p>
      <w:pPr>
        <w:spacing w:after="0" w:line="6" w:lineRule="exact"/>
        <w:rPr>
          <w:rFonts w:ascii="Times New Roman" w:cs="Times New Roman" w:eastAsia="Times New Roman" w:hAnsi="Times New Roman"/>
          <w:sz w:val="21"/>
          <w:szCs w:val="21"/>
          <w:color w:val="auto"/>
        </w:rPr>
      </w:pPr>
    </w:p>
    <w:p>
      <w:pPr>
        <w:jc w:val="both"/>
        <w:ind w:left="1260" w:hanging="318"/>
        <w:spacing w:after="0" w:line="250" w:lineRule="auto"/>
        <w:tabs>
          <w:tab w:leader="none" w:pos="1255"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significant cybersecurity incident, such as a data breach, or any other significant disruption in AirSculpt’s operations or breach or unauthorized access of its property or assets, including its facilities or information technology infrastructure;</w:t>
      </w: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tender offers or proxy fights;</w:t>
      </w:r>
    </w:p>
    <w:p>
      <w:pPr>
        <w:spacing w:after="0" w:line="5" w:lineRule="exact"/>
        <w:rPr>
          <w:rFonts w:ascii="Times New Roman" w:cs="Times New Roman" w:eastAsia="Times New Roman" w:hAnsi="Times New Roman"/>
          <w:sz w:val="21"/>
          <w:szCs w:val="21"/>
          <w:color w:val="auto"/>
        </w:rPr>
      </w:pPr>
    </w:p>
    <w:p>
      <w:pPr>
        <w:ind w:left="1260" w:hanging="318"/>
        <w:spacing w:after="0" w:line="252" w:lineRule="auto"/>
        <w:tabs>
          <w:tab w:leader="none" w:pos="1255"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actual or threatened major litigation, U.S.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or other investigations, or a major development in or the resolution of any such litigation or investigation;</w:t>
      </w: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impending bankruptcy;</w:t>
      </w:r>
    </w:p>
    <w:p>
      <w:pPr>
        <w:spacing w:after="0" w:line="5" w:lineRule="exact"/>
        <w:rPr>
          <w:rFonts w:ascii="Times New Roman" w:cs="Times New Roman" w:eastAsia="Times New Roman" w:hAnsi="Times New Roman"/>
          <w:sz w:val="21"/>
          <w:szCs w:val="21"/>
          <w:color w:val="auto"/>
        </w:rPr>
      </w:pPr>
    </w:p>
    <w:p>
      <w:pPr>
        <w:ind w:left="1240" w:hanging="298"/>
        <w:spacing w:after="0"/>
        <w:tabs>
          <w:tab w:leader="none" w:pos="1240"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communications with government agencies; and</w:t>
      </w:r>
    </w:p>
    <w:p>
      <w:pPr>
        <w:spacing w:after="0" w:line="5" w:lineRule="exact"/>
        <w:rPr>
          <w:rFonts w:ascii="Times New Roman" w:cs="Times New Roman" w:eastAsia="Times New Roman" w:hAnsi="Times New Roman"/>
          <w:sz w:val="21"/>
          <w:szCs w:val="21"/>
          <w:color w:val="auto"/>
        </w:rPr>
      </w:pPr>
    </w:p>
    <w:p>
      <w:pPr>
        <w:ind w:left="1260" w:hanging="318"/>
        <w:spacing w:after="0" w:line="252" w:lineRule="auto"/>
        <w:tabs>
          <w:tab w:leader="none" w:pos="1255"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imposition of an event-specific restriction on trading in AirSculpt’s securities or the securities of another company or the extension or termination of such restriction.</w:t>
      </w:r>
    </w:p>
    <w:p>
      <w:pPr>
        <w:spacing w:after="0" w:line="16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When is information considered public?</w:t>
      </w:r>
    </w:p>
    <w:p>
      <w:pPr>
        <w:spacing w:after="0" w:line="231" w:lineRule="exact"/>
        <w:rPr>
          <w:sz w:val="20"/>
          <w:szCs w:val="20"/>
          <w:color w:val="auto"/>
        </w:rPr>
      </w:pPr>
    </w:p>
    <w:p>
      <w:pPr>
        <w:ind w:left="620" w:hanging="616"/>
        <w:spacing w:after="0" w:line="254" w:lineRule="auto"/>
        <w:tabs>
          <w:tab w:leader="none" w:pos="507" w:val="left"/>
        </w:tabs>
        <w:numPr>
          <w:ilvl w:val="0"/>
          <w:numId w:val="3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prohibition on trading when you have material nonpublic information lifts once that information becomes “public.” For information to be considered “public,” it must be widely disseminated through a press release, a filing with the SEC or other widely disseminated announcement and digested by the market so the investing public has sufficient time to absorb the information. Generally speaking, information will be considered publicly disseminated for purposes of this policy </w:t>
      </w:r>
      <w:r>
        <w:rPr>
          <w:rFonts w:ascii="Times New Roman" w:cs="Times New Roman" w:eastAsia="Times New Roman" w:hAnsi="Times New Roman"/>
          <w:sz w:val="21"/>
          <w:szCs w:val="21"/>
          <w:b w:val="1"/>
          <w:bCs w:val="1"/>
          <w:i w:val="1"/>
          <w:iCs w:val="1"/>
          <w:color w:val="auto"/>
        </w:rPr>
        <w:t>only after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two (2) full trading days have elapsed since the information was publicly disclosed</w:t>
      </w:r>
      <w:r>
        <w:rPr>
          <w:rFonts w:ascii="Times New Roman" w:cs="Times New Roman" w:eastAsia="Times New Roman" w:hAnsi="Times New Roman"/>
          <w:sz w:val="21"/>
          <w:szCs w:val="21"/>
          <w:color w:val="auto"/>
        </w:rPr>
        <w:t>. For example, if we announce material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nonpublic information before trading begins on Wednesday,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76" w:right="339" w:bottom="1440" w:gutter="0" w:footer="0" w:header="0"/>
        </w:sectPr>
      </w:pPr>
    </w:p>
    <w:bookmarkStart w:id="287" w:name="page288"/>
    <w:bookmarkEnd w:id="287"/>
    <w:p>
      <w:pPr>
        <w:jc w:val="both"/>
        <w:ind w:left="620"/>
        <w:spacing w:after="0" w:line="256" w:lineRule="auto"/>
        <w:rPr>
          <w:sz w:val="20"/>
          <w:szCs w:val="20"/>
          <w:color w:val="auto"/>
        </w:rPr>
      </w:pPr>
      <w:r>
        <w:rPr>
          <w:rFonts w:ascii="Times New Roman" w:cs="Times New Roman" w:eastAsia="Times New Roman" w:hAnsi="Times New Roman"/>
          <w:sz w:val="21"/>
          <w:szCs w:val="21"/>
          <w:color w:val="auto"/>
        </w:rPr>
        <w:t>the information would be considered publicly disseminated by the time trading begins on Friday. If we announce material nonpublic information after trading ends on Wednesday, then information would be considered publicly disseminated by the time trading ends on Friday. Depending on the particular circumstances, AirSculpt may determine that a longer or shorter waiting period should apply to the release of specific material nonpublic information. Any disclosure of nonpublic information, material or otherwise, must be done in accordance with AirSculpt’s Corporate Disclosure Policy.</w:t>
      </w:r>
    </w:p>
    <w:p>
      <w:pPr>
        <w:spacing w:after="0" w:line="167" w:lineRule="exact"/>
        <w:rPr>
          <w:sz w:val="20"/>
          <w:szCs w:val="20"/>
          <w:color w:val="auto"/>
        </w:rPr>
      </w:pPr>
    </w:p>
    <w:p>
      <w:pPr>
        <w:jc w:val="both"/>
        <w:ind w:left="620" w:hanging="303"/>
        <w:spacing w:after="0" w:line="261" w:lineRule="auto"/>
        <w:rPr>
          <w:sz w:val="20"/>
          <w:szCs w:val="20"/>
          <w:color w:val="auto"/>
        </w:rPr>
      </w:pPr>
      <w:r>
        <w:rPr>
          <w:rFonts w:ascii="Times New Roman" w:cs="Times New Roman" w:eastAsia="Times New Roman" w:hAnsi="Times New Roman"/>
          <w:sz w:val="21"/>
          <w:szCs w:val="21"/>
          <w:color w:val="auto"/>
        </w:rPr>
        <w:t xml:space="preserve">In addition, </w:t>
      </w:r>
      <w:r>
        <w:rPr>
          <w:rFonts w:ascii="Times New Roman" w:cs="Times New Roman" w:eastAsia="Times New Roman" w:hAnsi="Times New Roman"/>
          <w:sz w:val="21"/>
          <w:szCs w:val="21"/>
          <w:b w:val="1"/>
          <w:bCs w:val="1"/>
          <w:color w:val="auto"/>
        </w:rPr>
        <w:t>as discussed further below, Specified Personnel and their Related Persons may not trade common stock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AirSculpt during any trading “blackout” period even if they are not aware of any material nonpublic information</w:t>
      </w:r>
      <w:r>
        <w:rPr>
          <w:rFonts w:ascii="Times New Roman" w:cs="Times New Roman" w:eastAsia="Times New Roman" w:hAnsi="Times New Roman"/>
          <w:sz w:val="21"/>
          <w:szCs w:val="21"/>
          <w:color w:val="auto"/>
        </w:rPr>
        <w:t>.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Policy describes the quarterly trading blackout period, and additional event-driven trading blackout periods (which may apply to you even if the quarterly trading blackout periods do not) may be announced by email.</w:t>
      </w:r>
    </w:p>
    <w:p>
      <w:pPr>
        <w:spacing w:after="0" w:line="16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Who can be guilty of insider trading?</w:t>
      </w:r>
    </w:p>
    <w:p>
      <w:pPr>
        <w:spacing w:after="0" w:line="218" w:lineRule="exact"/>
        <w:rPr>
          <w:sz w:val="20"/>
          <w:szCs w:val="20"/>
          <w:color w:val="auto"/>
        </w:rPr>
      </w:pPr>
    </w:p>
    <w:p>
      <w:pPr>
        <w:ind w:left="620" w:hanging="616"/>
        <w:spacing w:after="0" w:line="256" w:lineRule="auto"/>
        <w:tabs>
          <w:tab w:leader="none" w:pos="459" w:val="left"/>
        </w:tabs>
        <w:numPr>
          <w:ilvl w:val="0"/>
          <w:numId w:val="3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Anyone who buys or sells a security while in possession of or otherwise aware of material nonpublic information, or provides material nonpublic information that someone else uses to buy or sell a security, may be guilty of insider trading. This applies to all individuals, including officers, directors, and others who don’t even work at AirSculpt. Regardless of who you are, if you know something material about the value of a security that not everyone knows and you trade (or convince someone else to trade) in that security, you may be found guilty of insider trading.</w:t>
      </w:r>
    </w:p>
    <w:p>
      <w:pPr>
        <w:spacing w:after="0" w:line="167" w:lineRule="exact"/>
        <w:rPr>
          <w:sz w:val="20"/>
          <w:szCs w:val="20"/>
          <w:color w:val="auto"/>
        </w:rPr>
      </w:pPr>
    </w:p>
    <w:p>
      <w:pPr>
        <w:ind w:left="620" w:hanging="616"/>
        <w:spacing w:after="0" w:line="279" w:lineRule="auto"/>
        <w:tabs>
          <w:tab w:leader="none" w:pos="462" w:val="left"/>
        </w:tabs>
        <w:numPr>
          <w:ilvl w:val="0"/>
          <w:numId w:val="3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What if I am aware of material nonpublic information when I trade, but the reason I trade is because of something else, like to pay medical bills?</w:t>
      </w:r>
    </w:p>
    <w:p>
      <w:pPr>
        <w:spacing w:after="0" w:line="146" w:lineRule="exact"/>
        <w:rPr>
          <w:sz w:val="20"/>
          <w:szCs w:val="20"/>
          <w:color w:val="auto"/>
        </w:rPr>
      </w:pPr>
    </w:p>
    <w:p>
      <w:pPr>
        <w:ind w:left="620" w:hanging="616"/>
        <w:spacing w:after="0" w:line="256" w:lineRule="auto"/>
        <w:tabs>
          <w:tab w:leader="none" w:pos="422" w:val="left"/>
        </w:tabs>
        <w:numPr>
          <w:ilvl w:val="0"/>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AirSculpt, or any other entity whose equity securities you are trading, at the time of the transaction.</w:t>
      </w:r>
    </w:p>
    <w:p>
      <w:pPr>
        <w:spacing w:after="0" w:line="167" w:lineRule="exact"/>
        <w:rPr>
          <w:sz w:val="20"/>
          <w:szCs w:val="20"/>
          <w:color w:val="auto"/>
        </w:rPr>
      </w:pPr>
    </w:p>
    <w:p>
      <w:pPr>
        <w:ind w:left="620" w:hanging="616"/>
        <w:spacing w:after="0" w:line="279" w:lineRule="auto"/>
        <w:tabs>
          <w:tab w:leader="none" w:pos="549" w:val="left"/>
        </w:tabs>
        <w:numPr>
          <w:ilvl w:val="0"/>
          <w:numId w:val="3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Do the U.S. securities laws take into account mitigating circumstance, like avoiding a loss or planning a transaction before I had material nonpublic information?</w:t>
      </w:r>
    </w:p>
    <w:p>
      <w:pPr>
        <w:spacing w:after="0" w:line="159" w:lineRule="exact"/>
        <w:rPr>
          <w:sz w:val="20"/>
          <w:szCs w:val="20"/>
          <w:color w:val="auto"/>
        </w:rPr>
      </w:pPr>
    </w:p>
    <w:p>
      <w:pPr>
        <w:ind w:left="620" w:hanging="616"/>
        <w:spacing w:after="0" w:line="253" w:lineRule="auto"/>
        <w:tabs>
          <w:tab w:leader="none" w:pos="516" w:val="left"/>
        </w:tabs>
        <w:numPr>
          <w:ilvl w:val="0"/>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The U.S. federal securities laws do not recognize any mitigating circumstances to insider trading. In addition, even the appearance of an improper transaction must be avoided to preserve AirSculpt’s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76" w:right="339" w:bottom="1440" w:gutter="0" w:footer="0" w:header="0"/>
        </w:sectPr>
      </w:pPr>
    </w:p>
    <w:bookmarkStart w:id="288" w:name="page289"/>
    <w:bookmarkEnd w:id="288"/>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if I don’t buy or sell anything, but I tell someone else material nonpublic information and he or she buys or sells?</w:t>
      </w:r>
    </w:p>
    <w:p>
      <w:pPr>
        <w:spacing w:after="0" w:line="218" w:lineRule="exact"/>
        <w:rPr>
          <w:sz w:val="20"/>
          <w:szCs w:val="20"/>
          <w:color w:val="auto"/>
        </w:rPr>
      </w:pPr>
    </w:p>
    <w:p>
      <w:pPr>
        <w:ind w:left="620" w:hanging="616"/>
        <w:spacing w:after="0" w:line="252" w:lineRule="auto"/>
        <w:tabs>
          <w:tab w:leader="none" w:pos="491"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That is called “tipping.” You are the “tipper,” and the other person is called the “tippee.” If the tippee buys or sells while in possession of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AirSculpt or another company with anyone outside AirSculpt, </w:t>
      </w:r>
      <w:r>
        <w:rPr>
          <w:rFonts w:ascii="Times New Roman" w:cs="Times New Roman" w:eastAsia="Times New Roman" w:hAnsi="Times New Roman"/>
          <w:sz w:val="21"/>
          <w:szCs w:val="21"/>
          <w:b w:val="1"/>
          <w:bCs w:val="1"/>
          <w:i w:val="1"/>
          <w:iCs w:val="1"/>
          <w:color w:val="auto"/>
        </w:rPr>
        <w:t>including spouses, family members, friends, or business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associates </w:t>
      </w:r>
      <w:r>
        <w:rPr>
          <w:rFonts w:ascii="Times New Roman" w:cs="Times New Roman" w:eastAsia="Times New Roman" w:hAnsi="Times New Roman"/>
          <w:sz w:val="21"/>
          <w:szCs w:val="21"/>
          <w:color w:val="auto"/>
        </w:rPr>
        <w:t>(unless the disclosure is made in accordance with AirSculpt’s policies regarding the protection or authorized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external disclosure of information regarding AirSculpt). This includes anonymous discussions on the internet about AirSculpt or companies with which AirSculpt does business. Advising others to trade while in possession of material nonpublic information is illegal and squarely prohibited by this Policy.</w:t>
      </w:r>
    </w:p>
    <w:p>
      <w:pPr>
        <w:spacing w:after="0" w:line="180"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1"/>
          <w:szCs w:val="21"/>
          <w:color w:val="auto"/>
        </w:rPr>
        <w:t xml:space="preserve">You can be held liable for your own transactions, as well as the transactions by a tippee and even the transactions of a tippee’s tippee. </w:t>
      </w:r>
      <w:r>
        <w:rPr>
          <w:rFonts w:ascii="Times New Roman" w:cs="Times New Roman" w:eastAsia="Times New Roman" w:hAnsi="Times New Roman"/>
          <w:sz w:val="21"/>
          <w:szCs w:val="21"/>
          <w:b w:val="1"/>
          <w:bCs w:val="1"/>
          <w:i w:val="1"/>
          <w:iCs w:val="1"/>
          <w:color w:val="auto"/>
        </w:rPr>
        <w:t>For these and other reasons, no Covered Person (or any other person subject to this Policy) may either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recommend to another person that they buy, hold or sell AirSculpt’s securities at any time or (b) disclose material nonpublic information to persons within AirSculpt whose jobs do not require them to have that material nonpublic information, or outside of AirSculpt to other persons (unless the disclosure is made in accordance with AirSculpt’s policies regarding the protection or authorized external disclosure of information regarding AirSculpt).</w:t>
      </w:r>
    </w:p>
    <w:p>
      <w:pPr>
        <w:spacing w:after="0" w:line="16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if I don’t tell someone inside information itself; I just tell him or her whether to buy or sell?</w:t>
      </w:r>
    </w:p>
    <w:p>
      <w:pPr>
        <w:spacing w:after="0" w:line="218" w:lineRule="exact"/>
        <w:rPr>
          <w:sz w:val="20"/>
          <w:szCs w:val="20"/>
          <w:color w:val="auto"/>
        </w:rPr>
      </w:pPr>
    </w:p>
    <w:p>
      <w:pPr>
        <w:ind w:left="620" w:hanging="616"/>
        <w:spacing w:after="0" w:line="267" w:lineRule="auto"/>
        <w:tabs>
          <w:tab w:leader="none" w:pos="451"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is still tipping, and you can still be responsible for insider trading. You may never recommend to another person that they buy, hold or sell AirSculpt’s common stock or any derivative security related to AirSculpt’s common stock, since that could be a form of tipping.</w:t>
      </w:r>
    </w:p>
    <w:p>
      <w:pPr>
        <w:spacing w:after="0" w:line="154" w:lineRule="exact"/>
        <w:rPr>
          <w:sz w:val="20"/>
          <w:szCs w:val="20"/>
          <w:color w:val="auto"/>
        </w:rPr>
      </w:pPr>
    </w:p>
    <w:p>
      <w:pPr>
        <w:ind w:left="620" w:hanging="616"/>
        <w:spacing w:after="0" w:line="279" w:lineRule="auto"/>
        <w:tabs>
          <w:tab w:leader="none" w:pos="451" w:val="left"/>
        </w:tabs>
        <w:numPr>
          <w:ilvl w:val="0"/>
          <w:numId w:val="3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Do the provisions of this Policy or the insider trading laws apply to me if I work outside the U.S. or trade in securities on a foreign exchange?</w:t>
      </w:r>
    </w:p>
    <w:p>
      <w:pPr>
        <w:spacing w:after="0" w:line="146" w:lineRule="exact"/>
        <w:rPr>
          <w:sz w:val="20"/>
          <w:szCs w:val="20"/>
          <w:color w:val="auto"/>
        </w:rPr>
      </w:pPr>
    </w:p>
    <w:p>
      <w:pPr>
        <w:ind w:left="620" w:hanging="616"/>
        <w:spacing w:after="0" w:line="256" w:lineRule="auto"/>
        <w:tabs>
          <w:tab w:leader="none" w:pos="456" w:val="left"/>
        </w:tabs>
        <w:numPr>
          <w:ilvl w:val="0"/>
          <w:numId w:val="3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Yes. 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the US insider trading laws may in certain circumstances apply to trading securities issued by a foreign company and traded on a foreign exchange. In any event, our policies apply to you, as a Covered Person, no matter where you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72" w:right="339" w:bottom="1440" w:gutter="0" w:footer="0" w:header="0"/>
        </w:sectPr>
      </w:pPr>
    </w:p>
    <w:bookmarkStart w:id="289" w:name="page290"/>
    <w:bookmarkEnd w:id="289"/>
    <w:p>
      <w:pPr>
        <w:ind w:left="620" w:hanging="616"/>
        <w:spacing w:after="0" w:line="279" w:lineRule="auto"/>
        <w:tabs>
          <w:tab w:leader="none" w:pos="441" w:val="left"/>
        </w:tabs>
        <w:numPr>
          <w:ilvl w:val="0"/>
          <w:numId w:val="3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So if I do not trade AirSculpt securities when I have material nonpublic information, and I don’t “tip” other people, I am in the clear, right?</w:t>
      </w:r>
    </w:p>
    <w:p>
      <w:pPr>
        <w:spacing w:after="0" w:line="146" w:lineRule="exact"/>
        <w:rPr>
          <w:sz w:val="20"/>
          <w:szCs w:val="20"/>
          <w:color w:val="auto"/>
        </w:rPr>
      </w:pPr>
    </w:p>
    <w:p>
      <w:pPr>
        <w:ind w:left="620" w:hanging="616"/>
        <w:spacing w:after="0" w:line="256" w:lineRule="auto"/>
        <w:tabs>
          <w:tab w:leader="none" w:pos="464" w:val="left"/>
        </w:tabs>
        <w:numPr>
          <w:ilvl w:val="0"/>
          <w:numId w:val="3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necessarily. Even if you do not violate U.S. law, you may still violate our policies. For example, directors, employees and consultants may violate our policies by breaching their confidentiality obligations or by recommending AirSculpt stock as an investment, even if these actions do not violate securities laws. Our policies are stricter than the law requires so that we and our directors, employees and consultants can avoid even the appearance of wrongdoing. Therefore, please review the entire Policy carefully.</w:t>
      </w:r>
    </w:p>
    <w:p>
      <w:pPr>
        <w:spacing w:after="0" w:line="16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Are there any exceptions to this policy?</w:t>
      </w:r>
    </w:p>
    <w:p>
      <w:pPr>
        <w:spacing w:after="0" w:line="231" w:lineRule="exact"/>
        <w:rPr>
          <w:sz w:val="20"/>
          <w:szCs w:val="20"/>
          <w:color w:val="auto"/>
        </w:rPr>
      </w:pPr>
    </w:p>
    <w:p>
      <w:pPr>
        <w:ind w:left="620" w:hanging="616"/>
        <w:spacing w:after="0" w:line="255" w:lineRule="auto"/>
        <w:tabs>
          <w:tab w:leader="none" w:pos="423"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Bona fide gifts for estate planning purposes, including gifts to a trust, family limited partnership, charitable foundation or similar entity, as long as you or members of your immediate family remain the sole beneficiaries of the transferred shares and the terms of the transfer ensure that the shares remain subject to the same restrictions that apply to you under this Policy, are not subject to this Policy’s restrictions.</w:t>
      </w:r>
    </w:p>
    <w:p>
      <w:pPr>
        <w:spacing w:after="0" w:line="172" w:lineRule="exact"/>
        <w:rPr>
          <w:sz w:val="20"/>
          <w:szCs w:val="20"/>
          <w:color w:val="auto"/>
        </w:rPr>
      </w:pPr>
    </w:p>
    <w:p>
      <w:pPr>
        <w:jc w:val="both"/>
        <w:ind w:left="620"/>
        <w:spacing w:after="0" w:line="256" w:lineRule="auto"/>
        <w:rPr>
          <w:sz w:val="20"/>
          <w:szCs w:val="20"/>
          <w:color w:val="auto"/>
        </w:rPr>
      </w:pPr>
      <w:r>
        <w:rPr>
          <w:rFonts w:ascii="Times New Roman" w:cs="Times New Roman" w:eastAsia="Times New Roman" w:hAnsi="Times New Roman"/>
          <w:sz w:val="21"/>
          <w:szCs w:val="21"/>
          <w:color w:val="auto"/>
        </w:rPr>
        <w:t>A Covered Person who believes that special circumstances require him or her to trade during a quarterly trading blackout period should consult the Chief Financial Officer. Permission to trade during a quarterly trading blackout period will be granted only where the circumstances are extenuating, the Chief Financial Officer concludes that the person is not in fact aware of any material nonpublic information relating to AirSculpt or its securities, and there appears to be no significant risk that the trade may subsequently be questioned. An exception will not be granted during an event-specific trading blackout.</w:t>
      </w:r>
    </w:p>
    <w:p>
      <w:pPr>
        <w:spacing w:after="0" w:line="16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tax withholding transactions are not restricted by this Policy?</w:t>
      </w:r>
    </w:p>
    <w:p>
      <w:pPr>
        <w:spacing w:after="0" w:line="218" w:lineRule="exact"/>
        <w:rPr>
          <w:sz w:val="20"/>
          <w:szCs w:val="20"/>
          <w:color w:val="auto"/>
        </w:rPr>
      </w:pPr>
    </w:p>
    <w:p>
      <w:pPr>
        <w:ind w:left="620" w:hanging="616"/>
        <w:spacing w:after="0" w:line="260" w:lineRule="auto"/>
        <w:tabs>
          <w:tab w:leader="none" w:pos="424" w:val="left"/>
        </w:tabs>
        <w:numPr>
          <w:ilvl w:val="0"/>
          <w:numId w:val="3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Policy does not apply to the surrender of shares directly to AirSculpt to satisfy tax withholding obligations as a result of the issuance of shares upon exercise of options or settlement of restricted stock units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issued by AirSculpt. Of course, any market sale of the stock received upon exercise or vesting of any such equity awards remains subject to all provisions of this Policy whether or not for the purpose of generating the cash needed to pay the exercise price or pay taxes.</w:t>
      </w:r>
    </w:p>
    <w:p>
      <w:pPr>
        <w:spacing w:after="0" w:line="16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Can I effect a sell-to-cover transaction upon an option exercise or RSU vesting?</w:t>
      </w:r>
    </w:p>
    <w:p>
      <w:pPr>
        <w:spacing w:after="0" w:line="218" w:lineRule="exact"/>
        <w:rPr>
          <w:sz w:val="20"/>
          <w:szCs w:val="20"/>
          <w:color w:val="auto"/>
        </w:rPr>
      </w:pPr>
    </w:p>
    <w:p>
      <w:pPr>
        <w:ind w:left="620" w:hanging="616"/>
        <w:spacing w:after="0" w:line="254" w:lineRule="auto"/>
        <w:tabs>
          <w:tab w:leader="none" w:pos="452" w:val="left"/>
        </w:tabs>
        <w:numPr>
          <w:ilvl w:val="0"/>
          <w:numId w:val="3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not act to voluntarily sell shares (even to pay the exercise price or any taxes due) during a trading blackout period or any time that you are aware of material nonpublic information. With respect to options, as noted above, you may not voluntarily effect a broker-assisted cashless exercise (because these cashless exercise transactions include a market sale) during a trading blackout period or any time that you are aware of material nonpublic information. With respect to RSUs, you may not voluntarily sell shares upon issuance; however, if AirSculpt requires you to sell shares to satisfy tax withholdings obligations at issuance, that would be allowed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371"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21"/>
          <w:szCs w:val="21"/>
          <w:b w:val="1"/>
          <w:bCs w:val="1"/>
          <w:color w:val="auto"/>
        </w:rPr>
        <w:t>Blackout Periods</w:t>
      </w:r>
    </w:p>
    <w:p>
      <w:pPr>
        <w:spacing w:after="0" w:line="21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is a quarterly trading blackout period?</w:t>
      </w:r>
    </w:p>
    <w:p>
      <w:pPr>
        <w:spacing w:after="0" w:line="218" w:lineRule="exact"/>
        <w:rPr>
          <w:sz w:val="20"/>
          <w:szCs w:val="20"/>
          <w:color w:val="auto"/>
        </w:rPr>
      </w:pPr>
    </w:p>
    <w:p>
      <w:pPr>
        <w:jc w:val="both"/>
        <w:ind w:left="620" w:hanging="616"/>
        <w:spacing w:after="0" w:line="253" w:lineRule="auto"/>
        <w:tabs>
          <w:tab w:leader="none" w:pos="552" w:val="left"/>
        </w:tabs>
        <w:numPr>
          <w:ilvl w:val="0"/>
          <w:numId w:val="3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minimize the appearance of insider trading by the Specified Personnel and their Related Persons, we have established quarterly trading blackout periods (as defined below) during which they — regardless of whether they are in possession of material nonpublic information or not — may not conduct any trades in AirSculpt securities. That means that, except as described in this Policy, all Specified Personnel and their Related Persons will be able to trade in AirSculpt securities </w:t>
      </w:r>
      <w:r>
        <w:rPr>
          <w:rFonts w:ascii="Times New Roman" w:cs="Times New Roman" w:eastAsia="Times New Roman" w:hAnsi="Times New Roman"/>
          <w:sz w:val="21"/>
          <w:szCs w:val="21"/>
          <w:b w:val="1"/>
          <w:bCs w:val="1"/>
          <w:i w:val="1"/>
          <w:iCs w:val="1"/>
          <w:color w:val="auto"/>
        </w:rPr>
        <w:t>only</w:t>
      </w:r>
      <w:r>
        <w:rPr>
          <w:rFonts w:ascii="Times New Roman" w:cs="Times New Roman" w:eastAsia="Times New Roman" w:hAnsi="Times New Roman"/>
          <w:sz w:val="21"/>
          <w:szCs w:val="21"/>
          <w:color w:val="auto"/>
        </w:rPr>
        <w:t xml:space="preserve"> during limited open trading window periods that generally will begin after two (2) full trading days have elapsed since the public dissemination of AirSculpt’s annual or quarterly financial results and end at the beginning of the next quarterly trading blackout period. Of course, even during an open trading window period, you may not (unless an exception applies) conduct any trades in AirSculpt securities if you are in fact in possession of or otherwise aware of material nonpublic information.</w:t>
      </w:r>
    </w:p>
    <w:p>
      <w:pPr>
        <w:spacing w:after="0" w:line="17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are AirSculpt’s quarterly trading blackout periods?</w:t>
      </w:r>
    </w:p>
    <w:p>
      <w:pPr>
        <w:spacing w:after="0" w:line="214" w:lineRule="exact"/>
        <w:rPr>
          <w:sz w:val="20"/>
          <w:szCs w:val="20"/>
          <w:color w:val="auto"/>
        </w:rPr>
      </w:pPr>
    </w:p>
    <w:p>
      <w:pPr>
        <w:ind w:left="620" w:hanging="616"/>
        <w:spacing w:after="0" w:line="233" w:lineRule="auto"/>
        <w:tabs>
          <w:tab w:leader="none" w:pos="432"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w:t>
      </w:r>
      <w:r>
        <w:rPr>
          <w:rFonts w:ascii="Times New Roman" w:cs="Times New Roman" w:eastAsia="Times New Roman" w:hAnsi="Times New Roman"/>
          <w:sz w:val="21"/>
          <w:szCs w:val="21"/>
          <w:b w:val="1"/>
          <w:bCs w:val="1"/>
          <w:i w:val="1"/>
          <w:iCs w:val="1"/>
          <w:color w:val="auto"/>
        </w:rPr>
        <w:t>quarterly trading blackout period</w:t>
      </w:r>
      <w:r>
        <w:rPr>
          <w:rFonts w:ascii="Times New Roman" w:cs="Times New Roman" w:eastAsia="Times New Roman" w:hAnsi="Times New Roman"/>
          <w:sz w:val="21"/>
          <w:szCs w:val="21"/>
          <w:color w:val="auto"/>
        </w:rPr>
        <w:t>” will generally begin at the start of the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third month of each fiscal quarter (or, if that day is not a trading day, then the end of the preceding trading day) and end after two (2) full trading days have elapsed since the public dissemination of AirSculpt’s financial results for that quarter (e.g., time of the earnings call).</w:t>
      </w:r>
    </w:p>
    <w:p>
      <w:pPr>
        <w:spacing w:after="0" w:line="19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Can AirSculpt’s quarterly trading blackout periods change?</w:t>
      </w:r>
    </w:p>
    <w:p>
      <w:pPr>
        <w:spacing w:after="0" w:line="218" w:lineRule="exact"/>
        <w:rPr>
          <w:sz w:val="20"/>
          <w:szCs w:val="20"/>
          <w:color w:val="auto"/>
        </w:rPr>
      </w:pPr>
    </w:p>
    <w:p>
      <w:pPr>
        <w:ind w:left="620" w:hanging="616"/>
        <w:spacing w:after="0" w:line="255" w:lineRule="auto"/>
        <w:tabs>
          <w:tab w:leader="none" w:pos="404" w:val="left"/>
        </w:tabs>
        <w:numPr>
          <w:ilvl w:val="0"/>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trading blackout period may commence early or may be extended if, in the judgment of the Chief Financial Officer, there exists undisclosed information that would make trades by Specified Personnel or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8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Does AirSculpt have blackout periods other than quarterly trading blackout periods?</w:t>
      </w:r>
    </w:p>
    <w:p>
      <w:pPr>
        <w:spacing w:after="0" w:line="218" w:lineRule="exact"/>
        <w:rPr>
          <w:sz w:val="20"/>
          <w:szCs w:val="20"/>
          <w:color w:val="auto"/>
        </w:rPr>
      </w:pPr>
    </w:p>
    <w:p>
      <w:pPr>
        <w:ind w:left="620" w:hanging="616"/>
        <w:spacing w:after="0" w:line="254" w:lineRule="auto"/>
        <w:tabs>
          <w:tab w:leader="none" w:pos="539" w:val="left"/>
        </w:tabs>
        <w:numPr>
          <w:ilvl w:val="0"/>
          <w:numId w:val="3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Yes. From time to time, an event may occur that is material to AirSculpt and is known by only a few officers, directors, employees, contractors and/or consultants. So long as the event remains material and nonpublic, the persons designated by the Chief Financial Officer may not trade in AirSculpt’s securities. In that situation, AirSculpt will notify the designated individuals that neither they nor their Related Persons may trade in AirSculpt’s securities. The existence of an event-specific trading blackout should also be considered material nonpublic information and should not be communicated to any other person. Even if you have not been designated as a person who should not trade due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372" w:right="339" w:bottom="1440" w:gutter="0" w:footer="0" w:header="0"/>
        </w:sectPr>
      </w:pPr>
    </w:p>
    <w:bookmarkStart w:id="291" w:name="page292"/>
    <w:bookmarkEnd w:id="291"/>
    <w:p>
      <w:pPr>
        <w:ind w:left="620"/>
        <w:spacing w:after="0"/>
        <w:rPr>
          <w:sz w:val="20"/>
          <w:szCs w:val="20"/>
          <w:color w:val="auto"/>
        </w:rPr>
      </w:pPr>
      <w:r>
        <w:rPr>
          <w:rFonts w:ascii="Times New Roman" w:cs="Times New Roman" w:eastAsia="Times New Roman" w:hAnsi="Times New Roman"/>
          <w:sz w:val="21"/>
          <w:szCs w:val="21"/>
          <w:color w:val="auto"/>
        </w:rPr>
        <w:t>event-specific trading blackout, you should not trade while aware of material nonpublic information.</w:t>
      </w:r>
    </w:p>
    <w:p>
      <w:pPr>
        <w:spacing w:after="0" w:line="210" w:lineRule="exact"/>
        <w:rPr>
          <w:sz w:val="20"/>
          <w:szCs w:val="20"/>
          <w:color w:val="auto"/>
        </w:rPr>
      </w:pPr>
    </w:p>
    <w:p>
      <w:pPr>
        <w:ind w:left="620" w:hanging="616"/>
        <w:spacing w:after="0" w:line="279" w:lineRule="auto"/>
        <w:tabs>
          <w:tab w:leader="none" w:pos="481" w:val="left"/>
        </w:tabs>
        <w:numPr>
          <w:ilvl w:val="0"/>
          <w:numId w:val="3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If I am subject to a blackout period and I have an open order to buy or sell AirSculpt securities on the date a blackout period commences, can I leave it to my broker to cancel the open order and avoid executing the trade?</w:t>
      </w:r>
    </w:p>
    <w:p>
      <w:pPr>
        <w:spacing w:after="0" w:line="159" w:lineRule="exact"/>
        <w:rPr>
          <w:sz w:val="20"/>
          <w:szCs w:val="20"/>
          <w:color w:val="auto"/>
        </w:rPr>
      </w:pPr>
    </w:p>
    <w:p>
      <w:pPr>
        <w:ind w:left="620" w:hanging="616"/>
        <w:spacing w:after="0" w:line="255" w:lineRule="auto"/>
        <w:tabs>
          <w:tab w:leader="none" w:pos="452" w:val="left"/>
        </w:tabs>
        <w:numPr>
          <w:ilvl w:val="0"/>
          <w:numId w:val="3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unless it is in connection with a Rule 10b5-1 Plan (as defined below). If you have any open orders when a blackout period commences other than in connection with a Rule 10b5-1 Plan, it is your responsibility to cancel these orders with your broker. If you have an open order and it executes after a blackout period commences not in connection with a Rule 10b5-1 Plan, you will have violated this Policy and may also have violated insider trading laws.</w:t>
      </w:r>
    </w:p>
    <w:p>
      <w:pPr>
        <w:spacing w:after="0" w:line="168" w:lineRule="exact"/>
        <w:rPr>
          <w:sz w:val="20"/>
          <w:szCs w:val="20"/>
          <w:color w:val="auto"/>
        </w:rPr>
      </w:pPr>
    </w:p>
    <w:p>
      <w:pPr>
        <w:ind w:left="620" w:hanging="616"/>
        <w:spacing w:after="0" w:line="292" w:lineRule="auto"/>
        <w:tabs>
          <w:tab w:leader="none" w:pos="521" w:val="left"/>
        </w:tabs>
        <w:numPr>
          <w:ilvl w:val="0"/>
          <w:numId w:val="3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Am I subject to trading blackout periods if I am no longer an employee, officer director, contractor or consultant of AirSculpt?</w:t>
      </w:r>
    </w:p>
    <w:p>
      <w:pPr>
        <w:spacing w:after="0" w:line="133" w:lineRule="exact"/>
        <w:rPr>
          <w:sz w:val="20"/>
          <w:szCs w:val="20"/>
          <w:color w:val="auto"/>
        </w:rPr>
      </w:pPr>
    </w:p>
    <w:p>
      <w:pPr>
        <w:ind w:left="620" w:hanging="616"/>
        <w:spacing w:after="0" w:line="253" w:lineRule="auto"/>
        <w:tabs>
          <w:tab w:leader="none" w:pos="412" w:val="left"/>
        </w:tabs>
        <w:numPr>
          <w:ilvl w:val="0"/>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depends. If your employment with AirSculpt ends during a trading blackout period applicable to you, you will be subject to the remainder of that trading blackout period and you may not trade AirSculpt’s securities or the securities of other applicable companies until the trading blackout period has ended. If your employment with AirSculpt ends on a day that the trading window is open, you will not be subject to the next trading blackout period. However, even if you are not subject to our trading blackout period after you leave AirSculpt, you should not trade in AirSculpt securities or the securities of other applicable companies if you are aware of material nonpublic information. That restriction stays with you as long as the information you possess is material and not publicly disseminated within the meaning of this Policy.</w:t>
      </w:r>
    </w:p>
    <w:p>
      <w:pPr>
        <w:spacing w:after="0" w:line="168" w:lineRule="exact"/>
        <w:rPr>
          <w:sz w:val="20"/>
          <w:szCs w:val="20"/>
          <w:color w:val="auto"/>
        </w:rPr>
      </w:pPr>
    </w:p>
    <w:p>
      <w:pPr>
        <w:ind w:left="620" w:hanging="616"/>
        <w:spacing w:after="0" w:line="279" w:lineRule="auto"/>
        <w:tabs>
          <w:tab w:leader="none" w:pos="441" w:val="left"/>
        </w:tabs>
        <w:numPr>
          <w:ilvl w:val="0"/>
          <w:numId w:val="3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Can I exercise options granted to me by AirSculpt, or participate in an AirSculpt employee stock purchase plan, during a trading blackout period or when I possess or am otherwise aware of material nonpublic information?</w:t>
      </w:r>
    </w:p>
    <w:p>
      <w:pPr>
        <w:spacing w:after="0" w:line="146" w:lineRule="exact"/>
        <w:rPr>
          <w:sz w:val="20"/>
          <w:szCs w:val="20"/>
          <w:color w:val="auto"/>
        </w:rPr>
      </w:pPr>
    </w:p>
    <w:p>
      <w:pPr>
        <w:ind w:left="620" w:hanging="616"/>
        <w:spacing w:after="0" w:line="253" w:lineRule="auto"/>
        <w:tabs>
          <w:tab w:leader="none" w:pos="535" w:val="left"/>
        </w:tabs>
        <w:numPr>
          <w:ilvl w:val="0"/>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general matter, you may purchase shares by exercising your options or participating in an AirSculpt employee stock purchase plan, but you may not tender or sell the shares (even to pay the exercise price or any taxes due) during a trading blackout period applicable to you or at any time that you are aware of material nonpublic information. To be clear, you may not tender shares for net-settlement of options or effect a broker-assisted cashless exercise (because these cashless exercise transactions include a market sale) during a trading blackout period applicable to you or at any time that you are aware of material nonpublic information. This policy also applies to an employee’s initial election to participate in AirSculpt’s employee stock purchase plan (“</w:t>
      </w:r>
      <w:r>
        <w:rPr>
          <w:rFonts w:ascii="Times New Roman" w:cs="Times New Roman" w:eastAsia="Times New Roman" w:hAnsi="Times New Roman"/>
          <w:sz w:val="21"/>
          <w:szCs w:val="21"/>
          <w:b w:val="1"/>
          <w:bCs w:val="1"/>
          <w:i w:val="1"/>
          <w:iCs w:val="1"/>
          <w:color w:val="auto"/>
        </w:rPr>
        <w:t>ESPP</w:t>
      </w:r>
      <w:r>
        <w:rPr>
          <w:rFonts w:ascii="Times New Roman" w:cs="Times New Roman" w:eastAsia="Times New Roman" w:hAnsi="Times New Roman"/>
          <w:sz w:val="21"/>
          <w:szCs w:val="21"/>
          <w:color w:val="auto"/>
        </w:rPr>
        <w:t>”), changes to an employee’s election to participate in the ESPP for any enrollment period, or to the subsequent sale of the stock acquired pursuant to the ESPP.</w:t>
      </w:r>
    </w:p>
    <w:p>
      <w:pPr>
        <w:spacing w:after="0" w:line="17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are the rules that apply to Rule 10b5-1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376" w:right="339" w:bottom="1440" w:gutter="0" w:footer="0" w:header="0"/>
        </w:sectPr>
      </w:pPr>
    </w:p>
    <w:bookmarkStart w:id="292" w:name="page293"/>
    <w:bookmarkEnd w:id="292"/>
    <w:p>
      <w:pPr>
        <w:ind w:left="620" w:hanging="616"/>
        <w:spacing w:after="0" w:line="252" w:lineRule="auto"/>
        <w:tabs>
          <w:tab w:leader="none" w:pos="422" w:val="left"/>
        </w:tabs>
        <w:numPr>
          <w:ilvl w:val="0"/>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10b5-1 of the Securities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provides a defense from insider trading liability. In order to be eligible to rely on this defense, a person subject to this Policy must enter into a written trading plan adopted in accordance with Rule 10b5-1 of the Exchange Act that meets certain conditions specified in the rule (a “</w:t>
      </w:r>
      <w:r>
        <w:rPr>
          <w:rFonts w:ascii="Times New Roman" w:cs="Times New Roman" w:eastAsia="Times New Roman" w:hAnsi="Times New Roman"/>
          <w:sz w:val="21"/>
          <w:szCs w:val="21"/>
          <w:b w:val="1"/>
          <w:bCs w:val="1"/>
          <w:i w:val="1"/>
          <w:iCs w:val="1"/>
          <w:color w:val="auto"/>
        </w:rPr>
        <w:t>Rule 10b5-1 Plan</w:t>
      </w:r>
      <w:r>
        <w:rPr>
          <w:rFonts w:ascii="Times New Roman" w:cs="Times New Roman" w:eastAsia="Times New Roman" w:hAnsi="Times New Roman"/>
          <w:sz w:val="21"/>
          <w:szCs w:val="21"/>
          <w:color w:val="auto"/>
        </w:rPr>
        <w:t>”). If the plan meets the requirements of Rule 10b5-1, AirSculpt securities may be purchased or sold without regard to certain insider trading restrictions. To comply with this Policy, a Rule 10b5-1 Plan must be pre-approved by the Chief Financial Officer and meet the requirements of Rule 10b5-1. A Rule 10b5-1 Plan must be entered into at a time when the person entering into the plan is not aware of material nonpublic information. The plan must either specify the amount, pricing and timing of transactions in advance or delegate discretion on these matters to an independent third party and, once the plan is adopted, the person must not exercise any influence over the amount of securities to be traded, the price at which they are to be traded or the date of the trade.</w:t>
      </w:r>
    </w:p>
    <w:p>
      <w:pPr>
        <w:spacing w:after="0" w:line="177" w:lineRule="exact"/>
        <w:rPr>
          <w:sz w:val="20"/>
          <w:szCs w:val="20"/>
          <w:color w:val="auto"/>
        </w:rPr>
      </w:pPr>
    </w:p>
    <w:p>
      <w:pPr>
        <w:jc w:val="both"/>
        <w:ind w:left="620"/>
        <w:spacing w:after="0" w:line="252" w:lineRule="auto"/>
        <w:rPr>
          <w:sz w:val="20"/>
          <w:szCs w:val="20"/>
          <w:color w:val="auto"/>
        </w:rPr>
      </w:pPr>
      <w:r>
        <w:rPr>
          <w:rFonts w:ascii="Times New Roman" w:cs="Times New Roman" w:eastAsia="Times New Roman" w:hAnsi="Times New Roman"/>
          <w:sz w:val="21"/>
          <w:szCs w:val="21"/>
          <w:color w:val="auto"/>
        </w:rPr>
        <w:t>Persons subject to this Policy may only have one outstanding Rule 10b5-1 Plan at any one time (subject to certain exceptions). All Rule 10b5-1 Plans must have a “cooling off period,” the length of which will depend on the status of the person subject to this Policy. For directors and executive officers, the applicable “cooling off period” is the later of (x) ninety (90) days after the adoption and (y) three (3) business days following the disclosure of AirSculpt’s financial results in a Form 10-Q or Form 10-K for the fiscal quarter in which the plan was adopted, subject to a maximum of 120 days. For all other Covered Persons, the applicable “cooling off period” is at least thirty (30) days from the time the trading plan is executed to the time of the first trade pursuant to the plan. AirSculpt does not permit a Rule 10b5-1 Plan to be entered into during a blackout period. Any plan participant must act in good faith with respect to their Rule 10b5-1 Plan.</w:t>
      </w:r>
    </w:p>
    <w:p>
      <w:pPr>
        <w:spacing w:after="0" w:line="173" w:lineRule="exact"/>
        <w:rPr>
          <w:sz w:val="20"/>
          <w:szCs w:val="20"/>
          <w:color w:val="auto"/>
        </w:rPr>
      </w:pPr>
    </w:p>
    <w:p>
      <w:pPr>
        <w:jc w:val="both"/>
        <w:ind w:left="620"/>
        <w:spacing w:after="0" w:line="267" w:lineRule="auto"/>
        <w:rPr>
          <w:sz w:val="20"/>
          <w:szCs w:val="20"/>
          <w:color w:val="auto"/>
        </w:rPr>
      </w:pPr>
      <w:r>
        <w:rPr>
          <w:rFonts w:ascii="Times New Roman" w:cs="Times New Roman" w:eastAsia="Times New Roman" w:hAnsi="Times New Roman"/>
          <w:sz w:val="21"/>
          <w:szCs w:val="21"/>
          <w:color w:val="auto"/>
        </w:rPr>
        <w:t>Rule 10b5-1 Plans will be considered by the Chief Financial Officer on a case-by-case basis. Any Rule 10b5-1 Plan must be submitted to the Chief Financial Officer for approval at least five (5) days prior to the entry into the Rule 10b5-1 Plan. The adoption, modification, or cancellation of any Rule 10b5-1 Plan must be approved by the Chief Financial Officer.</w:t>
      </w:r>
    </w:p>
    <w:p>
      <w:pPr>
        <w:spacing w:after="0" w:line="154" w:lineRule="exact"/>
        <w:rPr>
          <w:sz w:val="20"/>
          <w:szCs w:val="20"/>
          <w:color w:val="auto"/>
        </w:rPr>
      </w:pPr>
    </w:p>
    <w:p>
      <w:pPr>
        <w:ind w:right="2660"/>
        <w:spacing w:after="0" w:line="455" w:lineRule="auto"/>
        <w:rPr>
          <w:sz w:val="20"/>
          <w:szCs w:val="20"/>
          <w:color w:val="auto"/>
        </w:rPr>
      </w:pPr>
      <w:r>
        <w:rPr>
          <w:rFonts w:ascii="Times New Roman" w:cs="Times New Roman" w:eastAsia="Times New Roman" w:hAnsi="Times New Roman"/>
          <w:sz w:val="21"/>
          <w:szCs w:val="21"/>
          <w:b w:val="1"/>
          <w:bCs w:val="1"/>
          <w:color w:val="auto"/>
        </w:rPr>
        <w:t>Margin Accounts, Pledging Shares, Hedging and Other Speculation in AirSculpt Common Stock Q: Can I purchase AirSculpt securities on margin or hold them in a margin account?</w:t>
      </w:r>
    </w:p>
    <w:p>
      <w:pPr>
        <w:ind w:left="620" w:hanging="616"/>
        <w:spacing w:after="0" w:line="267" w:lineRule="auto"/>
        <w:tabs>
          <w:tab w:leader="none" w:pos="537" w:val="left"/>
        </w:tabs>
        <w:numPr>
          <w:ilvl w:val="0"/>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“Purchasing on margin” is the use of borrowed money from a brokerage firm to purchase our securities. Holding our securities in a margin account includes holding the securities in an account in which the shares can be sold to pay a loan to the brokerage firm. You may not purchase our common stock on margin or hold it in a margin account at any time.</w:t>
      </w:r>
    </w:p>
    <w:p>
      <w:pPr>
        <w:spacing w:after="0" w:line="154" w:lineRule="exact"/>
        <w:rPr>
          <w:sz w:val="20"/>
          <w:szCs w:val="20"/>
          <w:color w:val="auto"/>
        </w:rPr>
      </w:pPr>
    </w:p>
    <w:p>
      <w:pPr>
        <w:ind w:left="440" w:hanging="436"/>
        <w:spacing w:after="0"/>
        <w:tabs>
          <w:tab w:leader="none" w:pos="440" w:val="left"/>
        </w:tabs>
        <w:numPr>
          <w:ilvl w:val="0"/>
          <w:numId w:val="3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Can I pledge my AirSculpt shares as collateral for a loan?</w:t>
      </w:r>
    </w:p>
    <w:p>
      <w:pPr>
        <w:spacing w:after="0" w:line="200" w:lineRule="exact"/>
        <w:rPr>
          <w:rFonts w:ascii="Times New Roman" w:cs="Times New Roman" w:eastAsia="Times New Roman" w:hAnsi="Times New Roman"/>
          <w:sz w:val="21"/>
          <w:szCs w:val="21"/>
          <w:b w:val="1"/>
          <w:bCs w:val="1"/>
          <w:color w:val="auto"/>
        </w:rPr>
      </w:pPr>
    </w:p>
    <w:p>
      <w:pPr>
        <w:spacing w:after="0" w:line="200" w:lineRule="exact"/>
        <w:rPr>
          <w:rFonts w:ascii="Times New Roman" w:cs="Times New Roman" w:eastAsia="Times New Roman" w:hAnsi="Times New Roman"/>
          <w:sz w:val="21"/>
          <w:szCs w:val="21"/>
          <w:b w:val="1"/>
          <w:bCs w:val="1"/>
          <w:color w:val="auto"/>
        </w:rPr>
      </w:pPr>
    </w:p>
    <w:p>
      <w:pPr>
        <w:spacing w:after="0" w:line="200" w:lineRule="exact"/>
        <w:rPr>
          <w:rFonts w:ascii="Times New Roman" w:cs="Times New Roman" w:eastAsia="Times New Roman" w:hAnsi="Times New Roman"/>
          <w:sz w:val="21"/>
          <w:szCs w:val="21"/>
          <w:b w:val="1"/>
          <w:bCs w:val="1"/>
          <w:color w:val="auto"/>
        </w:rPr>
      </w:pPr>
    </w:p>
    <w:p>
      <w:pPr>
        <w:spacing w:after="0" w:line="200" w:lineRule="exact"/>
        <w:rPr>
          <w:rFonts w:ascii="Times New Roman" w:cs="Times New Roman" w:eastAsia="Times New Roman" w:hAnsi="Times New Roman"/>
          <w:sz w:val="21"/>
          <w:szCs w:val="21"/>
          <w:b w:val="1"/>
          <w:bCs w:val="1"/>
          <w:color w:val="auto"/>
        </w:rPr>
      </w:pPr>
    </w:p>
    <w:p>
      <w:pPr>
        <w:spacing w:after="0" w:line="217" w:lineRule="exact"/>
        <w:rPr>
          <w:rFonts w:ascii="Times New Roman" w:cs="Times New Roman" w:eastAsia="Times New Roman" w:hAnsi="Times New Roman"/>
          <w:sz w:val="21"/>
          <w:szCs w:val="21"/>
          <w:b w:val="1"/>
          <w:bCs w:val="1"/>
          <w:color w:val="auto"/>
        </w:rPr>
      </w:pPr>
    </w:p>
    <w:p>
      <w:pPr>
        <w:ind w:left="55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372" w:right="339" w:bottom="1440" w:gutter="0" w:footer="0" w:header="0"/>
        </w:sectPr>
      </w:pPr>
    </w:p>
    <w:bookmarkStart w:id="293" w:name="page294"/>
    <w:bookmarkEnd w:id="293"/>
    <w:p>
      <w:pPr>
        <w:ind w:left="620" w:hanging="616"/>
        <w:spacing w:after="0" w:line="260" w:lineRule="auto"/>
        <w:tabs>
          <w:tab w:leader="none" w:pos="422" w:val="left"/>
        </w:tabs>
        <w:numPr>
          <w:ilvl w:val="0"/>
          <w:numId w:val="3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Pledging your shares as collateral for a loan could cause the pledgee to transfer your shares during a trading blackout period or when you are otherwise aware of material nonpublic information. As a result, you may not pledge your shares as collateral for a loan.</w:t>
      </w:r>
    </w:p>
    <w:p>
      <w:pPr>
        <w:spacing w:after="0" w:line="17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Can I hedge my ownership position in AirSculpt?</w:t>
      </w:r>
    </w:p>
    <w:p>
      <w:pPr>
        <w:spacing w:after="0" w:line="218" w:lineRule="exact"/>
        <w:rPr>
          <w:sz w:val="20"/>
          <w:szCs w:val="20"/>
          <w:color w:val="auto"/>
        </w:rPr>
      </w:pPr>
    </w:p>
    <w:p>
      <w:pPr>
        <w:ind w:left="620" w:hanging="616"/>
        <w:spacing w:after="0" w:line="275" w:lineRule="auto"/>
        <w:tabs>
          <w:tab w:leader="none" w:pos="443" w:val="left"/>
        </w:tabs>
        <w:numPr>
          <w:ilvl w:val="0"/>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Hedging or monetization transactions, including through the use of financial instruments such as prepaid variable forwards, equity swaps, collars, and exchange funds are prohibited by this Policy.</w:t>
      </w:r>
    </w:p>
    <w:p>
      <w:pPr>
        <w:spacing w:after="0" w:line="14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Why are hedging transactions prohibited?</w:t>
      </w:r>
    </w:p>
    <w:p>
      <w:pPr>
        <w:spacing w:after="0" w:line="218" w:lineRule="exact"/>
        <w:rPr>
          <w:sz w:val="20"/>
          <w:szCs w:val="20"/>
          <w:color w:val="auto"/>
        </w:rPr>
      </w:pPr>
    </w:p>
    <w:p>
      <w:pPr>
        <w:ind w:left="620" w:hanging="616"/>
        <w:spacing w:after="0" w:line="260" w:lineRule="auto"/>
        <w:tabs>
          <w:tab w:leader="none" w:pos="414" w:val="left"/>
        </w:tabs>
        <w:numPr>
          <w:ilvl w:val="0"/>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transactions may permit a person subject to this Policy to continue to own AirSculpt’s securities obtained through employee benefit plans or otherwise, but without the full risks and rewards of ownership. When that occurs, the person may no longer have the same objectives as AirSculpt’s other stockholders. Therefore, all persons subject to this Policy are prohibited from engaging in any such transactions.</w:t>
      </w:r>
    </w:p>
    <w:p>
      <w:pPr>
        <w:spacing w:after="0" w:line="16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Am I allowed to trade derivative securities of AirSculpt common stock?</w:t>
      </w:r>
    </w:p>
    <w:p>
      <w:pPr>
        <w:spacing w:after="0" w:line="218" w:lineRule="exact"/>
        <w:rPr>
          <w:sz w:val="20"/>
          <w:szCs w:val="20"/>
          <w:color w:val="auto"/>
        </w:rPr>
      </w:pPr>
    </w:p>
    <w:p>
      <w:pPr>
        <w:ind w:left="620" w:hanging="616"/>
        <w:spacing w:after="0" w:line="267" w:lineRule="auto"/>
        <w:tabs>
          <w:tab w:leader="none" w:pos="453" w:val="left"/>
        </w:tabs>
        <w:numPr>
          <w:ilvl w:val="0"/>
          <w:numId w:val="3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You may not trade in derivative securities related to AirSculpt’s common stock, which include publicly traded call and put options. In addition, you may not engage in short selling of our common stock or in any other inherently speculative transactions with respect to AirSculpt’s securities at any time.</w:t>
      </w:r>
    </w:p>
    <w:p>
      <w:pPr>
        <w:spacing w:after="0" w:line="15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are derivative securities?</w:t>
      </w:r>
    </w:p>
    <w:p>
      <w:pPr>
        <w:spacing w:after="0" w:line="218" w:lineRule="exact"/>
        <w:rPr>
          <w:sz w:val="20"/>
          <w:szCs w:val="20"/>
          <w:color w:val="auto"/>
        </w:rPr>
      </w:pPr>
    </w:p>
    <w:p>
      <w:pPr>
        <w:ind w:left="620" w:hanging="616"/>
        <w:spacing w:after="0" w:line="260" w:lineRule="auto"/>
        <w:tabs>
          <w:tab w:leader="none" w:pos="497" w:val="left"/>
        </w:tabs>
        <w:numPr>
          <w:ilvl w:val="0"/>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this Policy.</w:t>
      </w:r>
    </w:p>
    <w:p>
      <w:pPr>
        <w:spacing w:after="0" w:line="16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is short selling?</w:t>
      </w:r>
    </w:p>
    <w:p>
      <w:pPr>
        <w:spacing w:after="0" w:line="218" w:lineRule="exact"/>
        <w:rPr>
          <w:sz w:val="20"/>
          <w:szCs w:val="20"/>
          <w:color w:val="auto"/>
        </w:rPr>
      </w:pPr>
    </w:p>
    <w:p>
      <w:pPr>
        <w:ind w:left="620" w:hanging="616"/>
        <w:spacing w:after="0" w:line="260" w:lineRule="auto"/>
        <w:tabs>
          <w:tab w:leader="none" w:pos="490" w:val="left"/>
        </w:tabs>
        <w:numPr>
          <w:ilvl w:val="0"/>
          <w:numId w:val="3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7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Why does AirSculpt prohibit trading in derivative securities and short selling?</w:t>
      </w:r>
    </w:p>
    <w:p>
      <w:pPr>
        <w:spacing w:after="0" w:line="218" w:lineRule="exact"/>
        <w:rPr>
          <w:sz w:val="20"/>
          <w:szCs w:val="20"/>
          <w:color w:val="auto"/>
        </w:rPr>
      </w:pPr>
    </w:p>
    <w:p>
      <w:pPr>
        <w:ind w:left="620" w:hanging="616"/>
        <w:spacing w:after="0" w:line="260" w:lineRule="auto"/>
        <w:tabs>
          <w:tab w:leader="none" w:pos="441" w:val="left"/>
        </w:tabs>
        <w:numPr>
          <w:ilvl w:val="0"/>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376" w:right="339" w:bottom="1440" w:gutter="0" w:footer="0" w:header="0"/>
        </w:sectPr>
      </w:pPr>
    </w:p>
    <w:bookmarkStart w:id="294" w:name="page295"/>
    <w:bookmarkEnd w:id="294"/>
    <w:p>
      <w:pPr>
        <w:ind w:left="620"/>
        <w:spacing w:after="0" w:line="275" w:lineRule="auto"/>
        <w:rPr>
          <w:sz w:val="20"/>
          <w:szCs w:val="20"/>
          <w:color w:val="auto"/>
        </w:rPr>
      </w:pPr>
      <w:r>
        <w:rPr>
          <w:rFonts w:ascii="Times New Roman" w:cs="Times New Roman" w:eastAsia="Times New Roman" w:hAnsi="Times New Roman"/>
          <w:sz w:val="21"/>
          <w:szCs w:val="21"/>
          <w:color w:val="auto"/>
        </w:rPr>
        <w:t>and encourages speculative trading. We are dedicated to building stockholder value, short selling our common stock conflicts with our values and would not be well-received by our stockholders.</w:t>
      </w:r>
    </w:p>
    <w:p>
      <w:pPr>
        <w:spacing w:after="0" w:line="14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if I purchased publicly traded options or other derivative securities before I became subject to this Policy?</w:t>
      </w:r>
    </w:p>
    <w:p>
      <w:pPr>
        <w:spacing w:after="0" w:line="231" w:lineRule="exact"/>
        <w:rPr>
          <w:sz w:val="20"/>
          <w:szCs w:val="20"/>
          <w:color w:val="auto"/>
        </w:rPr>
      </w:pPr>
    </w:p>
    <w:p>
      <w:pPr>
        <w:ind w:left="620" w:hanging="616"/>
        <w:spacing w:after="0" w:line="260" w:lineRule="auto"/>
        <w:tabs>
          <w:tab w:leader="none" w:pos="436"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same rules apply as for employee stock options. You may exercise the publicly traded options at any time, but you may not sell the securities during a trading blackout period applicable to you or at any time that you are aware of material nonpublic information.</w:t>
      </w:r>
    </w:p>
    <w:p>
      <w:pPr>
        <w:spacing w:after="0" w:line="16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are the concerns about standing and limit orders?</w:t>
      </w:r>
    </w:p>
    <w:p>
      <w:pPr>
        <w:spacing w:after="0" w:line="218" w:lineRule="exact"/>
        <w:rPr>
          <w:sz w:val="20"/>
          <w:szCs w:val="20"/>
          <w:color w:val="auto"/>
        </w:rPr>
      </w:pPr>
    </w:p>
    <w:p>
      <w:pPr>
        <w:ind w:left="620" w:hanging="616"/>
        <w:spacing w:after="0" w:line="252" w:lineRule="auto"/>
        <w:tabs>
          <w:tab w:leader="none" w:pos="442"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Standing and limit orders are instructions to purchase or sell securities once the value of those securities reaches a certain price. Standing and limit orders (except standing and limit orders under approved Rule 10b5-1 Plans, as discussed above) create heightened risks for insider trading violations similar to the use of margin accounts, since there is no control over the timing of purchases or sales that result from standing instructions to a broker, and as a result the broker could execute a transaction when a Covered Person is in possession of or otherwise aware of material nonpublic information. AirSculpt therefore discourages placing standing or limit orders on AirSculpt’s securities. If a person subject to this Policy determines that they must use a standing order or limit order (other than under an approved Rule 10b5-1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 periods” and “event-specific trading blackouts” outlined above.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Pre-Clearance of Transactions in AirSculpt Common Stock</w:t>
      </w:r>
    </w:p>
    <w:p>
      <w:pPr>
        <w:spacing w:after="0" w:line="21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Who is required to pre-clear and provide advance notice of transactions?</w:t>
      </w:r>
    </w:p>
    <w:p>
      <w:pPr>
        <w:spacing w:after="0" w:line="231" w:lineRule="exact"/>
        <w:rPr>
          <w:sz w:val="20"/>
          <w:szCs w:val="20"/>
          <w:color w:val="auto"/>
        </w:rPr>
      </w:pPr>
    </w:p>
    <w:p>
      <w:pPr>
        <w:ind w:left="620" w:hanging="616"/>
        <w:spacing w:after="0" w:line="253" w:lineRule="auto"/>
        <w:tabs>
          <w:tab w:leader="none" w:pos="416"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requirements above, all Specified Personnel and Related Persons face a further restriction: Even during an open trading window, they may not engage in any transaction in AirSculpt’s securities without first obtaining pre-clearance of the transaction from the Chief Financial Officer at least two (2) business days in advance of the proposed transaction. The Chief Financial Officer will then determine whether the transaction may proceed and, if so, will help comply with any required reporting requirements under Section 16(a) of the Exchange Act. Pre-cleared transactions not completed within ten (10) business days after approval will require new pre-clearance. AirSculpt may choose to shorten this period. A previously submitted and approved Rule 10b5-1 Plan shall constitute advance notice and pre-clearance for purposes of this Policy.</w:t>
      </w:r>
    </w:p>
    <w:p>
      <w:pPr>
        <w:spacing w:after="0" w:line="168" w:lineRule="exact"/>
        <w:rPr>
          <w:sz w:val="20"/>
          <w:szCs w:val="20"/>
          <w:color w:val="auto"/>
        </w:rPr>
      </w:pPr>
    </w:p>
    <w:p>
      <w:pPr>
        <w:ind w:left="440" w:hanging="436"/>
        <w:spacing w:after="0"/>
        <w:tabs>
          <w:tab w:leader="none" w:pos="440" w:val="left"/>
        </w:tabs>
        <w:numPr>
          <w:ilvl w:val="0"/>
          <w:numId w:val="3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Are individuals subject to pre-clearance required to provide advanced notice of stock option exercises?</w:t>
      </w:r>
    </w:p>
    <w:p>
      <w:pPr>
        <w:spacing w:after="0" w:line="200" w:lineRule="exact"/>
        <w:rPr>
          <w:rFonts w:ascii="Times New Roman" w:cs="Times New Roman" w:eastAsia="Times New Roman" w:hAnsi="Times New Roman"/>
          <w:sz w:val="21"/>
          <w:szCs w:val="21"/>
          <w:b w:val="1"/>
          <w:bCs w:val="1"/>
          <w:color w:val="auto"/>
        </w:rPr>
      </w:pPr>
    </w:p>
    <w:p>
      <w:pPr>
        <w:spacing w:after="0" w:line="200" w:lineRule="exact"/>
        <w:rPr>
          <w:rFonts w:ascii="Times New Roman" w:cs="Times New Roman" w:eastAsia="Times New Roman" w:hAnsi="Times New Roman"/>
          <w:sz w:val="21"/>
          <w:szCs w:val="21"/>
          <w:b w:val="1"/>
          <w:bCs w:val="1"/>
          <w:color w:val="auto"/>
        </w:rPr>
      </w:pPr>
    </w:p>
    <w:p>
      <w:pPr>
        <w:spacing w:after="0" w:line="200" w:lineRule="exact"/>
        <w:rPr>
          <w:rFonts w:ascii="Times New Roman" w:cs="Times New Roman" w:eastAsia="Times New Roman" w:hAnsi="Times New Roman"/>
          <w:sz w:val="21"/>
          <w:szCs w:val="21"/>
          <w:b w:val="1"/>
          <w:bCs w:val="1"/>
          <w:color w:val="auto"/>
        </w:rPr>
      </w:pPr>
    </w:p>
    <w:p>
      <w:pPr>
        <w:spacing w:after="0" w:line="200" w:lineRule="exact"/>
        <w:rPr>
          <w:rFonts w:ascii="Times New Roman" w:cs="Times New Roman" w:eastAsia="Times New Roman" w:hAnsi="Times New Roman"/>
          <w:sz w:val="21"/>
          <w:szCs w:val="21"/>
          <w:b w:val="1"/>
          <w:bCs w:val="1"/>
          <w:color w:val="auto"/>
        </w:rPr>
      </w:pPr>
    </w:p>
    <w:p>
      <w:pPr>
        <w:spacing w:after="0" w:line="217" w:lineRule="exact"/>
        <w:rPr>
          <w:rFonts w:ascii="Times New Roman" w:cs="Times New Roman" w:eastAsia="Times New Roman" w:hAnsi="Times New Roman"/>
          <w:sz w:val="21"/>
          <w:szCs w:val="21"/>
          <w:b w:val="1"/>
          <w:bCs w:val="1"/>
          <w:color w:val="auto"/>
        </w:rPr>
      </w:pPr>
    </w:p>
    <w:p>
      <w:pPr>
        <w:ind w:left="552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376" w:right="339" w:bottom="1440" w:gutter="0" w:footer="0" w:header="0"/>
        </w:sectPr>
      </w:pPr>
    </w:p>
    <w:bookmarkStart w:id="295" w:name="page296"/>
    <w:bookmarkEnd w:id="295"/>
    <w:p>
      <w:pPr>
        <w:ind w:left="620" w:hanging="616"/>
        <w:spacing w:after="0" w:line="260" w:lineRule="auto"/>
        <w:tabs>
          <w:tab w:leader="none" w:pos="435"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Yes. Persons subject to pre-clearance must also give advance notice of their plans to exercise an outstanding stock option to the Chief Financial Officer. Once any transaction takes place, the officer, director, or applicable member of management must immediately notify the Chief Financial Officer so that AirSculpt may assist in any Section 16 reporting obligations.</w:t>
      </w:r>
    </w:p>
    <w:p>
      <w:pPr>
        <w:spacing w:after="0" w:line="17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additional requirements apply to individuals subject to Section 16?</w:t>
      </w:r>
    </w:p>
    <w:p>
      <w:pPr>
        <w:spacing w:after="0" w:line="218" w:lineRule="exact"/>
        <w:rPr>
          <w:sz w:val="20"/>
          <w:szCs w:val="20"/>
          <w:color w:val="auto"/>
        </w:rPr>
      </w:pPr>
    </w:p>
    <w:p>
      <w:pPr>
        <w:ind w:left="620" w:hanging="616"/>
        <w:spacing w:after="0" w:line="255" w:lineRule="auto"/>
        <w:tabs>
          <w:tab w:leader="none" w:pos="475" w:val="left"/>
        </w:tabs>
        <w:numPr>
          <w:ilvl w:val="0"/>
          <w:numId w:val="3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and any notices of sale required by Rule 144.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Information</w:t>
      </w:r>
    </w:p>
    <w:p>
      <w:pPr>
        <w:spacing w:after="0" w:line="21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happens if I violate this Policy?</w:t>
      </w:r>
    </w:p>
    <w:p>
      <w:pPr>
        <w:spacing w:after="0" w:line="218" w:lineRule="exact"/>
        <w:rPr>
          <w:sz w:val="20"/>
          <w:szCs w:val="20"/>
          <w:color w:val="auto"/>
        </w:rPr>
      </w:pPr>
    </w:p>
    <w:p>
      <w:pPr>
        <w:ind w:left="620" w:hanging="616"/>
        <w:spacing w:after="0" w:line="275" w:lineRule="auto"/>
        <w:tabs>
          <w:tab w:leader="none" w:pos="423"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Violating our policies may result in disciplinary action, which may include termination of your employment or other relationship with AirSculpt.</w:t>
      </w:r>
    </w:p>
    <w:p>
      <w:pPr>
        <w:spacing w:after="0" w:line="14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are the sanctions if I trade on material nonpublic information or tip off someone else?</w:t>
      </w:r>
    </w:p>
    <w:p>
      <w:pPr>
        <w:spacing w:after="0" w:line="218" w:lineRule="exact"/>
        <w:rPr>
          <w:sz w:val="20"/>
          <w:szCs w:val="20"/>
          <w:color w:val="auto"/>
        </w:rPr>
      </w:pPr>
    </w:p>
    <w:p>
      <w:pPr>
        <w:ind w:left="620" w:hanging="616"/>
        <w:spacing w:after="0" w:line="254" w:lineRule="auto"/>
        <w:tabs>
          <w:tab w:leader="none" w:pos="498"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disciplinary action by AirSculpt—which may include termination of employment—you may be liable for civil sanctions for trading on material nonpublic information. The sanctions may include return of any profit made or loss avoided as well as penalties of up to three (3)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(3) times that amount. In addition, anyone convicted of criminal insider trading could face prison and additional fines.</w:t>
      </w:r>
    </w:p>
    <w:p>
      <w:pPr>
        <w:spacing w:after="0" w:line="186" w:lineRule="exact"/>
        <w:rPr>
          <w:sz w:val="20"/>
          <w:szCs w:val="20"/>
          <w:color w:val="auto"/>
        </w:rPr>
      </w:pPr>
    </w:p>
    <w:p>
      <w:pPr>
        <w:jc w:val="both"/>
        <w:ind w:left="620"/>
        <w:spacing w:after="0" w:line="253" w:lineRule="auto"/>
        <w:rPr>
          <w:sz w:val="20"/>
          <w:szCs w:val="20"/>
          <w:color w:val="auto"/>
        </w:rPr>
      </w:pPr>
      <w:r>
        <w:rPr>
          <w:rFonts w:ascii="Times New Roman" w:cs="Times New Roman" w:eastAsia="Times New Roman" w:hAnsi="Times New Roman"/>
          <w:sz w:val="21"/>
          <w:szCs w:val="21"/>
          <w:color w:val="auto"/>
        </w:rPr>
        <w:t>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AirSculpt personnel. Regulators have also prosecuted insider trading violations where an employee or insider has traded in the stock of another related company based on material nonpublic information learned in connection with their employment or role as an insider.</w:t>
      </w:r>
    </w:p>
    <w:p>
      <w:pPr>
        <w:spacing w:after="0" w:line="18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What is “loss avoided”?</w:t>
      </w:r>
    </w:p>
    <w:p>
      <w:pPr>
        <w:spacing w:after="0" w:line="218" w:lineRule="exact"/>
        <w:rPr>
          <w:sz w:val="20"/>
          <w:szCs w:val="20"/>
          <w:color w:val="auto"/>
        </w:rPr>
      </w:pPr>
    </w:p>
    <w:p>
      <w:pPr>
        <w:ind w:left="620" w:hanging="616"/>
        <w:spacing w:after="0" w:line="275" w:lineRule="auto"/>
        <w:tabs>
          <w:tab w:leader="none" w:pos="505"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sell common stock or a related derivative security before negative news is publicly announced, and as a result of the announcement the stock price declines, you have avoided the loss caused by the negative 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376" w:right="339" w:bottom="1440" w:gutter="0" w:footer="0" w:header="0"/>
        </w:sectPr>
      </w:pPr>
    </w:p>
    <w:bookmarkStart w:id="296" w:name="page297"/>
    <w:bookmarkEnd w:id="296"/>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Who should I contact if I have questions about this Policy or specific trades?</w:t>
      </w:r>
    </w:p>
    <w:p>
      <w:pPr>
        <w:spacing w:after="0" w:line="21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0"/>
          <w:szCs w:val="20"/>
          <w:color w:val="auto"/>
        </w:rPr>
        <w:t>You should contact AirSculpt’s Chief Financial Officer.</w:t>
      </w:r>
    </w:p>
    <w:p>
      <w:pPr>
        <w:spacing w:after="0" w:line="21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1"/>
          <w:szCs w:val="21"/>
          <w:b w:val="1"/>
          <w:bCs w:val="1"/>
          <w:color w:val="auto"/>
        </w:rPr>
        <w:t>Q:</w:t>
      </w:r>
      <w:r>
        <w:rPr>
          <w:sz w:val="20"/>
          <w:szCs w:val="20"/>
          <w:color w:val="auto"/>
        </w:rPr>
        <w:tab/>
      </w:r>
      <w:r>
        <w:rPr>
          <w:rFonts w:ascii="Times New Roman" w:cs="Times New Roman" w:eastAsia="Times New Roman" w:hAnsi="Times New Roman"/>
          <w:sz w:val="20"/>
          <w:szCs w:val="20"/>
          <w:b w:val="1"/>
          <w:bCs w:val="1"/>
          <w:color w:val="auto"/>
        </w:rPr>
        <w:t>Do changes to this Policy require approval by AirSculpt’s Board of Directors?</w:t>
      </w:r>
    </w:p>
    <w:p>
      <w:pPr>
        <w:spacing w:after="0" w:line="231" w:lineRule="exact"/>
        <w:rPr>
          <w:sz w:val="20"/>
          <w:szCs w:val="20"/>
          <w:color w:val="auto"/>
        </w:rPr>
      </w:pPr>
    </w:p>
    <w:p>
      <w:pPr>
        <w:ind w:left="620" w:hanging="616"/>
        <w:spacing w:after="0" w:line="275" w:lineRule="auto"/>
        <w:tabs>
          <w:tab w:leader="none" w:pos="456" w:val="left"/>
        </w:tabs>
        <w:numPr>
          <w:ilvl w:val="0"/>
          <w:numId w:val="3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Yes. Changes to this Policy require approval by AirSculpt’s Board of Directors or a duly appointed committee of the Board of Directors.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Acknowledgement and Certification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Covered Persons are required to sign the attached acknowledgement and certification.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 * * *</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Adopted by the Board of Directors: November 2, 2021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Amended by the Board of Directors: March 4, 2025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372" w:right="339" w:bottom="1440" w:gutter="0" w:footer="0" w:header="0"/>
        </w:sectPr>
      </w:pPr>
    </w:p>
    <w:bookmarkStart w:id="297" w:name="page298"/>
    <w:bookmarkEnd w:id="297"/>
    <w:p>
      <w:pPr>
        <w:jc w:val="center"/>
        <w:ind w:right="620"/>
        <w:spacing w:after="0"/>
        <w:rPr>
          <w:sz w:val="20"/>
          <w:szCs w:val="20"/>
          <w:color w:val="auto"/>
        </w:rPr>
      </w:pPr>
      <w:r>
        <w:rPr>
          <w:rFonts w:ascii="Times New Roman" w:cs="Times New Roman" w:eastAsia="Times New Roman" w:hAnsi="Times New Roman"/>
          <w:sz w:val="21"/>
          <w:szCs w:val="21"/>
          <w:b w:val="1"/>
          <w:bCs w:val="1"/>
          <w:color w:val="auto"/>
        </w:rPr>
        <w:t>AirSculpt Technologies, Inc.</w:t>
      </w:r>
    </w:p>
    <w:p>
      <w:pPr>
        <w:spacing w:after="0" w:line="214"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214"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1"/>
          <w:szCs w:val="21"/>
          <w:b w:val="1"/>
          <w:bCs w:val="1"/>
          <w:color w:val="auto"/>
        </w:rPr>
        <w:t>Acknowledgment and Certification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AirSculpt Technologies, Inc.</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 ________________________, have received and read a copy of the AirSculpt Technologies, Inc. Insider Trading Policy. I</w:t>
      </w:r>
    </w:p>
    <w:p>
      <w:pPr>
        <w:spacing w:after="0" w:line="30" w:lineRule="exact"/>
        <w:rPr>
          <w:sz w:val="20"/>
          <w:szCs w:val="20"/>
          <w:color w:val="auto"/>
        </w:rPr>
      </w:pPr>
    </w:p>
    <w:p>
      <w:pPr>
        <w:jc w:val="both"/>
        <w:ind w:left="620"/>
        <w:spacing w:after="0" w:line="252" w:lineRule="auto"/>
        <w:rPr>
          <w:sz w:val="20"/>
          <w:szCs w:val="20"/>
          <w:color w:val="auto"/>
        </w:rPr>
      </w:pPr>
      <w:r>
        <w:rPr>
          <w:rFonts w:ascii="Times New Roman" w:cs="Times New Roman" w:eastAsia="Times New Roman" w:hAnsi="Times New Roman"/>
          <w:sz w:val="21"/>
          <w:szCs w:val="21"/>
          <w:color w:val="auto"/>
        </w:rPr>
        <w:t>hereby agree to comply with the specific requirements of the policy in all respects during my employment or other service relationship with AirSculpt Technologies, Inc. I understand that the policy constitutes a material term of my employment or other service relationship with AirSculpt Technologies, Inc. (or a subsidiary thereof) and that my failure to comply in all respects with the policy is a basis for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829945</wp:posOffset>
            </wp:positionV>
            <wp:extent cx="10915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1091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443230</wp:posOffset>
            </wp:positionV>
            <wp:extent cx="10915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1091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443230</wp:posOffset>
            </wp:positionV>
            <wp:extent cx="10915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1091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ectPr>
          <w:pgSz w:w="11900" w:h="16838" w:orient="portrait"/>
          <w:cols w:equalWidth="0" w:num="1">
            <w:col w:w="11240"/>
          </w:cols>
          <w:pgMar w:left="320" w:top="1372" w:right="3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4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7"/>
          <w:szCs w:val="17"/>
          <w:color w:val="auto"/>
        </w:rPr>
        <w:t>We have issued our report dated March 14, 2025, with respect to the consolidated financial statements included in the Annual Report of AirSculpt Technologies, Inc. on Form 10-K for the year ended December 31, 2024. We consent to the incorporation by reference of said report in the Registration Statements of AirSculpt Technologies, Inc. on Form S-3 (File No. 333-270069) and on Forms S-8 (File No. 333-260609 and 333-281472).</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GRANT THORNTON LLP</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Tampa, Florida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2025</w:t>
      </w:r>
    </w:p>
    <w:p>
      <w:pPr>
        <w:sectPr>
          <w:pgSz w:w="11900" w:h="16838" w:orient="portrait"/>
          <w:cols w:equalWidth="0" w:num="1">
            <w:col w:w="11240"/>
          </w:cols>
          <w:pgMar w:left="320" w:top="927"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ind w:left="4660"/>
        <w:spacing w:after="0" w:line="234" w:lineRule="auto"/>
        <w:rPr>
          <w:sz w:val="20"/>
          <w:szCs w:val="20"/>
          <w:color w:val="auto"/>
        </w:rPr>
      </w:pPr>
      <w:r>
        <w:rPr>
          <w:rFonts w:ascii="Times New Roman" w:cs="Times New Roman" w:eastAsia="Times New Roman" w:hAnsi="Times New Roman"/>
          <w:sz w:val="17"/>
          <w:szCs w:val="17"/>
          <w:b w:val="1"/>
          <w:bCs w:val="1"/>
          <w:color w:val="auto"/>
        </w:rPr>
        <w:t>18 U.S.C. SECTION 1350</w:t>
      </w:r>
    </w:p>
    <w:p>
      <w:pPr>
        <w:jc w:val="center"/>
        <w:spacing w:after="0" w:line="224" w:lineRule="auto"/>
        <w:rPr>
          <w:sz w:val="20"/>
          <w:szCs w:val="20"/>
          <w:color w:val="auto"/>
        </w:rPr>
      </w:pPr>
      <w:r>
        <w:rPr>
          <w:rFonts w:ascii="Times New Roman" w:cs="Times New Roman" w:eastAsia="Times New Roman" w:hAnsi="Times New Roman"/>
          <w:sz w:val="17"/>
          <w:szCs w:val="17"/>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 Yogi Jashnani, certify that:</w:t>
      </w:r>
    </w:p>
    <w:p>
      <w:pPr>
        <w:spacing w:after="0" w:line="221" w:lineRule="exact"/>
        <w:rPr>
          <w:sz w:val="20"/>
          <w:szCs w:val="20"/>
          <w:color w:val="auto"/>
        </w:rPr>
      </w:pPr>
    </w:p>
    <w:p>
      <w:pPr>
        <w:ind w:left="320" w:hanging="316"/>
        <w:spacing w:after="0"/>
        <w:tabs>
          <w:tab w:leader="none" w:pos="320"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AirSculpt Technologies, Inc.;</w:t>
      </w:r>
    </w:p>
    <w:p>
      <w:pPr>
        <w:spacing w:after="0" w:line="221" w:lineRule="exact"/>
        <w:rPr>
          <w:rFonts w:ascii="Times New Roman" w:cs="Times New Roman" w:eastAsia="Times New Roman" w:hAnsi="Times New Roman"/>
          <w:sz w:val="17"/>
          <w:szCs w:val="17"/>
          <w:color w:val="auto"/>
        </w:rPr>
      </w:pPr>
    </w:p>
    <w:p>
      <w:pPr>
        <w:ind w:left="320" w:hanging="316"/>
        <w:spacing w:after="0" w:line="294" w:lineRule="auto"/>
        <w:tabs>
          <w:tab w:leader="none" w:pos="320"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320" w:hanging="316"/>
        <w:spacing w:after="0" w:line="294" w:lineRule="auto"/>
        <w:tabs>
          <w:tab w:leader="none" w:pos="320"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jc w:val="both"/>
        <w:ind w:left="320" w:hanging="316"/>
        <w:spacing w:after="0" w:line="274" w:lineRule="auto"/>
        <w:tabs>
          <w:tab w:leader="none" w:pos="320"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7"/>
          <w:szCs w:val="17"/>
          <w:color w:val="auto"/>
        </w:rPr>
      </w:pPr>
    </w:p>
    <w:p>
      <w:pPr>
        <w:jc w:val="both"/>
        <w:ind w:left="320" w:hanging="3"/>
        <w:spacing w:after="0" w:line="274" w:lineRule="auto"/>
        <w:tabs>
          <w:tab w:leader="none" w:pos="630"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7"/>
          <w:szCs w:val="17"/>
          <w:color w:val="auto"/>
        </w:rPr>
      </w:pPr>
    </w:p>
    <w:p>
      <w:pPr>
        <w:jc w:val="both"/>
        <w:ind w:left="320" w:hanging="3"/>
        <w:spacing w:after="0" w:line="274" w:lineRule="auto"/>
        <w:tabs>
          <w:tab w:leader="none" w:pos="626"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7"/>
          <w:szCs w:val="17"/>
          <w:color w:val="auto"/>
        </w:rPr>
      </w:pPr>
    </w:p>
    <w:p>
      <w:pPr>
        <w:ind w:left="320" w:hanging="3"/>
        <w:spacing w:after="0" w:line="294" w:lineRule="auto"/>
        <w:tabs>
          <w:tab w:leader="none" w:pos="630"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jc w:val="both"/>
        <w:ind w:left="320" w:hanging="3"/>
        <w:spacing w:after="0" w:line="274" w:lineRule="auto"/>
        <w:tabs>
          <w:tab w:leader="none" w:pos="626"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7"/>
          <w:szCs w:val="17"/>
          <w:color w:val="auto"/>
        </w:rPr>
      </w:pPr>
    </w:p>
    <w:p>
      <w:pPr>
        <w:ind w:left="320" w:hanging="316"/>
        <w:spacing w:after="0" w:line="294" w:lineRule="auto"/>
        <w:tabs>
          <w:tab w:leader="none" w:pos="320" w:val="left"/>
        </w:tabs>
        <w:numPr>
          <w:ilvl w:val="0"/>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320" w:hanging="3"/>
        <w:spacing w:after="0" w:line="294" w:lineRule="auto"/>
        <w:tabs>
          <w:tab w:leader="none" w:pos="630"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320" w:hanging="3"/>
        <w:spacing w:after="0" w:line="294" w:lineRule="auto"/>
        <w:tabs>
          <w:tab w:leader="none" w:pos="626" w:val="left"/>
        </w:tabs>
        <w:numPr>
          <w:ilvl w:val="1"/>
          <w:numId w:val="3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b w:val="1"/>
          <w:bCs w:val="1"/>
          <w:color w:val="auto"/>
        </w:rPr>
        <w:t>AirSculpt Technologies, Inc.</w:t>
      </w:r>
    </w:p>
    <w:p>
      <w:pPr>
        <w:spacing w:after="0" w:line="171" w:lineRule="exact"/>
        <w:rPr>
          <w:sz w:val="20"/>
          <w:szCs w:val="20"/>
          <w:color w:val="auto"/>
        </w:rPr>
      </w:pPr>
    </w:p>
    <w:p>
      <w:pPr>
        <w:ind w:left="340"/>
        <w:spacing w:after="0"/>
        <w:tabs>
          <w:tab w:leader="none" w:pos="6840" w:val="left"/>
          <w:tab w:leader="none" w:pos="7260" w:val="left"/>
        </w:tabs>
        <w:rPr>
          <w:sz w:val="20"/>
          <w:szCs w:val="20"/>
          <w:color w:val="auto"/>
        </w:rPr>
      </w:pPr>
      <w:r>
        <w:rPr>
          <w:rFonts w:ascii="Times New Roman" w:cs="Times New Roman" w:eastAsia="Times New Roman" w:hAnsi="Times New Roman"/>
          <w:sz w:val="17"/>
          <w:szCs w:val="17"/>
          <w:color w:val="auto"/>
        </w:rPr>
        <w:t>Date: March 14, 2025</w:t>
      </w:r>
      <w:r>
        <w:rPr>
          <w:sz w:val="20"/>
          <w:szCs w:val="20"/>
          <w:color w:val="auto"/>
        </w:rPr>
        <w:tab/>
      </w:r>
      <w:r>
        <w:rPr>
          <w:rFonts w:ascii="Times New Roman" w:cs="Times New Roman" w:eastAsia="Times New Roman" w:hAnsi="Times New Roman"/>
          <w:sz w:val="17"/>
          <w:szCs w:val="17"/>
          <w:color w:val="auto"/>
        </w:rPr>
        <w:t>By:</w:t>
        <w:tab/>
        <w:t>/s/ Yogi Jashnani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19685</wp:posOffset>
            </wp:positionV>
            <wp:extent cx="22745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2274570" cy="8255"/>
                    </a:xfrm>
                    <a:prstGeom prst="rect">
                      <a:avLst/>
                    </a:prstGeom>
                    <a:noFill/>
                  </pic:spPr>
                </pic:pic>
              </a:graphicData>
            </a:graphic>
          </wp:anchor>
        </w:drawing>
      </w:r>
    </w:p>
    <w:p>
      <w:pPr>
        <w:spacing w:after="0" w:line="1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Yogi Jashnani</w:t>
      </w:r>
    </w:p>
    <w:p>
      <w:pPr>
        <w:spacing w:after="0" w:line="3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1109"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ind w:left="4660"/>
        <w:spacing w:after="0" w:line="234" w:lineRule="auto"/>
        <w:rPr>
          <w:sz w:val="20"/>
          <w:szCs w:val="20"/>
          <w:color w:val="auto"/>
        </w:rPr>
      </w:pPr>
      <w:r>
        <w:rPr>
          <w:rFonts w:ascii="Times New Roman" w:cs="Times New Roman" w:eastAsia="Times New Roman" w:hAnsi="Times New Roman"/>
          <w:sz w:val="17"/>
          <w:szCs w:val="17"/>
          <w:b w:val="1"/>
          <w:bCs w:val="1"/>
          <w:color w:val="auto"/>
        </w:rPr>
        <w:t>18 U.S.C. SECTION 1350</w:t>
      </w:r>
    </w:p>
    <w:p>
      <w:pPr>
        <w:jc w:val="center"/>
        <w:spacing w:after="0" w:line="224" w:lineRule="auto"/>
        <w:rPr>
          <w:sz w:val="20"/>
          <w:szCs w:val="20"/>
          <w:color w:val="auto"/>
        </w:rPr>
      </w:pPr>
      <w:r>
        <w:rPr>
          <w:rFonts w:ascii="Times New Roman" w:cs="Times New Roman" w:eastAsia="Times New Roman" w:hAnsi="Times New Roman"/>
          <w:sz w:val="17"/>
          <w:szCs w:val="17"/>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 Dennis Dean, certify that:</w:t>
      </w:r>
    </w:p>
    <w:p>
      <w:pPr>
        <w:spacing w:after="0" w:line="221" w:lineRule="exact"/>
        <w:rPr>
          <w:sz w:val="20"/>
          <w:szCs w:val="20"/>
          <w:color w:val="auto"/>
        </w:rPr>
      </w:pPr>
    </w:p>
    <w:p>
      <w:pPr>
        <w:ind w:left="320" w:hanging="316"/>
        <w:spacing w:after="0"/>
        <w:tabs>
          <w:tab w:leader="none" w:pos="320"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AirSculpt Technologies, Inc.;</w:t>
      </w:r>
    </w:p>
    <w:p>
      <w:pPr>
        <w:spacing w:after="0" w:line="221" w:lineRule="exact"/>
        <w:rPr>
          <w:rFonts w:ascii="Times New Roman" w:cs="Times New Roman" w:eastAsia="Times New Roman" w:hAnsi="Times New Roman"/>
          <w:sz w:val="17"/>
          <w:szCs w:val="17"/>
          <w:color w:val="auto"/>
        </w:rPr>
      </w:pPr>
    </w:p>
    <w:p>
      <w:pPr>
        <w:ind w:left="320" w:hanging="316"/>
        <w:spacing w:after="0" w:line="294" w:lineRule="auto"/>
        <w:tabs>
          <w:tab w:leader="none" w:pos="320"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320" w:hanging="316"/>
        <w:spacing w:after="0" w:line="294" w:lineRule="auto"/>
        <w:tabs>
          <w:tab w:leader="none" w:pos="320"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jc w:val="both"/>
        <w:ind w:left="320" w:hanging="316"/>
        <w:spacing w:after="0" w:line="274" w:lineRule="auto"/>
        <w:tabs>
          <w:tab w:leader="none" w:pos="320"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7"/>
          <w:szCs w:val="17"/>
          <w:color w:val="auto"/>
        </w:rPr>
      </w:pPr>
    </w:p>
    <w:p>
      <w:pPr>
        <w:jc w:val="both"/>
        <w:ind w:left="320" w:hanging="3"/>
        <w:spacing w:after="0" w:line="274" w:lineRule="auto"/>
        <w:tabs>
          <w:tab w:leader="none" w:pos="630" w:val="left"/>
        </w:tabs>
        <w:numPr>
          <w:ilvl w:val="1"/>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Times New Roman" w:cs="Times New Roman" w:eastAsia="Times New Roman" w:hAnsi="Times New Roman"/>
          <w:sz w:val="17"/>
          <w:szCs w:val="17"/>
          <w:color w:val="auto"/>
        </w:rPr>
      </w:pPr>
    </w:p>
    <w:p>
      <w:pPr>
        <w:jc w:val="both"/>
        <w:ind w:left="320" w:hanging="3"/>
        <w:spacing w:after="0" w:line="274" w:lineRule="auto"/>
        <w:tabs>
          <w:tab w:leader="none" w:pos="626" w:val="left"/>
        </w:tabs>
        <w:numPr>
          <w:ilvl w:val="1"/>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Times New Roman" w:cs="Times New Roman" w:eastAsia="Times New Roman" w:hAnsi="Times New Roman"/>
          <w:sz w:val="17"/>
          <w:szCs w:val="17"/>
          <w:color w:val="auto"/>
        </w:rPr>
      </w:pPr>
    </w:p>
    <w:p>
      <w:pPr>
        <w:ind w:left="320" w:hanging="3"/>
        <w:spacing w:after="0" w:line="294" w:lineRule="auto"/>
        <w:tabs>
          <w:tab w:leader="none" w:pos="630" w:val="left"/>
        </w:tabs>
        <w:numPr>
          <w:ilvl w:val="1"/>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jc w:val="both"/>
        <w:ind w:left="320" w:hanging="3"/>
        <w:spacing w:after="0" w:line="274" w:lineRule="auto"/>
        <w:tabs>
          <w:tab w:leader="none" w:pos="626" w:val="left"/>
        </w:tabs>
        <w:numPr>
          <w:ilvl w:val="1"/>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320" w:hanging="316"/>
        <w:spacing w:after="0" w:line="294" w:lineRule="auto"/>
        <w:tabs>
          <w:tab w:leader="none" w:pos="320" w:val="left"/>
        </w:tabs>
        <w:numPr>
          <w:ilvl w:val="0"/>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320" w:hanging="3"/>
        <w:spacing w:after="0" w:line="294" w:lineRule="auto"/>
        <w:tabs>
          <w:tab w:leader="none" w:pos="630" w:val="left"/>
        </w:tabs>
        <w:numPr>
          <w:ilvl w:val="1"/>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320" w:hanging="3"/>
        <w:spacing w:after="0" w:line="294" w:lineRule="auto"/>
        <w:tabs>
          <w:tab w:leader="none" w:pos="626" w:val="left"/>
        </w:tabs>
        <w:numPr>
          <w:ilvl w:val="1"/>
          <w:numId w:val="3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7"/>
          <w:szCs w:val="17"/>
          <w:b w:val="1"/>
          <w:bCs w:val="1"/>
          <w:color w:val="auto"/>
        </w:rPr>
        <w:t>AirSculpt Technologies, Inc.</w:t>
      </w:r>
    </w:p>
    <w:p>
      <w:pPr>
        <w:spacing w:after="0" w:line="393" w:lineRule="exact"/>
        <w:rPr>
          <w:sz w:val="20"/>
          <w:szCs w:val="20"/>
          <w:color w:val="auto"/>
        </w:rPr>
      </w:pPr>
    </w:p>
    <w:p>
      <w:pPr>
        <w:ind w:left="340"/>
        <w:spacing w:after="0"/>
        <w:tabs>
          <w:tab w:leader="none" w:pos="7340" w:val="left"/>
          <w:tab w:leader="none" w:pos="7940" w:val="left"/>
        </w:tabs>
        <w:rPr>
          <w:sz w:val="20"/>
          <w:szCs w:val="20"/>
          <w:color w:val="auto"/>
        </w:rPr>
      </w:pPr>
      <w:r>
        <w:rPr>
          <w:rFonts w:ascii="Times New Roman" w:cs="Times New Roman" w:eastAsia="Times New Roman" w:hAnsi="Times New Roman"/>
          <w:sz w:val="17"/>
          <w:szCs w:val="17"/>
          <w:color w:val="auto"/>
        </w:rPr>
        <w:t>Date: March 14,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19685</wp:posOffset>
            </wp:positionV>
            <wp:extent cx="18440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spacing w:after="0" w:line="2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7"/>
          <w:szCs w:val="17"/>
          <w:color w:val="auto"/>
        </w:rPr>
        <w:t>Dennis Dean</w:t>
      </w:r>
    </w:p>
    <w:p>
      <w:pPr>
        <w:spacing w:after="0" w:line="3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1109" w:right="33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of chapter 63 of title 18 of the United States Code), the undersigned officer of AirSculpt Technologies, Inc. (the “Company”), hereby certifies, to such officer’s knowledge, that:</w:t>
      </w:r>
    </w:p>
    <w:p>
      <w:pPr>
        <w:spacing w:after="0" w:line="15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This annual report on Form 10-K for the fiscal year ended December 31, 2024 (the “Report”) of the Company fully complies with the requirements of section 13(a) or 15(d) of the Securities Exchange Act of 1934, and information contained in the Report fairly presents, in all material respects, the financial condition</w:t>
      </w:r>
    </w:p>
    <w:p>
      <w:pPr>
        <w:spacing w:after="0"/>
        <w:rPr>
          <w:sz w:val="20"/>
          <w:szCs w:val="20"/>
          <w:color w:val="auto"/>
        </w:rPr>
      </w:pPr>
      <w:r>
        <w:rPr>
          <w:rFonts w:ascii="Times New Roman" w:cs="Times New Roman" w:eastAsia="Times New Roman" w:hAnsi="Times New Roman"/>
          <w:sz w:val="17"/>
          <w:szCs w:val="17"/>
          <w:color w:val="auto"/>
        </w:rPr>
        <w:t>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6840" w:val="left"/>
          <w:tab w:leader="none" w:pos="7380" w:val="left"/>
        </w:tabs>
        <w:rPr>
          <w:sz w:val="20"/>
          <w:szCs w:val="20"/>
          <w:color w:val="auto"/>
        </w:rPr>
      </w:pPr>
      <w:r>
        <w:rPr>
          <w:rFonts w:ascii="Times New Roman" w:cs="Times New Roman" w:eastAsia="Times New Roman" w:hAnsi="Times New Roman"/>
          <w:sz w:val="17"/>
          <w:szCs w:val="17"/>
          <w:color w:val="auto"/>
        </w:rPr>
        <w:t>Date: March 14,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Yogi Jashnani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19685</wp:posOffset>
            </wp:positionV>
            <wp:extent cx="24561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19"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color w:val="auto"/>
        </w:rPr>
        <w:t>Yogi Jashnani</w:t>
      </w:r>
    </w:p>
    <w:p>
      <w:pPr>
        <w:spacing w:after="0" w:line="3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Pursuant to section 906 of the Sarbanes-Oxley Act of 2002 (subsections (a) and (b) of section 1350 of chapter 63 of title 18 of the United States Code), the undersigned officer of AirSculpt Technologies, Inc. (the “Company”), hereby certifies, to such officer’s knowledge, that:</w:t>
      </w:r>
    </w:p>
    <w:p>
      <w:pPr>
        <w:spacing w:after="0" w:line="15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This annual report on Form 10-K for the fiscal year ended December 31, 2024 (the “Report”) of the Company fully complies with the requirements of section 13(a) or 15(d) of the Securities Exchange Act of 1934, and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6840" w:val="left"/>
          <w:tab w:leader="none" w:pos="7380" w:val="left"/>
        </w:tabs>
        <w:rPr>
          <w:sz w:val="20"/>
          <w:szCs w:val="20"/>
          <w:color w:val="auto"/>
        </w:rPr>
      </w:pPr>
      <w:r>
        <w:rPr>
          <w:rFonts w:ascii="Times New Roman" w:cs="Times New Roman" w:eastAsia="Times New Roman" w:hAnsi="Times New Roman"/>
          <w:sz w:val="17"/>
          <w:szCs w:val="17"/>
          <w:color w:val="auto"/>
        </w:rPr>
        <w:t>Date: March 14,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19685</wp:posOffset>
            </wp:positionV>
            <wp:extent cx="24561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2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color w:val="auto"/>
        </w:rPr>
        <w:t>Dennis Dean</w:t>
      </w:r>
    </w:p>
    <w:p>
      <w:pPr>
        <w:spacing w:after="0" w:line="3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7"/>
          <w:szCs w:val="17"/>
          <w:color w:val="auto"/>
        </w:rPr>
        <w:t>Chief Financial Officer</w:t>
      </w:r>
    </w:p>
    <w:sectPr>
      <w:pgSz w:w="11900" w:h="16838" w:orient="portrait"/>
      <w:cols w:equalWidth="0" w:num="1">
        <w:col w:w="11240"/>
      </w:cols>
      <w:pgMar w:left="320" w:top="11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15CD1A"/>
    <w:multiLevelType w:val="hybridMultilevel"/>
    <w:lvl w:ilvl="0">
      <w:lvlJc w:val="left"/>
      <w:lvlText w:val="☒"/>
      <w:numFmt w:val="bullet"/>
      <w:start w:val="1"/>
    </w:lvl>
  </w:abstractNum>
  <w:abstractNum w:abstractNumId="1">
    <w:nsid w:val="424479DA"/>
    <w:multiLevelType w:val="hybridMultilevel"/>
    <w:lvl w:ilvl="0">
      <w:lvlJc w:val="left"/>
      <w:lvlText w:val="☐"/>
      <w:numFmt w:val="bullet"/>
      <w:start w:val="1"/>
    </w:lvl>
  </w:abstractNum>
  <w:abstractNum w:abstractNumId="2">
    <w:nsid w:val="1A9A9E69"/>
    <w:multiLevelType w:val="hybridMultilevel"/>
    <w:lvl w:ilvl="0">
      <w:lvlJc w:val="left"/>
      <w:lvlText w:val="•"/>
      <w:numFmt w:val="bullet"/>
      <w:start w:val="1"/>
    </w:lvl>
  </w:abstractNum>
  <w:abstractNum w:abstractNumId="3">
    <w:nsid w:val="475E256A"/>
    <w:multiLevelType w:val="hybridMultilevel"/>
    <w:lvl w:ilvl="0">
      <w:lvlJc w:val="left"/>
      <w:lvlText w:val="•"/>
      <w:numFmt w:val="bullet"/>
      <w:start w:val="1"/>
    </w:lvl>
    <w:lvl w:ilvl="1">
      <w:lvlJc w:val="left"/>
      <w:lvlText w:val="•"/>
      <w:numFmt w:val="bullet"/>
      <w:start w:val="1"/>
    </w:lvl>
  </w:abstractNum>
  <w:abstractNum w:abstractNumId="4">
    <w:nsid w:val="368DB37E"/>
    <w:multiLevelType w:val="hybridMultilevel"/>
    <w:lvl w:ilvl="0">
      <w:lvlJc w:val="left"/>
      <w:lvlText w:val="•"/>
      <w:numFmt w:val="bullet"/>
      <w:start w:val="1"/>
    </w:lvl>
  </w:abstractNum>
  <w:abstractNum w:abstractNumId="5">
    <w:nsid w:val="6A3B714C"/>
    <w:multiLevelType w:val="hybridMultilevel"/>
    <w:lvl w:ilvl="0">
      <w:lvlJc w:val="left"/>
      <w:lvlText w:val="•"/>
      <w:numFmt w:val="bullet"/>
      <w:start w:val="1"/>
    </w:lvl>
  </w:abstractNum>
  <w:abstractNum w:abstractNumId="6">
    <w:nsid w:val="327B517E"/>
    <w:multiLevelType w:val="hybridMultilevel"/>
    <w:lvl w:ilvl="0">
      <w:lvlJc w:val="left"/>
      <w:lvlText w:val="•"/>
      <w:numFmt w:val="bullet"/>
      <w:start w:val="1"/>
    </w:lvl>
  </w:abstractNum>
  <w:abstractNum w:abstractNumId="7">
    <w:nsid w:val="1F461B51"/>
    <w:multiLevelType w:val="hybridMultilevel"/>
    <w:lvl w:ilvl="0">
      <w:lvlJc w:val="left"/>
      <w:lvlText w:val="•"/>
      <w:numFmt w:val="bullet"/>
      <w:start w:val="1"/>
    </w:lvl>
    <w:lvl w:ilvl="1">
      <w:lvlJc w:val="left"/>
      <w:lvlText w:val="◦"/>
      <w:numFmt w:val="bullet"/>
      <w:start w:val="1"/>
    </w:lvl>
  </w:abstractNum>
  <w:abstractNum w:abstractNumId="8">
    <w:nsid w:val="29BACF25"/>
    <w:multiLevelType w:val="hybridMultilevel"/>
    <w:lvl w:ilvl="0">
      <w:lvlJc w:val="left"/>
      <w:lvlText w:val="•"/>
      <w:numFmt w:val="bullet"/>
      <w:start w:val="1"/>
    </w:lvl>
  </w:abstractNum>
  <w:abstractNum w:abstractNumId="9">
    <w:nsid w:val="5D5BABB3"/>
    <w:multiLevelType w:val="hybridMultilevel"/>
    <w:lvl w:ilvl="0">
      <w:lvlJc w:val="left"/>
      <w:lvlText w:val="•"/>
      <w:numFmt w:val="bullet"/>
      <w:start w:val="1"/>
    </w:lvl>
  </w:abstractNum>
  <w:abstractNum w:abstractNumId="10">
    <w:nsid w:val="51BF6B48"/>
    <w:multiLevelType w:val="hybridMultilevel"/>
    <w:lvl w:ilvl="0">
      <w:lvlJc w:val="left"/>
      <w:lvlText w:val="•"/>
      <w:numFmt w:val="bullet"/>
      <w:start w:val="1"/>
    </w:lvl>
  </w:abstractNum>
  <w:abstractNum w:abstractNumId="11">
    <w:nsid w:val="7E0F6384"/>
    <w:multiLevelType w:val="hybridMultilevel"/>
    <w:lvl w:ilvl="0">
      <w:lvlJc w:val="left"/>
      <w:lvlText w:val="•"/>
      <w:numFmt w:val="bullet"/>
      <w:start w:val="1"/>
    </w:lvl>
  </w:abstractNum>
  <w:abstractNum w:abstractNumId="12">
    <w:nsid w:val="2B4B8B53"/>
    <w:multiLevelType w:val="hybridMultilevel"/>
    <w:lvl w:ilvl="0">
      <w:lvlJc w:val="left"/>
      <w:lvlText w:val="•"/>
      <w:numFmt w:val="bullet"/>
      <w:start w:val="1"/>
    </w:lvl>
  </w:abstractNum>
  <w:abstractNum w:abstractNumId="13">
    <w:nsid w:val="72E3413A"/>
    <w:multiLevelType w:val="hybridMultilevel"/>
    <w:lvl w:ilvl="0">
      <w:lvlJc w:val="left"/>
      <w:lvlText w:val="•"/>
      <w:numFmt w:val="bullet"/>
      <w:start w:val="1"/>
    </w:lvl>
  </w:abstractNum>
  <w:abstractNum w:abstractNumId="14">
    <w:nsid w:val="116AE494"/>
    <w:multiLevelType w:val="hybridMultilevel"/>
    <w:lvl w:ilvl="0">
      <w:lvlJc w:val="left"/>
      <w:lvlText w:val="•"/>
      <w:numFmt w:val="bullet"/>
      <w:start w:val="1"/>
    </w:lvl>
  </w:abstractNum>
  <w:abstractNum w:abstractNumId="15">
    <w:nsid w:val="3494B2FB"/>
    <w:multiLevelType w:val="hybridMultilevel"/>
    <w:lvl w:ilvl="0">
      <w:lvlJc w:val="left"/>
      <w:lvlText w:val="•"/>
      <w:numFmt w:val="bullet"/>
      <w:start w:val="1"/>
    </w:lvl>
  </w:abstractNum>
  <w:abstractNum w:abstractNumId="16">
    <w:nsid w:val="B13A31"/>
    <w:multiLevelType w:val="hybridMultilevel"/>
    <w:lvl w:ilvl="0">
      <w:lvlJc w:val="left"/>
      <w:lvlText w:val="•"/>
      <w:numFmt w:val="bullet"/>
      <w:start w:val="1"/>
    </w:lvl>
  </w:abstractNum>
  <w:abstractNum w:abstractNumId="17">
    <w:nsid w:val="64429599"/>
    <w:multiLevelType w:val="hybridMultilevel"/>
    <w:lvl w:ilvl="0">
      <w:lvlJc w:val="left"/>
      <w:lvlText w:val="•"/>
      <w:numFmt w:val="bullet"/>
      <w:start w:val="1"/>
    </w:lvl>
  </w:abstractNum>
  <w:abstractNum w:abstractNumId="18">
    <w:nsid w:val="631F1690"/>
    <w:multiLevelType w:val="hybridMultilevel"/>
    <w:lvl w:ilvl="0">
      <w:lvlJc w:val="left"/>
      <w:lvlText w:val="•"/>
      <w:numFmt w:val="bullet"/>
      <w:start w:val="1"/>
    </w:lvl>
  </w:abstractNum>
  <w:abstractNum w:abstractNumId="19">
    <w:nsid w:val="25973E32"/>
    <w:multiLevelType w:val="hybridMultilevel"/>
    <w:lvl w:ilvl="0">
      <w:lvlJc w:val="left"/>
      <w:lvlText w:val="•"/>
      <w:numFmt w:val="bullet"/>
      <w:start w:val="1"/>
    </w:lvl>
  </w:abstractNum>
  <w:abstractNum w:abstractNumId="20">
    <w:nsid w:val="EAD6F57"/>
    <w:multiLevelType w:val="hybridMultilevel"/>
    <w:lvl w:ilvl="0">
      <w:lvlJc w:val="left"/>
      <w:lvlText w:val="•"/>
      <w:numFmt w:val="bullet"/>
      <w:start w:val="1"/>
    </w:lvl>
  </w:abstractNum>
  <w:abstractNum w:abstractNumId="21">
    <w:nsid w:val="6EC9D844"/>
    <w:multiLevelType w:val="hybridMultilevel"/>
    <w:lvl w:ilvl="0">
      <w:lvlJc w:val="left"/>
      <w:lvlText w:val="•"/>
      <w:numFmt w:val="bullet"/>
      <w:start w:val="1"/>
    </w:lvl>
  </w:abstractNum>
  <w:abstractNum w:abstractNumId="22">
    <w:nsid w:val="5C49EAEE"/>
    <w:multiLevelType w:val="hybridMultilevel"/>
    <w:lvl w:ilvl="0">
      <w:lvlJc w:val="left"/>
      <w:lvlText w:val="•"/>
      <w:numFmt w:val="bullet"/>
      <w:start w:val="1"/>
    </w:lvl>
  </w:abstractNum>
  <w:abstractNum w:abstractNumId="23">
    <w:nsid w:val="64AF49B"/>
    <w:multiLevelType w:val="hybridMultilevel"/>
    <w:lvl w:ilvl="0">
      <w:lvlJc w:val="left"/>
      <w:lvlText w:val="•"/>
      <w:numFmt w:val="bullet"/>
      <w:start w:val="1"/>
    </w:lvl>
  </w:abstractNum>
  <w:abstractNum w:abstractNumId="24">
    <w:nsid w:val="397C46BC"/>
    <w:multiLevelType w:val="hybridMultilevel"/>
    <w:lvl w:ilvl="0">
      <w:lvlJc w:val="left"/>
      <w:lvlText w:val="•"/>
      <w:numFmt w:val="bullet"/>
      <w:start w:val="1"/>
    </w:lvl>
  </w:abstractNum>
  <w:abstractNum w:abstractNumId="25">
    <w:nsid w:val="7E448DE9"/>
    <w:multiLevelType w:val="hybridMultilevel"/>
    <w:lvl w:ilvl="0">
      <w:lvlJc w:val="left"/>
      <w:lvlText w:val="•"/>
      <w:numFmt w:val="bullet"/>
      <w:start w:val="1"/>
    </w:lvl>
  </w:abstractNum>
  <w:abstractNum w:abstractNumId="26">
    <w:nsid w:val="5A9CC3E5"/>
    <w:multiLevelType w:val="hybridMultilevel"/>
    <w:lvl w:ilvl="0">
      <w:lvlJc w:val="left"/>
      <w:lvlText w:val="•"/>
      <w:numFmt w:val="bullet"/>
      <w:start w:val="1"/>
    </w:lvl>
  </w:abstractNum>
  <w:abstractNum w:abstractNumId="27">
    <w:nsid w:val="1AFE3625"/>
    <w:multiLevelType w:val="hybridMultilevel"/>
    <w:lvl w:ilvl="0">
      <w:lvlJc w:val="left"/>
      <w:lvlText w:val="•"/>
      <w:numFmt w:val="bullet"/>
      <w:start w:val="1"/>
    </w:lvl>
  </w:abstractNum>
  <w:abstractNum w:abstractNumId="28">
    <w:nsid w:val="3CA88ECF"/>
    <w:multiLevelType w:val="hybridMultilevel"/>
    <w:lvl w:ilvl="0">
      <w:lvlJc w:val="left"/>
      <w:lvlText w:val="•"/>
      <w:numFmt w:val="bullet"/>
      <w:start w:val="1"/>
    </w:lvl>
  </w:abstractNum>
  <w:abstractNum w:abstractNumId="29">
    <w:nsid w:val="6EBE4208"/>
    <w:multiLevelType w:val="hybridMultilevel"/>
    <w:lvl w:ilvl="0">
      <w:lvlJc w:val="left"/>
      <w:lvlText w:val="•"/>
      <w:numFmt w:val="bullet"/>
      <w:start w:val="1"/>
    </w:lvl>
  </w:abstractNum>
  <w:abstractNum w:abstractNumId="30">
    <w:nsid w:val="C058DF5"/>
    <w:multiLevelType w:val="hybridMultilevel"/>
    <w:lvl w:ilvl="0">
      <w:lvlJc w:val="left"/>
      <w:lvlText w:val="•"/>
      <w:numFmt w:val="bullet"/>
      <w:start w:val="1"/>
    </w:lvl>
  </w:abstractNum>
  <w:abstractNum w:abstractNumId="31">
    <w:nsid w:val="CBE5BE9"/>
    <w:multiLevelType w:val="hybridMultilevel"/>
    <w:lvl w:ilvl="0">
      <w:lvlJc w:val="left"/>
      <w:lvlText w:val="•"/>
      <w:numFmt w:val="bullet"/>
      <w:start w:val="1"/>
    </w:lvl>
  </w:abstractNum>
  <w:abstractNum w:abstractNumId="32">
    <w:nsid w:val="3102BBE2"/>
    <w:multiLevelType w:val="hybridMultilevel"/>
    <w:lvl w:ilvl="0">
      <w:lvlJc w:val="left"/>
      <w:lvlText w:val="•"/>
      <w:numFmt w:val="bullet"/>
      <w:start w:val="1"/>
    </w:lvl>
  </w:abstractNum>
  <w:abstractNum w:abstractNumId="33">
    <w:nsid w:val="26A02C5E"/>
    <w:multiLevelType w:val="hybridMultilevel"/>
    <w:lvl w:ilvl="0">
      <w:lvlJc w:val="left"/>
      <w:lvlText w:val="•"/>
      <w:numFmt w:val="bullet"/>
      <w:start w:val="1"/>
    </w:lvl>
  </w:abstractNum>
  <w:abstractNum w:abstractNumId="34">
    <w:nsid w:val="541C8153"/>
    <w:multiLevelType w:val="hybridMultilevel"/>
    <w:lvl w:ilvl="0">
      <w:lvlJc w:val="left"/>
      <w:lvlText w:val="•"/>
      <w:numFmt w:val="bullet"/>
      <w:start w:val="1"/>
    </w:lvl>
  </w:abstractNum>
  <w:abstractNum w:abstractNumId="35">
    <w:nsid w:val="67906F60"/>
    <w:multiLevelType w:val="hybridMultilevel"/>
    <w:lvl w:ilvl="0">
      <w:lvlJc w:val="left"/>
      <w:lvlText w:val="•"/>
      <w:numFmt w:val="bullet"/>
      <w:start w:val="1"/>
    </w:lvl>
  </w:abstractNum>
  <w:abstractNum w:abstractNumId="36">
    <w:nsid w:val="10DB9DAA"/>
    <w:multiLevelType w:val="hybridMultilevel"/>
    <w:lvl w:ilvl="0">
      <w:lvlJc w:val="left"/>
      <w:lvlText w:val="•"/>
      <w:numFmt w:val="bullet"/>
      <w:start w:val="1"/>
    </w:lvl>
  </w:abstractNum>
  <w:abstractNum w:abstractNumId="37">
    <w:nsid w:val="697D2D2"/>
    <w:multiLevelType w:val="hybridMultilevel"/>
    <w:lvl w:ilvl="0">
      <w:lvlJc w:val="left"/>
      <w:lvlText w:val="•"/>
      <w:numFmt w:val="bullet"/>
      <w:start w:val="1"/>
    </w:lvl>
  </w:abstractNum>
  <w:abstractNum w:abstractNumId="38">
    <w:nsid w:val="6D68AB2"/>
    <w:multiLevelType w:val="hybridMultilevel"/>
    <w:lvl w:ilvl="0">
      <w:lvlJc w:val="left"/>
      <w:lvlText w:val="•"/>
      <w:numFmt w:val="bullet"/>
      <w:start w:val="1"/>
    </w:lvl>
  </w:abstractNum>
  <w:abstractNum w:abstractNumId="39">
    <w:nsid w:val="3A966CD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0">
    <w:nsid w:val="63F37E85"/>
    <w:multiLevelType w:val="hybridMultilevel"/>
    <w:lvl w:ilvl="0">
      <w:lvlJc w:val="left"/>
      <w:lvlText w:val="(%1)"/>
      <w:numFmt w:val="decimal"/>
      <w:start w:val="1"/>
    </w:lvl>
  </w:abstractNum>
  <w:abstractNum w:abstractNumId="41">
    <w:nsid w:val="5895F5FA"/>
    <w:multiLevelType w:val="hybridMultilevel"/>
    <w:lvl w:ilvl="0">
      <w:lvlJc w:val="left"/>
      <w:lvlText w:val="(%1)"/>
      <w:numFmt w:val="decimal"/>
      <w:start w:val="1"/>
    </w:lvl>
  </w:abstractNum>
  <w:abstractNum w:abstractNumId="42">
    <w:nsid w:val="38A5D054"/>
    <w:multiLevelType w:val="hybridMultilevel"/>
    <w:lvl w:ilvl="0">
      <w:lvlJc w:val="left"/>
      <w:lvlText w:val="(%1)"/>
      <w:numFmt w:val="decimal"/>
      <w:start w:val="1"/>
    </w:lvl>
  </w:abstractNum>
  <w:abstractNum w:abstractNumId="43">
    <w:nsid w:val="F3F09D8"/>
    <w:multiLevelType w:val="hybridMultilevel"/>
    <w:lvl w:ilvl="0">
      <w:lvlJc w:val="left"/>
      <w:lvlText w:val="%1."/>
      <w:numFmt w:val="lowerRoman"/>
      <w:start w:val="1"/>
    </w:lvl>
  </w:abstractNum>
  <w:abstractNum w:abstractNumId="44">
    <w:nsid w:val="4B793735"/>
    <w:multiLevelType w:val="hybridMultilevel"/>
    <w:lvl w:ilvl="0">
      <w:lvlJc w:val="left"/>
      <w:lvlText w:val="•"/>
      <w:numFmt w:val="bullet"/>
      <w:start w:val="1"/>
    </w:lvl>
  </w:abstractNum>
  <w:abstractNum w:abstractNumId="45">
    <w:nsid w:val="4A10B4E8"/>
    <w:multiLevelType w:val="hybridMultilevel"/>
    <w:lvl w:ilvl="0">
      <w:lvlJc w:val="left"/>
      <w:lvlText w:val="(%1)"/>
      <w:numFmt w:val="decimal"/>
      <w:start w:val="1"/>
    </w:lvl>
  </w:abstractNum>
  <w:abstractNum w:abstractNumId="46">
    <w:nsid w:val="43D3BCD4"/>
    <w:multiLevelType w:val="hybridMultilevel"/>
    <w:lvl w:ilvl="0">
      <w:lvlJc w:val="left"/>
      <w:lvlText w:val="•"/>
      <w:numFmt w:val="bullet"/>
      <w:start w:val="1"/>
    </w:lvl>
  </w:abstractNum>
  <w:abstractNum w:abstractNumId="47">
    <w:nsid w:val="4C2A7166"/>
    <w:multiLevelType w:val="hybridMultilevel"/>
    <w:lvl w:ilvl="0">
      <w:lvlJc w:val="left"/>
      <w:lvlText w:val="•"/>
      <w:numFmt w:val="bullet"/>
      <w:start w:val="1"/>
    </w:lvl>
  </w:abstractNum>
  <w:abstractNum w:abstractNumId="48">
    <w:nsid w:val="2E534A82"/>
    <w:multiLevelType w:val="hybridMultilevel"/>
    <w:lvl w:ilvl="0">
      <w:lvlJc w:val="left"/>
      <w:lvlText w:val="&amp;"/>
      <w:numFmt w:val="bullet"/>
      <w:start w:val="1"/>
    </w:lvl>
  </w:abstractNum>
  <w:abstractNum w:abstractNumId="49">
    <w:nsid w:val="26F2D364"/>
    <w:multiLevelType w:val="hybridMultilevel"/>
    <w:lvl w:ilvl="0">
      <w:lvlJc w:val="left"/>
      <w:lvlText w:val="✓"/>
      <w:numFmt w:val="bullet"/>
      <w:start w:val="1"/>
    </w:lvl>
  </w:abstractNum>
  <w:abstractNum w:abstractNumId="50">
    <w:nsid w:val="71C1AF98"/>
    <w:multiLevelType w:val="hybridMultilevel"/>
    <w:lvl w:ilvl="0">
      <w:lvlJc w:val="left"/>
      <w:lvlText w:val="✓"/>
      <w:numFmt w:val="bullet"/>
      <w:start w:val="1"/>
    </w:lvl>
  </w:abstractNum>
  <w:abstractNum w:abstractNumId="51">
    <w:nsid w:val="3D00B9D9"/>
    <w:multiLevelType w:val="hybridMultilevel"/>
    <w:lvl w:ilvl="0">
      <w:lvlJc w:val="left"/>
      <w:lvlText w:val="•"/>
      <w:numFmt w:val="bullet"/>
      <w:start w:val="1"/>
    </w:lvl>
  </w:abstractNum>
  <w:abstractNum w:abstractNumId="52">
    <w:nsid w:val="15BCABA8"/>
    <w:multiLevelType w:val="hybridMultilevel"/>
    <w:lvl w:ilvl="0">
      <w:lvlJc w:val="left"/>
      <w:lvlText w:val="•"/>
      <w:numFmt w:val="bullet"/>
      <w:start w:val="1"/>
    </w:lvl>
  </w:abstractNum>
  <w:abstractNum w:abstractNumId="53">
    <w:nsid w:val="4E0B9A87"/>
    <w:multiLevelType w:val="hybridMultilevel"/>
    <w:lvl w:ilvl="0">
      <w:lvlJc w:val="left"/>
      <w:lvlText w:val="•"/>
      <w:numFmt w:val="bullet"/>
      <w:start w:val="1"/>
    </w:lvl>
  </w:abstractNum>
  <w:abstractNum w:abstractNumId="54">
    <w:nsid w:val="434BAE75"/>
    <w:multiLevelType w:val="hybridMultilevel"/>
    <w:lvl w:ilvl="0">
      <w:lvlJc w:val="left"/>
      <w:lvlText w:val="•"/>
      <w:numFmt w:val="bullet"/>
      <w:start w:val="1"/>
    </w:lvl>
  </w:abstractNum>
  <w:abstractNum w:abstractNumId="55">
    <w:nsid w:val="4F38F265"/>
    <w:multiLevelType w:val="hybridMultilevel"/>
    <w:lvl w:ilvl="0">
      <w:lvlJc w:val="left"/>
      <w:lvlText w:val="•"/>
      <w:numFmt w:val="bullet"/>
      <w:start w:val="1"/>
    </w:lvl>
  </w:abstractNum>
  <w:abstractNum w:abstractNumId="56">
    <w:nsid w:val="4C502870"/>
    <w:multiLevelType w:val="hybridMultilevel"/>
    <w:lvl w:ilvl="0">
      <w:lvlJc w:val="left"/>
      <w:lvlText w:val="•"/>
      <w:numFmt w:val="bullet"/>
      <w:start w:val="1"/>
    </w:lvl>
  </w:abstractNum>
  <w:abstractNum w:abstractNumId="57">
    <w:nsid w:val="1DE8725A"/>
    <w:multiLevelType w:val="hybridMultilevel"/>
    <w:lvl w:ilvl="0">
      <w:lvlJc w:val="left"/>
      <w:lvlText w:val="•"/>
      <w:numFmt w:val="bullet"/>
      <w:start w:val="1"/>
    </w:lvl>
  </w:abstractNum>
  <w:abstractNum w:abstractNumId="58">
    <w:nsid w:val="6A37288A"/>
    <w:multiLevelType w:val="hybridMultilevel"/>
    <w:lvl w:ilvl="0">
      <w:lvlJc w:val="left"/>
      <w:lvlText w:val="(%1)"/>
      <w:numFmt w:val="decimal"/>
      <w:start w:val="1"/>
    </w:lvl>
  </w:abstractNum>
  <w:abstractNum w:abstractNumId="59">
    <w:nsid w:val="8F8B73F"/>
    <w:multiLevelType w:val="hybridMultilevel"/>
    <w:lvl w:ilvl="0">
      <w:lvlJc w:val="left"/>
      <w:lvlText w:val="(%1)"/>
      <w:numFmt w:val="decimal"/>
      <w:start w:val="5"/>
    </w:lvl>
  </w:abstractNum>
  <w:abstractNum w:abstractNumId="60">
    <w:nsid w:val="CA6B462"/>
    <w:multiLevelType w:val="hybridMultilevel"/>
    <w:lvl w:ilvl="0">
      <w:lvlJc w:val="left"/>
      <w:lvlText w:val="(%1)"/>
      <w:numFmt w:val="decimal"/>
      <w:start w:val="1"/>
    </w:lvl>
  </w:abstractNum>
  <w:abstractNum w:abstractNumId="61">
    <w:nsid w:val="763CB680"/>
    <w:multiLevelType w:val="hybridMultilevel"/>
    <w:lvl w:ilvl="0">
      <w:lvlJc w:val="left"/>
      <w:lvlText w:val="(%1)"/>
      <w:numFmt w:val="decimal"/>
      <w:start w:val="1"/>
    </w:lvl>
  </w:abstractNum>
  <w:abstractNum w:abstractNumId="62">
    <w:nsid w:val="15B71329"/>
    <w:multiLevelType w:val="hybridMultilevel"/>
    <w:lvl w:ilvl="0">
      <w:lvlJc w:val="left"/>
      <w:lvlText w:val="*"/>
      <w:numFmt w:val="bullet"/>
      <w:start w:val="1"/>
    </w:lvl>
  </w:abstractNum>
  <w:abstractNum w:abstractNumId="63">
    <w:nsid w:val="3DA97044"/>
    <w:multiLevelType w:val="hybridMultilevel"/>
    <w:lvl w:ilvl="0">
      <w:lvlJc w:val="left"/>
      <w:lvlText w:val="(%1)"/>
      <w:numFmt w:val="decimal"/>
      <w:start w:val="1"/>
    </w:lvl>
  </w:abstractNum>
  <w:abstractNum w:abstractNumId="64">
    <w:nsid w:val="1CDCE2DE"/>
    <w:multiLevelType w:val="hybridMultilevel"/>
    <w:lvl w:ilvl="0">
      <w:lvlJc w:val="left"/>
      <w:lvlText w:val="(%1)"/>
      <w:numFmt w:val="decimal"/>
      <w:start w:val="1"/>
    </w:lvl>
  </w:abstractNum>
  <w:abstractNum w:abstractNumId="65">
    <w:nsid w:val="69D3947C"/>
    <w:multiLevelType w:val="hybridMultilevel"/>
    <w:lvl w:ilvl="0">
      <w:lvlJc w:val="left"/>
      <w:lvlText w:val="•"/>
      <w:numFmt w:val="bullet"/>
      <w:start w:val="1"/>
    </w:lvl>
  </w:abstractNum>
  <w:abstractNum w:abstractNumId="66">
    <w:nsid w:val="2539DFA5"/>
    <w:multiLevelType w:val="hybridMultilevel"/>
    <w:lvl w:ilvl="0">
      <w:lvlJc w:val="left"/>
      <w:lvlText w:val="(%1)"/>
      <w:numFmt w:val="decimal"/>
      <w:start w:val="1"/>
    </w:lvl>
  </w:abstractNum>
  <w:abstractNum w:abstractNumId="67">
    <w:nsid w:val="2DB88089"/>
    <w:multiLevelType w:val="hybridMultilevel"/>
    <w:lvl w:ilvl="0">
      <w:lvlJc w:val="left"/>
      <w:lvlText w:val="(%1)"/>
      <w:numFmt w:val="decimal"/>
      <w:start w:val="3"/>
    </w:lvl>
  </w:abstractNum>
  <w:abstractNum w:abstractNumId="68">
    <w:nsid w:val="706B674E"/>
    <w:multiLevelType w:val="hybridMultilevel"/>
    <w:lvl w:ilvl="0">
      <w:lvlJc w:val="left"/>
      <w:lvlText w:val="%1"/>
      <w:numFmt w:val="decimal"/>
      <w:start w:val="97"/>
    </w:lvl>
  </w:abstractNum>
  <w:abstractNum w:abstractNumId="69">
    <w:nsid w:val="2C106A57"/>
    <w:multiLevelType w:val="hybridMultilevel"/>
    <w:lvl w:ilvl="0">
      <w:lvlJc w:val="left"/>
      <w:lvlText w:val="†"/>
      <w:numFmt w:val="bullet"/>
      <w:start w:val="1"/>
    </w:lvl>
    <w:lvl w:ilvl="1">
      <w:lvlJc w:val="left"/>
      <w:lvlText w:val="%2"/>
      <w:numFmt w:val="decimal"/>
      <w:start w:val="104"/>
    </w:lvl>
  </w:abstractNum>
  <w:abstractNum w:abstractNumId="70">
    <w:nsid w:val="684EED59"/>
    <w:multiLevelType w:val="hybridMultilevel"/>
    <w:lvl w:ilvl="0">
      <w:lvlJc w:val="left"/>
      <w:lvlText w:val="%1."/>
      <w:numFmt w:val="decimal"/>
      <w:start w:val="1"/>
    </w:lvl>
    <w:lvl w:ilvl="1">
      <w:lvlJc w:val="left"/>
      <w:lvlText w:val="(%2)"/>
      <w:numFmt w:val="lowerLetter"/>
      <w:start w:val="1"/>
    </w:lvl>
  </w:abstractNum>
  <w:abstractNum w:abstractNumId="71">
    <w:nsid w:val="545EE5D3"/>
    <w:multiLevelType w:val="hybridMultilevel"/>
    <w:lvl w:ilvl="0">
      <w:lvlJc w:val="left"/>
      <w:lvlText w:val="(%1)"/>
      <w:numFmt w:val="lowerLetter"/>
      <w:start w:val="5"/>
    </w:lvl>
  </w:abstractNum>
  <w:abstractNum w:abstractNumId="72">
    <w:nsid w:val="4A66051"/>
    <w:multiLevelType w:val="hybridMultilevel"/>
    <w:lvl w:ilvl="0">
      <w:lvlJc w:val="left"/>
      <w:lvlText w:val="%1"/>
      <w:numFmt w:val="decimal"/>
      <w:start w:val="1"/>
    </w:lvl>
    <w:lvl w:ilvl="1">
      <w:lvlJc w:val="left"/>
      <w:lvlText w:val="(%2)"/>
      <w:numFmt w:val="lowerLetter"/>
      <w:start w:val="6"/>
    </w:lvl>
  </w:abstractNum>
  <w:abstractNum w:abstractNumId="73">
    <w:nsid w:val="20F4BDAD"/>
    <w:multiLevelType w:val="hybridMultilevel"/>
    <w:lvl w:ilvl="0">
      <w:lvlJc w:val="left"/>
      <w:lvlText w:val="%1."/>
      <w:numFmt w:val="decimal"/>
      <w:start w:val="3"/>
    </w:lvl>
    <w:lvl w:ilvl="1">
      <w:lvlJc w:val="left"/>
      <w:lvlText w:val="(%2)"/>
      <w:numFmt w:val="lowerLetter"/>
      <w:start w:val="1"/>
    </w:lvl>
  </w:abstractNum>
  <w:abstractNum w:abstractNumId="74">
    <w:nsid w:val="639DEFAC"/>
    <w:multiLevelType w:val="hybridMultilevel"/>
    <w:lvl w:ilvl="0">
      <w:lvlJc w:val="left"/>
      <w:lvlText w:val="%1."/>
      <w:numFmt w:val="decimal"/>
      <w:start w:val="4"/>
    </w:lvl>
    <w:lvl w:ilvl="1">
      <w:lvlJc w:val="left"/>
      <w:lvlText w:val="(%2)"/>
      <w:numFmt w:val="lowerLetter"/>
      <w:start w:val="1"/>
    </w:lvl>
  </w:abstractNum>
  <w:abstractNum w:abstractNumId="75">
    <w:nsid w:val="501F9786"/>
    <w:multiLevelType w:val="hybridMultilevel"/>
    <w:lvl w:ilvl="0">
      <w:lvlJc w:val="left"/>
      <w:lvlText w:val="%1"/>
      <w:numFmt w:val="decimal"/>
      <w:start w:val="1"/>
    </w:lvl>
    <w:lvl w:ilvl="1">
      <w:lvlJc w:val="left"/>
      <w:lvlText w:val="(%2)"/>
      <w:numFmt w:val="lowerLetter"/>
      <w:start w:val="4"/>
    </w:lvl>
  </w:abstractNum>
  <w:abstractNum w:abstractNumId="76">
    <w:nsid w:val="6B057295"/>
    <w:multiLevelType w:val="hybridMultilevel"/>
    <w:lvl w:ilvl="0">
      <w:lvlJc w:val="left"/>
      <w:lvlText w:val="%1."/>
      <w:numFmt w:val="decimal"/>
      <w:start w:val="7"/>
    </w:lvl>
    <w:lvl w:ilvl="1">
      <w:lvlJc w:val="left"/>
      <w:lvlText w:val="%2"/>
      <w:numFmt w:val="lowerLetter"/>
      <w:start w:val="1"/>
    </w:lvl>
  </w:abstractNum>
  <w:abstractNum w:abstractNumId="77">
    <w:nsid w:val="2771AC80"/>
    <w:multiLevelType w:val="hybridMultilevel"/>
    <w:lvl w:ilvl="0">
      <w:lvlJc w:val="left"/>
      <w:lvlText w:val="(%1)"/>
      <w:numFmt w:val="lowerLetter"/>
      <w:start w:val="1"/>
    </w:lvl>
  </w:abstractNum>
  <w:abstractNum w:abstractNumId="78">
    <w:nsid w:val="1C4A08EC"/>
    <w:multiLevelType w:val="hybridMultilevel"/>
    <w:lvl w:ilvl="0">
      <w:lvlJc w:val="left"/>
      <w:lvlText w:val="(%1)"/>
      <w:numFmt w:val="lowerLetter"/>
      <w:start w:val="2"/>
    </w:lvl>
  </w:abstractNum>
  <w:abstractNum w:abstractNumId="79">
    <w:nsid w:val="1958BD17"/>
    <w:multiLevelType w:val="hybridMultilevel"/>
    <w:lvl w:ilvl="0">
      <w:lvlJc w:val="left"/>
      <w:lvlText w:val="(%1)"/>
      <w:numFmt w:val="lowerLetter"/>
      <w:start w:val="1"/>
    </w:lvl>
  </w:abstractNum>
  <w:abstractNum w:abstractNumId="80">
    <w:nsid w:val="4E647FE4"/>
    <w:multiLevelType w:val="hybridMultilevel"/>
    <w:lvl w:ilvl="0">
      <w:lvlJc w:val="left"/>
      <w:lvlText w:val="(%1)"/>
      <w:numFmt w:val="lowerLetter"/>
      <w:start w:val="3"/>
    </w:lvl>
  </w:abstractNum>
  <w:abstractNum w:abstractNumId="81">
    <w:nsid w:val="E0BB885"/>
    <w:multiLevelType w:val="hybridMultilevel"/>
    <w:lvl w:ilvl="0">
      <w:lvlJc w:val="left"/>
      <w:lvlText w:val="(%1)"/>
      <w:numFmt w:val="lowerLetter"/>
      <w:start w:val="5"/>
    </w:lvl>
  </w:abstractNum>
  <w:abstractNum w:abstractNumId="82">
    <w:nsid w:val="565976F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83">
    <w:nsid w:val="64212B8C"/>
    <w:multiLevelType w:val="hybridMultilevel"/>
    <w:lvl w:ilvl="0">
      <w:lvlJc w:val="left"/>
      <w:lvlText w:val="(%1)"/>
      <w:numFmt w:val="lowerRoman"/>
      <w:start w:val="11"/>
    </w:lvl>
  </w:abstractNum>
  <w:abstractNum w:abstractNumId="84">
    <w:nsid w:val="5C17530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2"/>
    </w:lvl>
  </w:abstractNum>
  <w:abstractNum w:abstractNumId="85">
    <w:nsid w:val="19A52566"/>
    <w:multiLevelType w:val="hybridMultilevel"/>
    <w:lvl w:ilvl="0">
      <w:lvlJc w:val="left"/>
      <w:lvlText w:val="%1"/>
      <w:numFmt w:val="lowerLetter"/>
      <w:start w:val="1"/>
    </w:lvl>
    <w:lvl w:ilvl="1">
      <w:lvlJc w:val="left"/>
      <w:lvlText w:val="(%2)"/>
      <w:numFmt w:val="lowerRoman"/>
      <w:start w:val="13"/>
    </w:lvl>
    <w:lvl w:ilvl="2">
      <w:lvlJc w:val="left"/>
      <w:lvlText w:val="%3"/>
      <w:numFmt w:val="lowerRoman"/>
      <w:start w:val="1"/>
    </w:lvl>
  </w:abstractNum>
  <w:abstractNum w:abstractNumId="86">
    <w:nsid w:val="335A1DF1"/>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87">
    <w:nsid w:val="28677B7C"/>
    <w:multiLevelType w:val="hybridMultilevel"/>
    <w:lvl w:ilvl="0">
      <w:lvlJc w:val="left"/>
      <w:lvlText w:val="%1"/>
      <w:numFmt w:val="lowerRoman"/>
      <w:start w:val="1"/>
    </w:lvl>
    <w:lvl w:ilvl="1">
      <w:lvlJc w:val="left"/>
      <w:lvlText w:val="(%2)"/>
      <w:numFmt w:val="lowerRoman"/>
      <w:start w:val="1"/>
    </w:lvl>
  </w:abstractNum>
  <w:abstractNum w:abstractNumId="88">
    <w:nsid w:val="378D97C0"/>
    <w:multiLevelType w:val="hybridMultilevel"/>
    <w:lvl w:ilvl="0">
      <w:lvlJc w:val="left"/>
      <w:lvlText w:val="(%1)"/>
      <w:numFmt w:val="lowerRoman"/>
      <w:start w:val="2"/>
    </w:lvl>
    <w:lvl w:ilvl="1">
      <w:lvlJc w:val="left"/>
      <w:lvlText w:val="%2"/>
      <w:numFmt w:val="lowerRoman"/>
      <w:start w:val="1"/>
    </w:lvl>
  </w:abstractNum>
  <w:abstractNum w:abstractNumId="89">
    <w:nsid w:val="1D91467C"/>
    <w:multiLevelType w:val="hybridMultilevel"/>
    <w:lvl w:ilvl="0">
      <w:lvlJc w:val="left"/>
      <w:lvlText w:val="(%1)"/>
      <w:numFmt w:val="lowerLetter"/>
      <w:start w:val="1"/>
    </w:lvl>
  </w:abstractNum>
  <w:abstractNum w:abstractNumId="90">
    <w:nsid w:val="316032BB"/>
    <w:multiLevelType w:val="hybridMultilevel"/>
    <w:lvl w:ilvl="0">
      <w:lvlJc w:val="left"/>
      <w:lvlText w:val="(%1)"/>
      <w:numFmt w:val="lowerRoman"/>
      <w:start w:val="2"/>
    </w:lvl>
  </w:abstractNum>
  <w:abstractNum w:abstractNumId="91">
    <w:nsid w:val="44344C22"/>
    <w:multiLevelType w:val="hybridMultilevel"/>
    <w:lvl w:ilvl="0">
      <w:lvlJc w:val="left"/>
      <w:lvlText w:val="(%1)"/>
      <w:numFmt w:val="lowerLetter"/>
      <w:start w:val="4"/>
    </w:lvl>
  </w:abstractNum>
  <w:abstractNum w:abstractNumId="92">
    <w:nsid w:val="13CDFCFC"/>
    <w:multiLevelType w:val="hybridMultilevel"/>
    <w:lvl w:ilvl="0">
      <w:lvlJc w:val="left"/>
      <w:lvlText w:val="(%1)"/>
      <w:numFmt w:val="lowerLetter"/>
      <w:start w:val="11"/>
    </w:lvl>
  </w:abstractNum>
  <w:abstractNum w:abstractNumId="93">
    <w:nsid w:val="471745E4"/>
    <w:multiLevelType w:val="hybridMultilevel"/>
    <w:lvl w:ilvl="0">
      <w:lvlJc w:val="left"/>
      <w:lvlText w:val="(%1)"/>
      <w:numFmt w:val="lowerLetter"/>
      <w:start w:val="13"/>
    </w:lvl>
  </w:abstractNum>
  <w:abstractNum w:abstractNumId="94">
    <w:nsid w:val="1DDBC66"/>
    <w:multiLevelType w:val="hybridMultilevel"/>
    <w:lvl w:ilvl="0">
      <w:lvlJc w:val="left"/>
      <w:lvlText w:val="(%1)"/>
      <w:numFmt w:val="lowerLetter"/>
      <w:start w:val="3"/>
    </w:lvl>
  </w:abstractNum>
  <w:abstractNum w:abstractNumId="95">
    <w:nsid w:val="30AADFDA"/>
    <w:multiLevelType w:val="hybridMultilevel"/>
    <w:lvl w:ilvl="0">
      <w:lvlJc w:val="left"/>
      <w:lvlText w:val="(%1)"/>
      <w:numFmt w:val="lowerRoman"/>
      <w:start w:val="4"/>
    </w:lvl>
  </w:abstractNum>
  <w:abstractNum w:abstractNumId="96">
    <w:nsid w:val="30EADA61"/>
    <w:multiLevelType w:val="hybridMultilevel"/>
    <w:lvl w:ilvl="0">
      <w:lvlJc w:val="left"/>
      <w:lvlText w:val="(%1)"/>
      <w:numFmt w:val="lowerLetter"/>
      <w:start w:val="6"/>
    </w:lvl>
  </w:abstractNum>
  <w:abstractNum w:abstractNumId="97">
    <w:nsid w:val="27179C0B"/>
    <w:multiLevelType w:val="hybridMultilevel"/>
    <w:lvl w:ilvl="0">
      <w:lvlJc w:val="left"/>
      <w:lvlText w:val="(%1)"/>
      <w:numFmt w:val="lowerLetter"/>
      <w:start w:val="1"/>
    </w:lvl>
  </w:abstractNum>
  <w:abstractNum w:abstractNumId="98">
    <w:nsid w:val="5E636063"/>
    <w:multiLevelType w:val="hybridMultilevel"/>
    <w:lvl w:ilvl="0">
      <w:lvlJc w:val="left"/>
      <w:lvlText w:val="(%1)"/>
      <w:numFmt w:val="lowerLetter"/>
      <w:start w:val="2"/>
    </w:lvl>
    <w:lvl w:ilvl="1">
      <w:lvlJc w:val="left"/>
      <w:lvlText w:val="(%2)"/>
      <w:numFmt w:val="lowerRoman"/>
      <w:start w:val="1"/>
    </w:lvl>
  </w:abstractNum>
  <w:abstractNum w:abstractNumId="99">
    <w:nsid w:val="215641AF"/>
    <w:multiLevelType w:val="hybridMultilevel"/>
    <w:lvl w:ilvl="0">
      <w:lvlJc w:val="left"/>
      <w:lvlText w:val="(%1)"/>
      <w:numFmt w:val="lowerRoman"/>
      <w:start w:val="4"/>
    </w:lvl>
  </w:abstractNum>
  <w:abstractNum w:abstractNumId="100">
    <w:nsid w:val="53280662"/>
    <w:multiLevelType w:val="hybridMultilevel"/>
    <w:lvl w:ilvl="0">
      <w:lvlJc w:val="left"/>
      <w:lvlText w:val="(%1)"/>
      <w:numFmt w:val="lowerLetter"/>
      <w:start w:val="2"/>
    </w:lvl>
  </w:abstractNum>
  <w:abstractNum w:abstractNumId="101">
    <w:nsid w:val="46B24DBC"/>
    <w:multiLevelType w:val="hybridMultilevel"/>
    <w:lvl w:ilvl="0">
      <w:lvlJc w:val="left"/>
      <w:lvlText w:val="(%1)"/>
      <w:numFmt w:val="lowerLetter"/>
      <w:start w:val="2"/>
    </w:lvl>
  </w:abstractNum>
  <w:abstractNum w:abstractNumId="102">
    <w:nsid w:val="75B52783"/>
    <w:multiLevelType w:val="hybridMultilevel"/>
    <w:lvl w:ilvl="0">
      <w:lvlJc w:val="left"/>
      <w:lvlText w:val="(%1)"/>
      <w:numFmt w:val="lowerLetter"/>
      <w:start w:val="1"/>
    </w:lvl>
  </w:abstractNum>
  <w:abstractNum w:abstractNumId="103">
    <w:nsid w:val="57CE66B4"/>
    <w:multiLevelType w:val="hybridMultilevel"/>
    <w:lvl w:ilvl="0">
      <w:lvlJc w:val="left"/>
      <w:lvlText w:val="(%1)"/>
      <w:numFmt w:val="lowerLetter"/>
      <w:start w:val="1"/>
    </w:lvl>
  </w:abstractNum>
  <w:abstractNum w:abstractNumId="104">
    <w:nsid w:val="67A70B69"/>
    <w:multiLevelType w:val="hybridMultilevel"/>
    <w:lvl w:ilvl="0">
      <w:lvlJc w:val="left"/>
      <w:lvlText w:val="(%1)"/>
      <w:numFmt w:val="lowerLetter"/>
      <w:start w:val="2"/>
    </w:lvl>
  </w:abstractNum>
  <w:abstractNum w:abstractNumId="105">
    <w:nsid w:val="5953172F"/>
    <w:multiLevelType w:val="hybridMultilevel"/>
    <w:lvl w:ilvl="0">
      <w:lvlJc w:val="left"/>
      <w:lvlText w:val="(%1)"/>
      <w:numFmt w:val="lowerLetter"/>
      <w:start w:val="5"/>
    </w:lvl>
  </w:abstractNum>
  <w:abstractNum w:abstractNumId="106">
    <w:nsid w:val="27EDFE3A"/>
    <w:multiLevelType w:val="hybridMultilevel"/>
    <w:lvl w:ilvl="0">
      <w:lvlJc w:val="left"/>
      <w:lvlText w:val="(%1)"/>
      <w:numFmt w:val="lowerLetter"/>
      <w:start w:val="7"/>
    </w:lvl>
  </w:abstractNum>
  <w:abstractNum w:abstractNumId="107">
    <w:nsid w:val="52AC7DFF"/>
    <w:multiLevelType w:val="hybridMultilevel"/>
    <w:lvl w:ilvl="0">
      <w:lvlJc w:val="left"/>
      <w:lvlText w:val="(%1)"/>
      <w:numFmt w:val="lowerLetter"/>
      <w:start w:val="1"/>
    </w:lvl>
  </w:abstractNum>
  <w:abstractNum w:abstractNumId="108">
    <w:nsid w:val="C4C3AF"/>
    <w:multiLevelType w:val="hybridMultilevel"/>
    <w:lvl w:ilvl="0">
      <w:lvlJc w:val="left"/>
      <w:lvlText w:val="(%1)"/>
      <w:numFmt w:val="lowerLetter"/>
      <w:start w:val="1"/>
    </w:lvl>
  </w:abstractNum>
  <w:abstractNum w:abstractNumId="109">
    <w:nsid w:val="44380727"/>
    <w:multiLevelType w:val="hybridMultilevel"/>
    <w:lvl w:ilvl="0">
      <w:lvlJc w:val="left"/>
      <w:lvlText w:val="(%1)"/>
      <w:numFmt w:val="lowerRoman"/>
      <w:start w:val="3"/>
    </w:lvl>
  </w:abstractNum>
  <w:abstractNum w:abstractNumId="110">
    <w:nsid w:val="6C053B16"/>
    <w:multiLevelType w:val="hybridMultilevel"/>
    <w:lvl w:ilvl="0">
      <w:lvlJc w:val="left"/>
      <w:lvlText w:val="(%1)"/>
      <w:numFmt w:val="lowerLetter"/>
      <w:start w:val="2"/>
    </w:lvl>
  </w:abstractNum>
  <w:abstractNum w:abstractNumId="111">
    <w:nsid w:val="4F294393"/>
    <w:multiLevelType w:val="hybridMultilevel"/>
    <w:lvl w:ilvl="0">
      <w:lvlJc w:val="left"/>
      <w:lvlText w:val="(%1)"/>
      <w:numFmt w:val="lowerLetter"/>
      <w:start w:val="1"/>
    </w:lvl>
  </w:abstractNum>
  <w:abstractNum w:abstractNumId="112">
    <w:nsid w:val="5243BFAC"/>
    <w:multiLevelType w:val="hybridMultilevel"/>
    <w:lvl w:ilvl="0">
      <w:lvlJc w:val="left"/>
      <w:lvlText w:val="(%1)"/>
      <w:numFmt w:val="lowerLetter"/>
      <w:start w:val="2"/>
    </w:lvl>
  </w:abstractNum>
  <w:abstractNum w:abstractNumId="113">
    <w:nsid w:val="425EB207"/>
    <w:multiLevelType w:val="hybridMultilevel"/>
    <w:lvl w:ilvl="0">
      <w:lvlJc w:val="left"/>
      <w:lvlText w:val="(%1)"/>
      <w:numFmt w:val="lowerLetter"/>
      <w:start w:val="1"/>
    </w:lvl>
  </w:abstractNum>
  <w:abstractNum w:abstractNumId="114">
    <w:nsid w:val="334A6F1F"/>
    <w:multiLevelType w:val="hybridMultilevel"/>
    <w:lvl w:ilvl="0">
      <w:lvlJc w:val="left"/>
      <w:lvlText w:val="%1"/>
      <w:numFmt w:val="lowerLetter"/>
      <w:start w:val="1"/>
    </w:lvl>
    <w:lvl w:ilvl="1">
      <w:lvlJc w:val="left"/>
      <w:lvlText w:val="(%2)"/>
      <w:numFmt w:val="lowerLetter"/>
      <w:start w:val="1"/>
    </w:lvl>
  </w:abstractNum>
  <w:abstractNum w:abstractNumId="115">
    <w:nsid w:val="2E5B12B8"/>
    <w:multiLevelType w:val="hybridMultilevel"/>
    <w:lvl w:ilvl="0">
      <w:lvlJc w:val="left"/>
      <w:lvlText w:val="(%1)"/>
      <w:numFmt w:val="lowerLetter"/>
      <w:start w:val="9"/>
    </w:lvl>
    <w:lvl w:ilvl="1">
      <w:lvlJc w:val="left"/>
      <w:lvlText w:val="%2"/>
      <w:numFmt w:val="lowerLetter"/>
      <w:start w:val="1"/>
    </w:lvl>
  </w:abstractNum>
  <w:abstractNum w:abstractNumId="116">
    <w:nsid w:val="5C03D76D"/>
    <w:multiLevelType w:val="hybridMultilevel"/>
    <w:lvl w:ilvl="0">
      <w:lvlJc w:val="left"/>
      <w:lvlText w:val="(%1)"/>
      <w:numFmt w:val="lowerLetter"/>
      <w:start w:val="5"/>
    </w:lvl>
  </w:abstractNum>
  <w:abstractNum w:abstractNumId="117">
    <w:nsid w:val="66A48D11"/>
    <w:multiLevelType w:val="hybridMultilevel"/>
    <w:lvl w:ilvl="0">
      <w:lvlJc w:val="left"/>
      <w:lvlText w:val="(%1)"/>
      <w:numFmt w:val="lowerLetter"/>
      <w:start w:val="1"/>
    </w:lvl>
  </w:abstractNum>
  <w:abstractNum w:abstractNumId="118">
    <w:nsid w:val="56C28E34"/>
    <w:multiLevelType w:val="hybridMultilevel"/>
    <w:lvl w:ilvl="0">
      <w:lvlJc w:val="left"/>
      <w:lvlText w:val="(%1)"/>
      <w:numFmt w:val="lowerLetter"/>
      <w:start w:val="1"/>
    </w:lvl>
  </w:abstractNum>
  <w:abstractNum w:abstractNumId="119">
    <w:nsid w:val="13916F2D"/>
    <w:multiLevelType w:val="hybridMultilevel"/>
    <w:lvl w:ilvl="0">
      <w:lvlJc w:val="left"/>
      <w:lvlText w:val="(%1)"/>
      <w:numFmt w:val="lowerLetter"/>
      <w:start w:val="1"/>
    </w:lvl>
  </w:abstractNum>
  <w:abstractNum w:abstractNumId="120">
    <w:nsid w:val="435D38D"/>
    <w:multiLevelType w:val="hybridMultilevel"/>
    <w:lvl w:ilvl="0">
      <w:lvlJc w:val="left"/>
      <w:lvlText w:val="(%1)"/>
      <w:numFmt w:val="lowerLetter"/>
      <w:start w:val="1"/>
    </w:lvl>
  </w:abstractNum>
  <w:abstractNum w:abstractNumId="121">
    <w:nsid w:val="822C0EF"/>
    <w:multiLevelType w:val="hybridMultilevel"/>
    <w:lvl w:ilvl="0">
      <w:lvlJc w:val="left"/>
      <w:lvlText w:val="(%1)"/>
      <w:numFmt w:val="lowerLetter"/>
      <w:start w:val="1"/>
    </w:lvl>
  </w:abstractNum>
  <w:abstractNum w:abstractNumId="122">
    <w:nsid w:val="57C5BB4F"/>
    <w:multiLevelType w:val="hybridMultilevel"/>
    <w:lvl w:ilvl="0">
      <w:lvlJc w:val="left"/>
      <w:lvlText w:val="(%1)"/>
      <w:numFmt w:val="lowerRoman"/>
      <w:start w:val="1"/>
    </w:lvl>
  </w:abstractNum>
  <w:abstractNum w:abstractNumId="123">
    <w:nsid w:val="1803D089"/>
    <w:multiLevelType w:val="hybridMultilevel"/>
    <w:lvl w:ilvl="0">
      <w:lvlJc w:val="left"/>
      <w:lvlText w:val="(%1)"/>
      <w:numFmt w:val="lowerLetter"/>
      <w:start w:val="2"/>
    </w:lvl>
    <w:lvl w:ilvl="1">
      <w:lvlJc w:val="left"/>
      <w:lvlText w:val="(%2)"/>
      <w:numFmt w:val="lowerRoman"/>
      <w:start w:val="1"/>
    </w:lvl>
  </w:abstractNum>
  <w:abstractNum w:abstractNumId="124">
    <w:nsid w:val="4F3A06D4"/>
    <w:multiLevelType w:val="hybridMultilevel"/>
    <w:lvl w:ilvl="0">
      <w:lvlJc w:val="left"/>
      <w:lvlText w:val="(%1)"/>
      <w:numFmt w:val="lowerRoman"/>
      <w:start w:val="3"/>
    </w:lvl>
  </w:abstractNum>
  <w:abstractNum w:abstractNumId="125">
    <w:nsid w:val="59A377B6"/>
    <w:multiLevelType w:val="hybridMultilevel"/>
    <w:lvl w:ilvl="0">
      <w:lvlJc w:val="left"/>
      <w:lvlText w:val="(%1)"/>
      <w:numFmt w:val="lowerLetter"/>
      <w:start w:val="1"/>
    </w:lvl>
  </w:abstractNum>
  <w:abstractNum w:abstractNumId="126">
    <w:nsid w:val="48AEB063"/>
    <w:multiLevelType w:val="hybridMultilevel"/>
    <w:lvl w:ilvl="0">
      <w:lvlJc w:val="left"/>
      <w:lvlText w:val="(%1)"/>
      <w:numFmt w:val="lowerLetter"/>
      <w:start w:val="3"/>
    </w:lvl>
  </w:abstractNum>
  <w:abstractNum w:abstractNumId="127">
    <w:nsid w:val="24E135"/>
    <w:multiLevelType w:val="hybridMultilevel"/>
    <w:lvl w:ilvl="0">
      <w:lvlJc w:val="left"/>
      <w:lvlText w:val="(%1)"/>
      <w:numFmt w:val="lowerLetter"/>
      <w:start w:val="8"/>
    </w:lvl>
  </w:abstractNum>
  <w:abstractNum w:abstractNumId="128">
    <w:nsid w:val="BB13C1"/>
    <w:multiLevelType w:val="hybridMultilevel"/>
    <w:lvl w:ilvl="0">
      <w:lvlJc w:val="left"/>
      <w:lvlText w:val="(%1)"/>
      <w:numFmt w:val="lowerLetter"/>
      <w:start w:val="12"/>
    </w:lvl>
  </w:abstractNum>
  <w:abstractNum w:abstractNumId="129">
    <w:nsid w:val="271210C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30">
    <w:nsid w:val="217B22E4"/>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5"/>
    </w:lvl>
  </w:abstractNum>
  <w:abstractNum w:abstractNumId="131">
    <w:nsid w:val="53E31A24"/>
    <w:multiLevelType w:val="hybridMultilevel"/>
    <w:lvl w:ilvl="0">
      <w:lvlJc w:val="left"/>
      <w:lvlText w:val="(%1)"/>
      <w:numFmt w:val="lowerRoman"/>
      <w:start w:val="3"/>
    </w:lvl>
  </w:abstractNum>
  <w:abstractNum w:abstractNumId="132">
    <w:nsid w:val="6DC45E83"/>
    <w:multiLevelType w:val="hybridMultilevel"/>
    <w:lvl w:ilvl="0">
      <w:lvlJc w:val="left"/>
      <w:lvlText w:val="(%1)"/>
      <w:numFmt w:val="lowerLetter"/>
      <w:start w:val="3"/>
    </w:lvl>
  </w:abstractNum>
  <w:abstractNum w:abstractNumId="133">
    <w:nsid w:val="17304A67"/>
    <w:multiLevelType w:val="hybridMultilevel"/>
    <w:lvl w:ilvl="0">
      <w:lvlJc w:val="left"/>
      <w:lvlText w:val="(%1)"/>
      <w:numFmt w:val="lowerLetter"/>
      <w:start w:val="1"/>
    </w:lvl>
  </w:abstractNum>
  <w:abstractNum w:abstractNumId="134">
    <w:nsid w:val="2BB180D8"/>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5">
    <w:nsid w:val="556B69E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36">
    <w:nsid w:val="7083619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37">
    <w:nsid w:val="539F7F12"/>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138">
    <w:nsid w:val="2817E7EC"/>
    <w:multiLevelType w:val="hybridMultilevel"/>
    <w:lvl w:ilvl="0">
      <w:lvlJc w:val="left"/>
      <w:lvlText w:val="(%1)"/>
      <w:numFmt w:val="lowerLetter"/>
      <w:start w:val="1"/>
    </w:lvl>
  </w:abstractNum>
  <w:abstractNum w:abstractNumId="139">
    <w:nsid w:val="71482545"/>
    <w:multiLevelType w:val="hybridMultilevel"/>
    <w:lvl w:ilvl="0">
      <w:lvlJc w:val="left"/>
      <w:lvlText w:val="(%1)"/>
      <w:numFmt w:val="lowerRoman"/>
      <w:start w:val="1"/>
    </w:lvl>
  </w:abstractNum>
  <w:abstractNum w:abstractNumId="140">
    <w:nsid w:val="17D78639"/>
    <w:multiLevelType w:val="hybridMultilevel"/>
    <w:lvl w:ilvl="0">
      <w:lvlJc w:val="left"/>
      <w:lvlText w:val="(%1)"/>
      <w:numFmt w:val="lowerLetter"/>
      <w:start w:val="1"/>
    </w:lvl>
    <w:lvl w:ilvl="1">
      <w:lvlJc w:val="left"/>
      <w:lvlText w:val="(%2)"/>
      <w:numFmt w:val="lowerRoman"/>
      <w:start w:val="1"/>
    </w:lvl>
  </w:abstractNum>
  <w:abstractNum w:abstractNumId="141">
    <w:nsid w:val="141D2302"/>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142">
    <w:nsid w:val="407168D8"/>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43">
    <w:nsid w:val="6A1B45E5"/>
    <w:multiLevelType w:val="hybridMultilevel"/>
    <w:lvl w:ilvl="0">
      <w:lvlJc w:val="left"/>
      <w:lvlText w:val="(%1)"/>
      <w:numFmt w:val="lowerRoman"/>
      <w:start w:val="4"/>
    </w:lvl>
  </w:abstractNum>
  <w:abstractNum w:abstractNumId="144">
    <w:nsid w:val="567BD50A"/>
    <w:multiLevelType w:val="hybridMultilevel"/>
    <w:lvl w:ilvl="0">
      <w:lvlJc w:val="left"/>
      <w:lvlText w:val="%1"/>
      <w:numFmt w:val="lowerLetter"/>
      <w:start w:val="1"/>
    </w:lvl>
    <w:lvl w:ilvl="1">
      <w:lvlJc w:val="left"/>
      <w:lvlText w:val="(%2)"/>
      <w:numFmt w:val="lowerLetter"/>
      <w:start w:val="22"/>
    </w:lvl>
  </w:abstractNum>
  <w:abstractNum w:abstractNumId="145">
    <w:nsid w:val="73BBD7F8"/>
    <w:multiLevelType w:val="hybridMultilevel"/>
    <w:lvl w:ilvl="0">
      <w:lvlJc w:val="left"/>
      <w:lvlText w:val="(%1)"/>
      <w:numFmt w:val="lowerLetter"/>
      <w:start w:val="2"/>
    </w:lvl>
    <w:lvl w:ilvl="1">
      <w:lvlJc w:val="left"/>
      <w:lvlText w:val="%2"/>
      <w:numFmt w:val="lowerLetter"/>
      <w:start w:val="1"/>
    </w:lvl>
  </w:abstractNum>
  <w:abstractNum w:abstractNumId="146">
    <w:nsid w:val="1876589D"/>
    <w:multiLevelType w:val="hybridMultilevel"/>
    <w:lvl w:ilvl="0">
      <w:lvlJc w:val="left"/>
      <w:lvlText w:val="(%1)"/>
      <w:numFmt w:val="lowerLetter"/>
      <w:start w:val="1"/>
    </w:lvl>
  </w:abstractNum>
  <w:abstractNum w:abstractNumId="147">
    <w:nsid w:val="327FAC77"/>
    <w:multiLevelType w:val="hybridMultilevel"/>
    <w:lvl w:ilvl="0">
      <w:lvlJc w:val="left"/>
      <w:lvlText w:val="(%1)"/>
      <w:numFmt w:val="lowerRoman"/>
      <w:start w:val="1"/>
    </w:lvl>
  </w:abstractNum>
  <w:abstractNum w:abstractNumId="148">
    <w:nsid w:val="5A60650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4"/>
    </w:lvl>
  </w:abstractNum>
  <w:abstractNum w:abstractNumId="149">
    <w:nsid w:val="6F38E6D1"/>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50">
    <w:nsid w:val="46111BA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1">
    <w:nsid w:val="5E963896"/>
    <w:multiLevelType w:val="hybridMultilevel"/>
    <w:lvl w:ilvl="0">
      <w:lvlJc w:val="left"/>
      <w:lvlText w:val="(%1)"/>
      <w:numFmt w:val="lowerLetter"/>
      <w:start w:val="7"/>
    </w:lvl>
  </w:abstractNum>
  <w:abstractNum w:abstractNumId="152">
    <w:nsid w:val="775BA7C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3">
    <w:nsid w:val="1DD6D6F4"/>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154">
    <w:nsid w:val="769A091F"/>
    <w:multiLevelType w:val="hybridMultilevel"/>
    <w:lvl w:ilvl="0">
      <w:lvlJc w:val="left"/>
      <w:lvlText w:val="(%1)"/>
      <w:numFmt w:val="lowerRoman"/>
      <w:start w:val="3"/>
    </w:lvl>
  </w:abstractNum>
  <w:abstractNum w:abstractNumId="155">
    <w:nsid w:val="4695AE95"/>
    <w:multiLevelType w:val="hybridMultilevel"/>
    <w:lvl w:ilvl="0">
      <w:lvlJc w:val="left"/>
      <w:lvlText w:val="(%1)"/>
      <w:numFmt w:val="lowerLetter"/>
      <w:start w:val="1"/>
    </w:lvl>
  </w:abstractNum>
  <w:abstractNum w:abstractNumId="156">
    <w:nsid w:val="777A4EAA"/>
    <w:multiLevelType w:val="hybridMultilevel"/>
    <w:lvl w:ilvl="0">
      <w:lvlJc w:val="left"/>
      <w:lvlText w:val="(%1)"/>
      <w:numFmt w:val="lowerLetter"/>
      <w:start w:val="3"/>
    </w:lvl>
  </w:abstractNum>
  <w:abstractNum w:abstractNumId="157">
    <w:nsid w:val="3F48B982"/>
    <w:multiLevelType w:val="hybridMultilevel"/>
    <w:lvl w:ilvl="0">
      <w:lvlJc w:val="left"/>
      <w:lvlText w:val="(%1)"/>
      <w:numFmt w:val="lowerLetter"/>
      <w:start w:val="1"/>
    </w:lvl>
  </w:abstractNum>
  <w:abstractNum w:abstractNumId="158">
    <w:nsid w:val="46BA8FCA"/>
    <w:multiLevelType w:val="hybridMultilevel"/>
    <w:lvl w:ilvl="0">
      <w:lvlJc w:val="left"/>
      <w:lvlText w:val="(%1)"/>
      <w:numFmt w:val="lowerLetter"/>
      <w:start w:val="1"/>
    </w:lvl>
  </w:abstractNum>
  <w:abstractNum w:abstractNumId="159">
    <w:nsid w:val="7835626C"/>
    <w:multiLevelType w:val="hybridMultilevel"/>
    <w:lvl w:ilvl="0">
      <w:lvlJc w:val="left"/>
      <w:lvlText w:val="(%1)"/>
      <w:numFmt w:val="lowerLetter"/>
      <w:start w:val="1"/>
    </w:lvl>
  </w:abstractNum>
  <w:abstractNum w:abstractNumId="160">
    <w:nsid w:val="665ACA49"/>
    <w:multiLevelType w:val="hybridMultilevel"/>
    <w:lvl w:ilvl="0">
      <w:lvlJc w:val="left"/>
      <w:lvlText w:val="%1"/>
      <w:numFmt w:val="lowerLetter"/>
      <w:start w:val="1"/>
    </w:lvl>
    <w:lvl w:ilvl="1">
      <w:lvlJc w:val="left"/>
      <w:lvlText w:val="(%2)"/>
      <w:numFmt w:val="lowerLetter"/>
      <w:start w:val="2"/>
    </w:lvl>
  </w:abstractNum>
  <w:abstractNum w:abstractNumId="161">
    <w:nsid w:val="6835B2AE"/>
    <w:multiLevelType w:val="hybridMultilevel"/>
    <w:lvl w:ilvl="0">
      <w:lvlJc w:val="left"/>
      <w:lvlText w:val="(%1)"/>
      <w:numFmt w:val="lowerLetter"/>
      <w:start w:val="9"/>
    </w:lvl>
    <w:lvl w:ilvl="1">
      <w:lvlJc w:val="left"/>
      <w:lvlText w:val="%2"/>
      <w:numFmt w:val="lowerLetter"/>
      <w:start w:val="1"/>
    </w:lvl>
  </w:abstractNum>
  <w:abstractNum w:abstractNumId="162">
    <w:nsid w:val="4C187C90"/>
    <w:multiLevelType w:val="hybridMultilevel"/>
    <w:lvl w:ilvl="0">
      <w:lvlJc w:val="left"/>
      <w:lvlText w:val="(%1)"/>
      <w:numFmt w:val="lowerRoman"/>
      <w:start w:val="2"/>
    </w:lvl>
  </w:abstractNum>
  <w:abstractNum w:abstractNumId="163">
    <w:nsid w:val="541F28CD"/>
    <w:multiLevelType w:val="hybridMultilevel"/>
    <w:lvl w:ilvl="0">
      <w:lvlJc w:val="left"/>
      <w:lvlText w:val="%1"/>
      <w:numFmt w:val="lowerLetter"/>
      <w:start w:val="1"/>
    </w:lvl>
    <w:lvl w:ilvl="1">
      <w:lvlJc w:val="left"/>
      <w:lvlText w:val="(%2)"/>
      <w:numFmt w:val="lowerLetter"/>
      <w:start w:val="1"/>
    </w:lvl>
  </w:abstractNum>
  <w:abstractNum w:abstractNumId="164">
    <w:nsid w:val="7F65FD16"/>
    <w:multiLevelType w:val="hybridMultilevel"/>
    <w:lvl w:ilvl="0">
      <w:lvlJc w:val="left"/>
      <w:lvlText w:val="(%1)"/>
      <w:numFmt w:val="lowerLetter"/>
      <w:start w:val="9"/>
    </w:lvl>
    <w:lvl w:ilvl="1">
      <w:lvlJc w:val="left"/>
      <w:lvlText w:val="%2"/>
      <w:numFmt w:val="lowerLetter"/>
      <w:start w:val="1"/>
    </w:lvl>
  </w:abstractNum>
  <w:abstractNum w:abstractNumId="165">
    <w:nsid w:val="77C9FD68"/>
    <w:multiLevelType w:val="hybridMultilevel"/>
    <w:lvl w:ilvl="0">
      <w:lvlJc w:val="left"/>
      <w:lvlText w:val="(%1)"/>
      <w:numFmt w:val="lowerLetter"/>
      <w:start w:val="2"/>
    </w:lvl>
  </w:abstractNum>
  <w:abstractNum w:abstractNumId="166">
    <w:nsid w:val="298A92BA"/>
    <w:multiLevelType w:val="hybridMultilevel"/>
    <w:lvl w:ilvl="0">
      <w:lvlJc w:val="left"/>
      <w:lvlText w:val="(%1)"/>
      <w:numFmt w:val="lowerLetter"/>
      <w:start w:val="1"/>
    </w:lvl>
  </w:abstractNum>
  <w:abstractNum w:abstractNumId="167">
    <w:nsid w:val="6FE95EAC"/>
    <w:multiLevelType w:val="hybridMultilevel"/>
    <w:lvl w:ilvl="0">
      <w:lvlJc w:val="left"/>
      <w:lvlText w:val="(%1)"/>
      <w:numFmt w:val="lowerLetter"/>
      <w:start w:val="1"/>
    </w:lvl>
  </w:abstractNum>
  <w:abstractNum w:abstractNumId="168">
    <w:nsid w:val="4B697C7A"/>
    <w:multiLevelType w:val="hybridMultilevel"/>
    <w:lvl w:ilvl="0">
      <w:lvlJc w:val="left"/>
      <w:lvlText w:val="(%1)"/>
      <w:numFmt w:val="lowerLetter"/>
      <w:start w:val="10"/>
    </w:lvl>
  </w:abstractNum>
  <w:abstractNum w:abstractNumId="169">
    <w:nsid w:val="51A27AA6"/>
    <w:multiLevelType w:val="hybridMultilevel"/>
    <w:lvl w:ilvl="0">
      <w:lvlJc w:val="left"/>
      <w:lvlText w:val="(%1)"/>
      <w:numFmt w:val="lowerRoman"/>
      <w:start w:val="4"/>
    </w:lvl>
  </w:abstractNum>
  <w:abstractNum w:abstractNumId="170">
    <w:nsid w:val="613183F2"/>
    <w:multiLevelType w:val="hybridMultilevel"/>
    <w:lvl w:ilvl="0">
      <w:lvlJc w:val="left"/>
      <w:lvlText w:val="(%1)"/>
      <w:numFmt w:val="lowerLetter"/>
      <w:start w:val="1"/>
    </w:lvl>
  </w:abstractNum>
  <w:abstractNum w:abstractNumId="171">
    <w:nsid w:val="634102B4"/>
    <w:multiLevelType w:val="hybridMultilevel"/>
    <w:lvl w:ilvl="0">
      <w:lvlJc w:val="left"/>
      <w:lvlText w:val="(%1)"/>
      <w:numFmt w:val="lowerLetter"/>
      <w:start w:val="1"/>
    </w:lvl>
  </w:abstractNum>
  <w:abstractNum w:abstractNumId="172">
    <w:nsid w:val="65BF9DA8"/>
    <w:multiLevelType w:val="hybridMultilevel"/>
    <w:lvl w:ilvl="0">
      <w:lvlJc w:val="left"/>
      <w:lvlText w:val="(%1)"/>
      <w:numFmt w:val="lowerLetter"/>
      <w:start w:val="2"/>
    </w:lvl>
  </w:abstractNum>
  <w:abstractNum w:abstractNumId="173">
    <w:nsid w:val="21A2ECCA"/>
    <w:multiLevelType w:val="hybridMultilevel"/>
    <w:lvl w:ilvl="0">
      <w:lvlJc w:val="left"/>
      <w:lvlText w:val="(%1)"/>
      <w:numFmt w:val="lowerLetter"/>
      <w:start w:val="1"/>
    </w:lvl>
  </w:abstractNum>
  <w:abstractNum w:abstractNumId="174">
    <w:nsid w:val="4D5C4899"/>
    <w:multiLevelType w:val="hybridMultilevel"/>
    <w:lvl w:ilvl="0">
      <w:lvlJc w:val="left"/>
      <w:lvlText w:val="(%1)"/>
      <w:numFmt w:val="lowerLetter"/>
      <w:start w:val="2"/>
    </w:lvl>
  </w:abstractNum>
  <w:abstractNum w:abstractNumId="175">
    <w:nsid w:val="3C3B72B2"/>
    <w:multiLevelType w:val="hybridMultilevel"/>
    <w:lvl w:ilvl="0">
      <w:lvlJc w:val="left"/>
      <w:lvlText w:val="(%1)"/>
      <w:numFmt w:val="lowerLetter"/>
      <w:start w:val="1"/>
    </w:lvl>
  </w:abstractNum>
  <w:abstractNum w:abstractNumId="176">
    <w:nsid w:val="155EC4C2"/>
    <w:multiLevelType w:val="hybridMultilevel"/>
    <w:lvl w:ilvl="0">
      <w:lvlJc w:val="left"/>
      <w:lvlText w:val="(%1)"/>
      <w:numFmt w:val="lowerLetter"/>
      <w:start w:val="7"/>
    </w:lvl>
  </w:abstractNum>
  <w:abstractNum w:abstractNumId="177">
    <w:nsid w:val="65D2A137"/>
    <w:multiLevelType w:val="hybridMultilevel"/>
    <w:lvl w:ilvl="0">
      <w:lvlJc w:val="left"/>
      <w:lvlText w:val="(%1)"/>
      <w:numFmt w:val="lowerLetter"/>
      <w:start w:val="1"/>
    </w:lvl>
    <w:lvl w:ilvl="1">
      <w:lvlJc w:val="left"/>
      <w:lvlText w:val="(%2)"/>
      <w:numFmt w:val="lowerRoman"/>
      <w:start w:val="1"/>
    </w:lvl>
  </w:abstractNum>
  <w:abstractNum w:abstractNumId="178">
    <w:nsid w:val="6EBB1F2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179">
    <w:nsid w:val="6FBF29C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80">
    <w:nsid w:val="550B8808"/>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181">
    <w:nsid w:val="34CC3ACF"/>
    <w:multiLevelType w:val="hybridMultilevel"/>
    <w:lvl w:ilvl="0">
      <w:lvlJc w:val="left"/>
      <w:lvlText w:val="(%1)"/>
      <w:numFmt w:val="lowerLetter"/>
      <w:start w:val="8"/>
    </w:lvl>
    <w:lvl w:ilvl="1">
      <w:lvlJc w:val="left"/>
      <w:lvlText w:val="(%2)"/>
      <w:numFmt w:val="lowerRoman"/>
      <w:start w:val="1"/>
    </w:lvl>
  </w:abstractNum>
  <w:abstractNum w:abstractNumId="182">
    <w:nsid w:val="4E556261"/>
    <w:multiLevelType w:val="hybridMultilevel"/>
    <w:lvl w:ilvl="0">
      <w:lvlJc w:val="left"/>
      <w:lvlText w:val="%1"/>
      <w:numFmt w:val="lowerLetter"/>
      <w:start w:val="1"/>
    </w:lvl>
    <w:lvl w:ilvl="1">
      <w:lvlJc w:val="left"/>
      <w:lvlText w:val="(%2)"/>
      <w:numFmt w:val="lowerLetter"/>
      <w:start w:val="14"/>
    </w:lvl>
  </w:abstractNum>
  <w:abstractNum w:abstractNumId="183">
    <w:nsid w:val="4C672FC9"/>
    <w:multiLevelType w:val="hybridMultilevel"/>
    <w:lvl w:ilvl="0">
      <w:lvlJc w:val="left"/>
      <w:lvlText w:val="(%1)"/>
      <w:numFmt w:val="lowerLetter"/>
      <w:start w:val="35"/>
    </w:lvl>
    <w:lvl w:ilvl="1">
      <w:lvlJc w:val="left"/>
      <w:lvlText w:val="(%2)"/>
      <w:numFmt w:val="lowerLetter"/>
      <w:start w:val="18"/>
    </w:lvl>
  </w:abstractNum>
  <w:abstractNum w:abstractNumId="184">
    <w:nsid w:val="52A311C3"/>
    <w:multiLevelType w:val="hybridMultilevel"/>
    <w:lvl w:ilvl="0">
      <w:lvlJc w:val="left"/>
      <w:lvlText w:val="(%1)"/>
      <w:numFmt w:val="lowerLetter"/>
      <w:start w:val="1"/>
    </w:lvl>
  </w:abstractNum>
  <w:abstractNum w:abstractNumId="185">
    <w:nsid w:val="44EF6B80"/>
    <w:multiLevelType w:val="hybridMultilevel"/>
    <w:lvl w:ilvl="0">
      <w:lvlJc w:val="left"/>
      <w:lvlText w:val="(%1)"/>
      <w:numFmt w:val="lowerRoman"/>
      <w:start w:val="1"/>
    </w:lvl>
  </w:abstractNum>
  <w:abstractNum w:abstractNumId="186">
    <w:nsid w:val="12FCDE5E"/>
    <w:multiLevelType w:val="hybridMultilevel"/>
    <w:lvl w:ilvl="0">
      <w:lvlJc w:val="left"/>
      <w:lvlText w:val="(%1)"/>
      <w:numFmt w:val="lowerLetter"/>
      <w:start w:val="1"/>
    </w:lvl>
  </w:abstractNum>
  <w:abstractNum w:abstractNumId="187">
    <w:nsid w:val="4A1D606E"/>
    <w:multiLevelType w:val="hybridMultilevel"/>
    <w:lvl w:ilvl="0">
      <w:lvlJc w:val="left"/>
      <w:lvlText w:val="(%1)"/>
      <w:numFmt w:val="lowerLetter"/>
      <w:start w:val="1"/>
    </w:lvl>
  </w:abstractNum>
  <w:abstractNum w:abstractNumId="188">
    <w:nsid w:val="4382503"/>
    <w:multiLevelType w:val="hybridMultilevel"/>
    <w:lvl w:ilvl="0">
      <w:lvlJc w:val="left"/>
      <w:lvlText w:val="(%1)"/>
      <w:numFmt w:val="lowerLetter"/>
      <w:start w:val="4"/>
    </w:lvl>
  </w:abstractNum>
  <w:abstractNum w:abstractNumId="189">
    <w:nsid w:val="59B76E28"/>
    <w:multiLevelType w:val="hybridMultilevel"/>
    <w:lvl w:ilvl="0">
      <w:lvlJc w:val="left"/>
      <w:lvlText w:val="(%1)"/>
      <w:numFmt w:val="lowerRoman"/>
      <w:start w:val="2"/>
    </w:lvl>
  </w:abstractNum>
  <w:abstractNum w:abstractNumId="190">
    <w:nsid w:val="4252C2DA"/>
    <w:multiLevelType w:val="hybridMultilevel"/>
    <w:lvl w:ilvl="0">
      <w:lvlJc w:val="left"/>
      <w:lvlText w:val="(%1)"/>
      <w:numFmt w:val="decimal"/>
      <w:start w:val="1"/>
    </w:lvl>
  </w:abstractNum>
  <w:abstractNum w:abstractNumId="191">
    <w:nsid w:val="6A92EF4C"/>
    <w:multiLevelType w:val="hybridMultilevel"/>
    <w:lvl w:ilvl="0">
      <w:lvlJc w:val="left"/>
      <w:lvlText w:val="(%1)"/>
      <w:numFmt w:val="decimal"/>
      <w:start w:val="4"/>
    </w:lvl>
  </w:abstractNum>
  <w:abstractNum w:abstractNumId="192">
    <w:nsid w:val="41ED20D7"/>
    <w:multiLevelType w:val="hybridMultilevel"/>
    <w:lvl w:ilvl="0">
      <w:lvlJc w:val="left"/>
      <w:lvlText w:val="(%1)"/>
      <w:numFmt w:val="lowerLetter"/>
      <w:start w:val="1"/>
    </w:lvl>
  </w:abstractNum>
  <w:abstractNum w:abstractNumId="193">
    <w:nsid w:val="E6B3F6A"/>
    <w:multiLevelType w:val="hybridMultilevel"/>
    <w:lvl w:ilvl="0">
      <w:lvlJc w:val="left"/>
      <w:lvlText w:val="(%1)"/>
      <w:numFmt w:val="lowerLetter"/>
      <w:start w:val="4"/>
    </w:lvl>
    <w:lvl w:ilvl="1">
      <w:lvlJc w:val="left"/>
      <w:lvlText w:val="(%2)"/>
      <w:numFmt w:val="lowerLetter"/>
      <w:start w:val="5"/>
    </w:lvl>
  </w:abstractNum>
  <w:abstractNum w:abstractNumId="194">
    <w:nsid w:val="3EB21819"/>
    <w:multiLevelType w:val="hybridMultilevel"/>
    <w:lvl w:ilvl="0">
      <w:lvlJc w:val="left"/>
      <w:lvlText w:val="%1"/>
      <w:numFmt w:val="lowerLetter"/>
      <w:start w:val="1"/>
    </w:lvl>
    <w:lvl w:ilvl="1">
      <w:lvlJc w:val="left"/>
      <w:lvlText w:val="(%2)"/>
      <w:numFmt w:val="lowerLetter"/>
      <w:start w:val="6"/>
    </w:lvl>
  </w:abstractNum>
  <w:abstractNum w:abstractNumId="195">
    <w:nsid w:val="41531DED"/>
    <w:multiLevelType w:val="hybridMultilevel"/>
    <w:lvl w:ilvl="0">
      <w:lvlJc w:val="left"/>
      <w:lvlText w:val="(%1)"/>
      <w:numFmt w:val="lowerLetter"/>
      <w:start w:val="61"/>
    </w:lvl>
    <w:lvl w:ilvl="1">
      <w:lvlJc w:val="left"/>
      <w:lvlText w:val="(%2)"/>
      <w:numFmt w:val="lowerLetter"/>
      <w:start w:val="7"/>
    </w:lvl>
  </w:abstractNum>
  <w:abstractNum w:abstractNumId="196">
    <w:nsid w:val="6353CD2"/>
    <w:multiLevelType w:val="hybridMultilevel"/>
    <w:lvl w:ilvl="0">
      <w:lvlJc w:val="left"/>
      <w:lvlText w:val="(%1)"/>
      <w:numFmt w:val="lowerLetter"/>
      <w:start w:val="13"/>
    </w:lvl>
  </w:abstractNum>
  <w:abstractNum w:abstractNumId="197">
    <w:nsid w:val="683CAAD3"/>
    <w:multiLevelType w:val="hybridMultilevel"/>
    <w:lvl w:ilvl="0">
      <w:lvlJc w:val="left"/>
      <w:lvlText w:val="(%1)"/>
      <w:numFmt w:val="lowerLetter"/>
      <w:start w:val="1"/>
    </w:lvl>
  </w:abstractNum>
  <w:abstractNum w:abstractNumId="198">
    <w:nsid w:val="313C7C99"/>
    <w:multiLevelType w:val="hybridMultilevel"/>
    <w:lvl w:ilvl="0">
      <w:lvlJc w:val="left"/>
      <w:lvlText w:val="(%1)"/>
      <w:numFmt w:val="lowerLetter"/>
      <w:start w:val="1"/>
    </w:lvl>
  </w:abstractNum>
  <w:abstractNum w:abstractNumId="199">
    <w:nsid w:val="519EB94C"/>
    <w:multiLevelType w:val="hybridMultilevel"/>
    <w:lvl w:ilvl="0">
      <w:lvlJc w:val="left"/>
      <w:lvlText w:val="(%1)"/>
      <w:numFmt w:val="lowerLetter"/>
      <w:start w:val="1"/>
    </w:lvl>
  </w:abstractNum>
  <w:abstractNum w:abstractNumId="200">
    <w:nsid w:val="39DF2579"/>
    <w:multiLevelType w:val="hybridMultilevel"/>
    <w:lvl w:ilvl="0">
      <w:lvlJc w:val="left"/>
      <w:lvlText w:val="(%1)"/>
      <w:numFmt w:val="lowerLetter"/>
      <w:start w:val="2"/>
    </w:lvl>
  </w:abstractNum>
  <w:abstractNum w:abstractNumId="201">
    <w:nsid w:val="126E008B"/>
    <w:multiLevelType w:val="hybridMultilevel"/>
    <w:lvl w:ilvl="0">
      <w:lvlJc w:val="left"/>
      <w:lvlText w:val="(%1)"/>
      <w:numFmt w:val="lowerLetter"/>
      <w:start w:val="35"/>
    </w:lvl>
    <w:lvl w:ilvl="1">
      <w:lvlJc w:val="left"/>
      <w:lvlText w:val="(%2)"/>
      <w:numFmt w:val="lowerLetter"/>
      <w:start w:val="5"/>
    </w:lvl>
  </w:abstractNum>
  <w:abstractNum w:abstractNumId="202">
    <w:nsid w:val="34DFBC00"/>
    <w:multiLevelType w:val="hybridMultilevel"/>
    <w:lvl w:ilvl="0">
      <w:lvlJc w:val="left"/>
      <w:lvlText w:val="(%1)"/>
      <w:numFmt w:val="lowerLetter"/>
      <w:start w:val="1"/>
    </w:lvl>
  </w:abstractNum>
  <w:abstractNum w:abstractNumId="203">
    <w:nsid w:val="1F9EC322"/>
    <w:multiLevelType w:val="hybridMultilevel"/>
    <w:lvl w:ilvl="0">
      <w:lvlJc w:val="left"/>
      <w:lvlText w:val="(%1)"/>
      <w:numFmt w:val="lowerLetter"/>
      <w:start w:val="1"/>
    </w:lvl>
  </w:abstractNum>
  <w:abstractNum w:abstractNumId="204">
    <w:nsid w:val="3410ED56"/>
    <w:multiLevelType w:val="hybridMultilevel"/>
    <w:lvl w:ilvl="0">
      <w:lvlJc w:val="left"/>
      <w:lvlText w:val="(%1)"/>
      <w:numFmt w:val="lowerLetter"/>
      <w:start w:val="1"/>
    </w:lvl>
  </w:abstractNum>
  <w:abstractNum w:abstractNumId="205">
    <w:nsid w:val="23C049A"/>
    <w:multiLevelType w:val="hybridMultilevel"/>
    <w:lvl w:ilvl="0">
      <w:lvlJc w:val="left"/>
      <w:lvlText w:val="%1"/>
      <w:numFmt w:val="lowerLetter"/>
      <w:start w:val="1"/>
    </w:lvl>
    <w:lvl w:ilvl="1">
      <w:lvlJc w:val="left"/>
      <w:lvlText w:val="(%2)"/>
      <w:numFmt w:val="lowerLetter"/>
      <w:start w:val="1"/>
    </w:lvl>
  </w:abstractNum>
  <w:abstractNum w:abstractNumId="206">
    <w:nsid w:val="5BDA35D4"/>
    <w:multiLevelType w:val="hybridMultilevel"/>
    <w:lvl w:ilvl="0">
      <w:lvlJc w:val="left"/>
      <w:lvlText w:val="(%1)"/>
      <w:numFmt w:val="lowerLetter"/>
      <w:start w:val="61"/>
    </w:lvl>
    <w:lvl w:ilvl="1">
      <w:lvlJc w:val="left"/>
      <w:lvlText w:val="%2"/>
      <w:numFmt w:val="lowerLetter"/>
      <w:start w:val="1"/>
    </w:lvl>
  </w:abstractNum>
  <w:abstractNum w:abstractNumId="207">
    <w:nsid w:val="496FB218"/>
    <w:multiLevelType w:val="hybridMultilevel"/>
    <w:lvl w:ilvl="0">
      <w:lvlJc w:val="left"/>
      <w:lvlText w:val="(%1)"/>
      <w:numFmt w:val="lowerLetter"/>
      <w:start w:val="2"/>
    </w:lvl>
  </w:abstractNum>
  <w:abstractNum w:abstractNumId="208">
    <w:nsid w:val="680EA5D1"/>
    <w:multiLevelType w:val="hybridMultilevel"/>
    <w:lvl w:ilvl="0">
      <w:lvlJc w:val="left"/>
      <w:lvlText w:val="(%1)"/>
      <w:numFmt w:val="lowerLetter"/>
      <w:start w:val="1"/>
    </w:lvl>
  </w:abstractNum>
  <w:abstractNum w:abstractNumId="209">
    <w:nsid w:val="4A9554FE"/>
    <w:multiLevelType w:val="hybridMultilevel"/>
    <w:lvl w:ilvl="0">
      <w:lvlJc w:val="left"/>
      <w:lvlText w:val="(%1)"/>
      <w:numFmt w:val="lowerLetter"/>
      <w:start w:val="3"/>
    </w:lvl>
  </w:abstractNum>
  <w:abstractNum w:abstractNumId="210">
    <w:nsid w:val="392EDBE4"/>
    <w:multiLevelType w:val="hybridMultilevel"/>
    <w:lvl w:ilvl="0">
      <w:lvlJc w:val="left"/>
      <w:lvlText w:val="(%1)"/>
      <w:numFmt w:val="lowerLetter"/>
      <w:start w:val="4"/>
    </w:lvl>
    <w:lvl w:ilvl="1">
      <w:lvlJc w:val="left"/>
      <w:lvlText w:val="(%2)"/>
      <w:numFmt w:val="lowerLetter"/>
      <w:start w:val="9"/>
    </w:lvl>
  </w:abstractNum>
  <w:abstractNum w:abstractNumId="211">
    <w:nsid w:val="3D1A2DD9"/>
    <w:multiLevelType w:val="hybridMultilevel"/>
    <w:lvl w:ilvl="0">
      <w:lvlJc w:val="left"/>
      <w:lvlText w:val="(%1)"/>
      <w:numFmt w:val="lowerRoman"/>
      <w:start w:val="2"/>
    </w:lvl>
  </w:abstractNum>
  <w:abstractNum w:abstractNumId="212">
    <w:nsid w:val="7F618FCD"/>
    <w:multiLevelType w:val="hybridMultilevel"/>
    <w:lvl w:ilvl="0">
      <w:lvlJc w:val="left"/>
      <w:lvlText w:val="(%1)"/>
      <w:numFmt w:val="lowerLetter"/>
      <w:start w:val="1"/>
    </w:lvl>
  </w:abstractNum>
  <w:abstractNum w:abstractNumId="213">
    <w:nsid w:val="7843E45"/>
    <w:multiLevelType w:val="hybridMultilevel"/>
    <w:lvl w:ilvl="0">
      <w:lvlJc w:val="left"/>
      <w:lvlText w:val="%1"/>
      <w:numFmt w:val="lowerLetter"/>
      <w:start w:val="1"/>
    </w:lvl>
    <w:lvl w:ilvl="1">
      <w:lvlJc w:val="left"/>
      <w:lvlText w:val="(%2)"/>
      <w:numFmt w:val="lowerLetter"/>
      <w:start w:val="2"/>
    </w:lvl>
  </w:abstractNum>
  <w:abstractNum w:abstractNumId="214">
    <w:nsid w:val="9815DA3"/>
    <w:multiLevelType w:val="hybridMultilevel"/>
    <w:lvl w:ilvl="0">
      <w:lvlJc w:val="left"/>
      <w:lvlText w:val="(%1)"/>
      <w:numFmt w:val="lowerLetter"/>
      <w:start w:val="35"/>
    </w:lvl>
    <w:lvl w:ilvl="1">
      <w:lvlJc w:val="left"/>
      <w:lvlText w:val="(%2)"/>
      <w:numFmt w:val="lowerLetter"/>
      <w:start w:val="3"/>
    </w:lvl>
  </w:abstractNum>
  <w:abstractNum w:abstractNumId="215">
    <w:nsid w:val="5204A191"/>
    <w:multiLevelType w:val="hybridMultilevel"/>
    <w:lvl w:ilvl="0">
      <w:lvlJc w:val="left"/>
      <w:lvlText w:val="(%1)"/>
      <w:numFmt w:val="lowerLetter"/>
      <w:start w:val="61"/>
    </w:lvl>
    <w:lvl w:ilvl="1">
      <w:lvlJc w:val="left"/>
      <w:lvlText w:val="(%2)"/>
      <w:numFmt w:val="lowerLetter"/>
      <w:start w:val="11"/>
    </w:lvl>
  </w:abstractNum>
  <w:abstractNum w:abstractNumId="216">
    <w:nsid w:val="4C73A9C6"/>
    <w:multiLevelType w:val="hybridMultilevel"/>
    <w:lvl w:ilvl="0">
      <w:lvlJc w:val="left"/>
      <w:lvlText w:val="(%1)"/>
      <w:numFmt w:val="lowerLetter"/>
      <w:start w:val="12"/>
    </w:lvl>
  </w:abstractNum>
  <w:abstractNum w:abstractNumId="217">
    <w:nsid w:val="1C7E3C01"/>
    <w:multiLevelType w:val="hybridMultilevel"/>
    <w:lvl w:ilvl="0">
      <w:lvlJc w:val="left"/>
      <w:lvlText w:val="(%1)"/>
      <w:numFmt w:val="lowerLetter"/>
      <w:start w:val="1"/>
    </w:lvl>
  </w:abstractNum>
  <w:abstractNum w:abstractNumId="218">
    <w:nsid w:val="1C2201FF"/>
    <w:multiLevelType w:val="hybridMultilevel"/>
    <w:lvl w:ilvl="0">
      <w:lvlJc w:val="left"/>
      <w:lvlText w:val="%1"/>
      <w:numFmt w:val="lowerLetter"/>
      <w:start w:val="1"/>
    </w:lvl>
    <w:lvl w:ilvl="1">
      <w:lvlJc w:val="left"/>
      <w:lvlText w:val="(%2)"/>
      <w:numFmt w:val="lowerLetter"/>
      <w:start w:val="8"/>
    </w:lvl>
  </w:abstractNum>
  <w:abstractNum w:abstractNumId="219">
    <w:nsid w:val="50ABCEC9"/>
    <w:multiLevelType w:val="hybridMultilevel"/>
    <w:lvl w:ilvl="0">
      <w:lvlJc w:val="left"/>
      <w:lvlText w:val="(%1)"/>
      <w:numFmt w:val="lowerLetter"/>
      <w:start w:val="35"/>
    </w:lvl>
    <w:lvl w:ilvl="1">
      <w:lvlJc w:val="left"/>
      <w:lvlText w:val="(%2)"/>
      <w:numFmt w:val="lowerLetter"/>
      <w:start w:val="13"/>
    </w:lvl>
  </w:abstractNum>
  <w:abstractNum w:abstractNumId="220">
    <w:nsid w:val="7635AA2A"/>
    <w:multiLevelType w:val="hybridMultilevel"/>
    <w:lvl w:ilvl="0">
      <w:lvlJc w:val="left"/>
      <w:lvlText w:val="(%1)"/>
      <w:numFmt w:val="lowerLetter"/>
      <w:start w:val="1"/>
    </w:lvl>
  </w:abstractNum>
  <w:abstractNum w:abstractNumId="221">
    <w:nsid w:val="5E74C4D9"/>
    <w:multiLevelType w:val="hybridMultilevel"/>
    <w:lvl w:ilvl="0">
      <w:lvlJc w:val="left"/>
      <w:lvlText w:val="(%1)"/>
      <w:numFmt w:val="lowerLetter"/>
      <w:start w:val="2"/>
    </w:lvl>
  </w:abstractNum>
  <w:abstractNum w:abstractNumId="222">
    <w:nsid w:val="3B3EBE15"/>
    <w:multiLevelType w:val="hybridMultilevel"/>
    <w:lvl w:ilvl="0">
      <w:lvlJc w:val="left"/>
      <w:lvlText w:val="(%1)"/>
      <w:numFmt w:val="lowerLetter"/>
      <w:start w:val="1"/>
    </w:lvl>
  </w:abstractNum>
  <w:abstractNum w:abstractNumId="223">
    <w:nsid w:val="3822CB01"/>
    <w:multiLevelType w:val="hybridMultilevel"/>
    <w:lvl w:ilvl="0">
      <w:lvlJc w:val="left"/>
      <w:lvlText w:val="(%1)"/>
      <w:numFmt w:val="lowerLetter"/>
      <w:start w:val="16"/>
    </w:lvl>
  </w:abstractNum>
  <w:abstractNum w:abstractNumId="224">
    <w:nsid w:val="6CE00443"/>
    <w:multiLevelType w:val="hybridMultilevel"/>
    <w:lvl w:ilvl="0">
      <w:lvlJc w:val="left"/>
      <w:lvlText w:val="(%1)"/>
      <w:numFmt w:val="lowerLetter"/>
      <w:start w:val="1"/>
    </w:lvl>
  </w:abstractNum>
  <w:abstractNum w:abstractNumId="225">
    <w:nsid w:val="79F0D62F"/>
    <w:multiLevelType w:val="hybridMultilevel"/>
    <w:lvl w:ilvl="0">
      <w:lvlJc w:val="left"/>
      <w:lvlText w:val="(%1)"/>
      <w:numFmt w:val="lowerLetter"/>
      <w:start w:val="5"/>
    </w:lvl>
  </w:abstractNum>
  <w:abstractNum w:abstractNumId="226">
    <w:nsid w:val="7975E8EE"/>
    <w:multiLevelType w:val="hybridMultilevel"/>
    <w:lvl w:ilvl="0">
      <w:lvlJc w:val="left"/>
      <w:lvlText w:val="(%1)"/>
      <w:numFmt w:val="lowerLetter"/>
      <w:start w:val="1"/>
    </w:lvl>
  </w:abstractNum>
  <w:abstractNum w:abstractNumId="227">
    <w:nsid w:val="73154115"/>
    <w:multiLevelType w:val="hybridMultilevel"/>
    <w:lvl w:ilvl="0">
      <w:lvlJc w:val="left"/>
      <w:lvlText w:val="(%1)"/>
      <w:numFmt w:val="lowerLetter"/>
      <w:start w:val="7"/>
    </w:lvl>
  </w:abstractNum>
  <w:abstractNum w:abstractNumId="228">
    <w:nsid w:val="622D8102"/>
    <w:multiLevelType w:val="hybridMultilevel"/>
    <w:lvl w:ilvl="0">
      <w:lvlJc w:val="left"/>
      <w:lvlText w:val="(%1)"/>
      <w:numFmt w:val="lowerLetter"/>
      <w:start w:val="8"/>
    </w:lvl>
    <w:lvl w:ilvl="1">
      <w:lvlJc w:val="left"/>
      <w:lvlText w:val="(%2)"/>
      <w:numFmt w:val="lowerRoman"/>
      <w:start w:val="1"/>
    </w:lvl>
  </w:abstractNum>
  <w:abstractNum w:abstractNumId="229">
    <w:nsid w:val="2AB26587"/>
    <w:multiLevelType w:val="hybridMultilevel"/>
    <w:lvl w:ilvl="0">
      <w:lvlJc w:val="left"/>
      <w:lvlText w:val="%1"/>
      <w:numFmt w:val="lowerLetter"/>
      <w:start w:val="1"/>
    </w:lvl>
    <w:lvl w:ilvl="1">
      <w:lvlJc w:val="left"/>
      <w:lvlText w:val="(%2)"/>
      <w:numFmt w:val="lowerRoman"/>
      <w:start w:val="4"/>
    </w:lvl>
  </w:abstractNum>
  <w:abstractNum w:abstractNumId="230">
    <w:nsid w:val="44B3FA61"/>
    <w:multiLevelType w:val="hybridMultilevel"/>
    <w:lvl w:ilvl="0">
      <w:lvlJc w:val="left"/>
      <w:lvlText w:val="(%1)"/>
      <w:numFmt w:val="lowerLetter"/>
      <w:start w:val="15"/>
    </w:lvl>
    <w:lvl w:ilvl="1">
      <w:lvlJc w:val="left"/>
      <w:lvlText w:val="%2"/>
      <w:numFmt w:val="lowerRoman"/>
      <w:start w:val="1"/>
    </w:lvl>
  </w:abstractNum>
  <w:abstractNum w:abstractNumId="231">
    <w:nsid w:val="1C0CA67C"/>
    <w:multiLevelType w:val="hybridMultilevel"/>
    <w:lvl w:ilvl="0">
      <w:lvlJc w:val="left"/>
      <w:lvlText w:val="(%1)"/>
      <w:numFmt w:val="lowerLetter"/>
      <w:start w:val="5"/>
    </w:lvl>
  </w:abstractNum>
  <w:abstractNum w:abstractNumId="232">
    <w:nsid w:val="3D206613"/>
    <w:multiLevelType w:val="hybridMultilevel"/>
    <w:lvl w:ilvl="0">
      <w:lvlJc w:val="left"/>
      <w:lvlText w:val="(%1)"/>
      <w:numFmt w:val="lowerLetter"/>
      <w:start w:val="2"/>
    </w:lvl>
  </w:abstractNum>
  <w:abstractNum w:abstractNumId="233">
    <w:nsid w:val="7993B662"/>
    <w:multiLevelType w:val="hybridMultilevel"/>
    <w:lvl w:ilvl="0">
      <w:lvlJc w:val="left"/>
      <w:lvlText w:val="(%1)"/>
      <w:numFmt w:val="lowerLetter"/>
      <w:start w:val="2"/>
    </w:lvl>
  </w:abstractNum>
  <w:abstractNum w:abstractNumId="234">
    <w:nsid w:val="3BAB699E"/>
    <w:multiLevelType w:val="hybridMultilevel"/>
    <w:lvl w:ilvl="0">
      <w:lvlJc w:val="left"/>
      <w:lvlText w:val="(%1)"/>
      <w:numFmt w:val="lowerLetter"/>
      <w:start w:val="3"/>
    </w:lvl>
  </w:abstractNum>
  <w:abstractNum w:abstractNumId="235">
    <w:nsid w:val="71315369"/>
    <w:multiLevelType w:val="hybridMultilevel"/>
    <w:lvl w:ilvl="0">
      <w:lvlJc w:val="left"/>
      <w:lvlText w:val="(%1)"/>
      <w:numFmt w:val="lowerLetter"/>
      <w:start w:val="61"/>
    </w:lvl>
  </w:abstractNum>
  <w:abstractNum w:abstractNumId="236">
    <w:nsid w:val="7BCFBAFC"/>
    <w:multiLevelType w:val="hybridMultilevel"/>
    <w:lvl w:ilvl="0">
      <w:lvlJc w:val="left"/>
      <w:lvlText w:val="(%1)"/>
      <w:numFmt w:val="lowerLetter"/>
      <w:start w:val="1"/>
    </w:lvl>
    <w:lvl w:ilvl="1">
      <w:lvlJc w:val="left"/>
      <w:lvlText w:val="(%2)"/>
      <w:numFmt w:val="lowerRoman"/>
      <w:start w:val="1"/>
    </w:lvl>
  </w:abstractNum>
  <w:abstractNum w:abstractNumId="237">
    <w:nsid w:val="17859F72"/>
    <w:multiLevelType w:val="hybridMultilevel"/>
    <w:lvl w:ilvl="0">
      <w:lvlJc w:val="left"/>
      <w:lvlText w:val="%1"/>
      <w:numFmt w:val="lowerLetter"/>
      <w:start w:val="1"/>
    </w:lvl>
    <w:lvl w:ilvl="1">
      <w:lvlJc w:val="left"/>
      <w:lvlText w:val="(%2)"/>
      <w:numFmt w:val="lowerRoman"/>
      <w:start w:val="4"/>
    </w:lvl>
  </w:abstractNum>
  <w:abstractNum w:abstractNumId="238">
    <w:nsid w:val="3AA10581"/>
    <w:multiLevelType w:val="hybridMultilevel"/>
    <w:lvl w:ilvl="0">
      <w:lvlJc w:val="left"/>
      <w:lvlText w:val="(%1)"/>
      <w:numFmt w:val="lowerLetter"/>
      <w:start w:val="2"/>
    </w:lvl>
    <w:lvl w:ilvl="1">
      <w:lvlJc w:val="left"/>
      <w:lvlText w:val="%2"/>
      <w:numFmt w:val="lowerRoman"/>
      <w:start w:val="1"/>
    </w:lvl>
  </w:abstractNum>
  <w:abstractNum w:abstractNumId="239">
    <w:nsid w:val="63DE60CD"/>
    <w:multiLevelType w:val="hybridMultilevel"/>
    <w:lvl w:ilvl="0">
      <w:lvlJc w:val="left"/>
      <w:lvlText w:val="(%1)"/>
      <w:numFmt w:val="lowerLetter"/>
      <w:start w:val="1"/>
    </w:lvl>
  </w:abstractNum>
  <w:abstractNum w:abstractNumId="240">
    <w:nsid w:val="621AF471"/>
    <w:multiLevelType w:val="hybridMultilevel"/>
    <w:lvl w:ilvl="0">
      <w:lvlJc w:val="left"/>
      <w:lvlText w:val="(%1)"/>
      <w:numFmt w:val="lowerLetter"/>
      <w:start w:val="2"/>
    </w:lvl>
  </w:abstractNum>
  <w:abstractNum w:abstractNumId="241">
    <w:nsid w:val="73CFE165"/>
    <w:multiLevelType w:val="hybridMultilevel"/>
    <w:lvl w:ilvl="0">
      <w:lvlJc w:val="left"/>
      <w:lvlText w:val="(%1)"/>
      <w:numFmt w:val="lowerLetter"/>
      <w:start w:val="1"/>
    </w:lvl>
  </w:abstractNum>
  <w:abstractNum w:abstractNumId="242">
    <w:nsid w:val="20F88EA6"/>
    <w:multiLevelType w:val="hybridMultilevel"/>
    <w:lvl w:ilvl="0">
      <w:lvlJc w:val="left"/>
      <w:lvlText w:val="%1"/>
      <w:numFmt w:val="lowerLetter"/>
      <w:start w:val="1"/>
    </w:lvl>
    <w:lvl w:ilvl="1">
      <w:lvlJc w:val="left"/>
      <w:lvlText w:val="(%2)"/>
      <w:numFmt w:val="lowerLetter"/>
      <w:start w:val="4"/>
    </w:lvl>
  </w:abstractNum>
  <w:abstractNum w:abstractNumId="243">
    <w:nsid w:val="617C843E"/>
    <w:multiLevelType w:val="hybridMultilevel"/>
    <w:lvl w:ilvl="0">
      <w:lvlJc w:val="left"/>
      <w:lvlText w:val="(%1)"/>
      <w:numFmt w:val="lowerLetter"/>
      <w:start w:val="1"/>
    </w:lvl>
    <w:lvl w:ilvl="1">
      <w:lvlJc w:val="left"/>
      <w:lvlText w:val="%2"/>
      <w:numFmt w:val="lowerLetter"/>
      <w:start w:val="1"/>
    </w:lvl>
  </w:abstractNum>
  <w:abstractNum w:abstractNumId="244">
    <w:nsid w:val="7B541FAB"/>
    <w:multiLevelType w:val="hybridMultilevel"/>
    <w:lvl w:ilvl="0">
      <w:lvlJc w:val="left"/>
      <w:lvlText w:val="(%1)"/>
      <w:numFmt w:val="lowerLetter"/>
      <w:start w:val="9"/>
    </w:lvl>
    <w:lvl w:ilvl="1">
      <w:lvlJc w:val="left"/>
      <w:lvlText w:val="%2"/>
      <w:numFmt w:val="lowerLetter"/>
      <w:start w:val="1"/>
    </w:lvl>
  </w:abstractNum>
  <w:abstractNum w:abstractNumId="245">
    <w:nsid w:val="2A79EC49"/>
    <w:multiLevelType w:val="hybridMultilevel"/>
    <w:lvl w:ilvl="0">
      <w:lvlJc w:val="left"/>
      <w:lvlText w:val="(%1)"/>
      <w:numFmt w:val="lowerLetter"/>
      <w:start w:val="61"/>
    </w:lvl>
    <w:lvl w:ilvl="1">
      <w:lvlJc w:val="left"/>
      <w:lvlText w:val="%2"/>
      <w:numFmt w:val="lowerLetter"/>
      <w:start w:val="1"/>
    </w:lvl>
  </w:abstractNum>
  <w:abstractNum w:abstractNumId="246">
    <w:nsid w:val="338125CF"/>
    <w:multiLevelType w:val="hybridMultilevel"/>
    <w:lvl w:ilvl="0">
      <w:lvlJc w:val="left"/>
      <w:lvlText w:val="(%1)"/>
      <w:numFmt w:val="lowerLetter"/>
      <w:start w:val="61"/>
    </w:lvl>
    <w:lvl w:ilvl="1">
      <w:lvlJc w:val="left"/>
      <w:lvlText w:val="(%2)"/>
      <w:numFmt w:val="lowerLetter"/>
      <w:start w:val="7"/>
    </w:lvl>
  </w:abstractNum>
  <w:abstractNum w:abstractNumId="247">
    <w:nsid w:val="47C7C971"/>
    <w:multiLevelType w:val="hybridMultilevel"/>
    <w:lvl w:ilvl="0">
      <w:lvlJc w:val="left"/>
      <w:lvlText w:val="(%1)"/>
      <w:numFmt w:val="lowerLetter"/>
      <w:start w:val="8"/>
    </w:lvl>
    <w:lvl w:ilvl="1">
      <w:lvlJc w:val="left"/>
      <w:lvlText w:val="(%2)"/>
      <w:numFmt w:val="lowerRoman"/>
      <w:start w:val="2"/>
    </w:lvl>
  </w:abstractNum>
  <w:abstractNum w:abstractNumId="248">
    <w:nsid w:val="46F8284B"/>
    <w:multiLevelType w:val="hybridMultilevel"/>
    <w:lvl w:ilvl="0">
      <w:lvlJc w:val="left"/>
      <w:lvlText w:val="(%1)"/>
      <w:numFmt w:val="lowerLetter"/>
      <w:start w:val="1"/>
    </w:lvl>
  </w:abstractNum>
  <w:abstractNum w:abstractNumId="249">
    <w:nsid w:val="4FA327CE"/>
    <w:multiLevelType w:val="hybridMultilevel"/>
    <w:lvl w:ilvl="0">
      <w:lvlJc w:val="left"/>
      <w:lvlText w:val="(%1)"/>
      <w:numFmt w:val="lowerLetter"/>
      <w:start w:val="1"/>
    </w:lvl>
  </w:abstractNum>
  <w:abstractNum w:abstractNumId="250">
    <w:nsid w:val="1873983A"/>
    <w:multiLevelType w:val="hybridMultilevel"/>
    <w:lvl w:ilvl="0">
      <w:lvlJc w:val="left"/>
      <w:lvlText w:val="(%1)"/>
      <w:numFmt w:val="lowerLetter"/>
      <w:start w:val="3"/>
    </w:lvl>
  </w:abstractNum>
  <w:abstractNum w:abstractNumId="251">
    <w:nsid w:val="3D2DD275"/>
    <w:multiLevelType w:val="hybridMultilevel"/>
    <w:lvl w:ilvl="0">
      <w:lvlJc w:val="left"/>
      <w:lvlText w:val="(%1)"/>
      <w:numFmt w:val="lowerLetter"/>
      <w:start w:val="1"/>
    </w:lvl>
  </w:abstractNum>
  <w:abstractNum w:abstractNumId="252">
    <w:nsid w:val="2E17ECA7"/>
    <w:multiLevelType w:val="hybridMultilevel"/>
    <w:lvl w:ilvl="0">
      <w:lvlJc w:val="left"/>
      <w:lvlText w:val="(%1)"/>
      <w:numFmt w:val="lowerRoman"/>
      <w:start w:val="5"/>
    </w:lvl>
  </w:abstractNum>
  <w:abstractNum w:abstractNumId="253">
    <w:nsid w:val="53B2564F"/>
    <w:multiLevelType w:val="hybridMultilevel"/>
    <w:lvl w:ilvl="0">
      <w:lvlJc w:val="left"/>
      <w:lvlText w:val="(%1)"/>
      <w:numFmt w:val="lowerLetter"/>
      <w:start w:val="1"/>
    </w:lvl>
  </w:abstractNum>
  <w:abstractNum w:abstractNumId="254">
    <w:nsid w:val="75509D76"/>
    <w:multiLevelType w:val="hybridMultilevel"/>
    <w:lvl w:ilvl="0">
      <w:lvlJc w:val="left"/>
      <w:lvlText w:val="(%1)"/>
      <w:numFmt w:val="lowerLetter"/>
      <w:start w:val="1"/>
    </w:lvl>
  </w:abstractNum>
  <w:abstractNum w:abstractNumId="255">
    <w:nsid w:val="1AF7F0EA"/>
    <w:multiLevelType w:val="hybridMultilevel"/>
    <w:lvl w:ilvl="0">
      <w:lvlJc w:val="left"/>
      <w:lvlText w:val="(%1)"/>
      <w:numFmt w:val="lowerRoman"/>
      <w:start w:val="1"/>
    </w:lvl>
  </w:abstractNum>
  <w:abstractNum w:abstractNumId="256">
    <w:nsid w:val="4DA32C7E"/>
    <w:multiLevelType w:val="hybridMultilevel"/>
    <w:lvl w:ilvl="0">
      <w:lvlJc w:val="left"/>
      <w:lvlText w:val="(%1)"/>
      <w:numFmt w:val="lowerLetter"/>
      <w:start w:val="2"/>
    </w:lvl>
  </w:abstractNum>
  <w:abstractNum w:abstractNumId="257">
    <w:nsid w:val="6EC68664"/>
    <w:multiLevelType w:val="hybridMultilevel"/>
    <w:lvl w:ilvl="0">
      <w:lvlJc w:val="left"/>
      <w:lvlText w:val="(%1)"/>
      <w:numFmt w:val="lowerLetter"/>
      <w:start w:val="1"/>
    </w:lvl>
  </w:abstractNum>
  <w:abstractNum w:abstractNumId="258">
    <w:nsid w:val="E0D31FF"/>
    <w:multiLevelType w:val="hybridMultilevel"/>
    <w:lvl w:ilvl="0">
      <w:lvlJc w:val="left"/>
      <w:lvlText w:val="(%1)"/>
      <w:numFmt w:val="lowerLetter"/>
      <w:start w:val="1"/>
    </w:lvl>
    <w:lvl w:ilvl="1">
      <w:lvlJc w:val="left"/>
      <w:lvlText w:val="(%2)"/>
      <w:numFmt w:val="lowerRoman"/>
      <w:start w:val="1"/>
    </w:lvl>
  </w:abstractNum>
  <w:abstractNum w:abstractNumId="259">
    <w:nsid w:val="2FD0AD81"/>
    <w:multiLevelType w:val="hybridMultilevel"/>
    <w:lvl w:ilvl="0">
      <w:lvlJc w:val="left"/>
      <w:lvlText w:val="(%1)"/>
      <w:numFmt w:val="lowerLetter"/>
      <w:start w:val="5"/>
    </w:lvl>
  </w:abstractNum>
  <w:abstractNum w:abstractNumId="260">
    <w:nsid w:val="1978EBEB"/>
    <w:multiLevelType w:val="hybridMultilevel"/>
    <w:lvl w:ilvl="0">
      <w:lvlJc w:val="left"/>
      <w:lvlText w:val="(%1)"/>
      <w:numFmt w:val="lowerLetter"/>
      <w:start w:val="1"/>
    </w:lvl>
  </w:abstractNum>
  <w:abstractNum w:abstractNumId="261">
    <w:nsid w:val="52C12C61"/>
    <w:multiLevelType w:val="hybridMultilevel"/>
    <w:lvl w:ilvl="0">
      <w:lvlJc w:val="left"/>
      <w:lvlText w:val="%1"/>
      <w:numFmt w:val="lowerLetter"/>
      <w:start w:val="1"/>
    </w:lvl>
    <w:lvl w:ilvl="1">
      <w:lvlJc w:val="left"/>
      <w:lvlText w:val="(%2)"/>
      <w:numFmt w:val="lowerRoman"/>
      <w:start w:val="1"/>
    </w:lvl>
  </w:abstractNum>
  <w:abstractNum w:abstractNumId="262">
    <w:nsid w:val="4BDD53FD"/>
    <w:multiLevelType w:val="hybridMultilevel"/>
    <w:lvl w:ilvl="0">
      <w:lvlJc w:val="left"/>
      <w:lvlText w:val="(%1)"/>
      <w:numFmt w:val="lowerLetter"/>
      <w:start w:val="3"/>
    </w:lvl>
    <w:lvl w:ilvl="1">
      <w:lvlJc w:val="left"/>
      <w:lvlText w:val="%2"/>
      <w:numFmt w:val="lowerRoman"/>
      <w:start w:val="1"/>
    </w:lvl>
  </w:abstractNum>
  <w:abstractNum w:abstractNumId="263">
    <w:nsid w:val="569951FE"/>
    <w:multiLevelType w:val="hybridMultilevel"/>
    <w:lvl w:ilvl="0">
      <w:lvlJc w:val="left"/>
      <w:lvlText w:val="(%1)"/>
      <w:numFmt w:val="lowerLetter"/>
      <w:start w:val="1"/>
    </w:lvl>
    <w:lvl w:ilvl="1">
      <w:lvlJc w:val="left"/>
      <w:lvlText w:val="(%2)"/>
      <w:numFmt w:val="lowerLetter"/>
      <w:start w:val="4"/>
    </w:lvl>
  </w:abstractNum>
  <w:abstractNum w:abstractNumId="264">
    <w:nsid w:val="4C54E2C3"/>
    <w:multiLevelType w:val="hybridMultilevel"/>
    <w:lvl w:ilvl="0">
      <w:lvlJc w:val="left"/>
      <w:lvlText w:val="(%1)"/>
      <w:numFmt w:val="lowerLetter"/>
      <w:start w:val="1"/>
    </w:lvl>
  </w:abstractNum>
  <w:abstractNum w:abstractNumId="265">
    <w:nsid w:val="788BD9B"/>
    <w:multiLevelType w:val="hybridMultilevel"/>
    <w:lvl w:ilvl="0">
      <w:lvlJc w:val="left"/>
      <w:lvlText w:val="(%1)"/>
      <w:numFmt w:val="lowerLetter"/>
      <w:start w:val="4"/>
    </w:lvl>
  </w:abstractNum>
  <w:abstractNum w:abstractNumId="266">
    <w:nsid w:val="47CAA56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7">
    <w:nsid w:val="48249DBF"/>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lvl w:ilvl="3">
      <w:lvlJc w:val="left"/>
      <w:lvlText w:val="(%4)"/>
      <w:numFmt w:val="upperLetter"/>
      <w:start w:val="2"/>
    </w:lvl>
  </w:abstractNum>
  <w:abstractNum w:abstractNumId="268">
    <w:nsid w:val="1F0E5D0D"/>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lvl w:ilvl="3">
      <w:lvlJc w:val="left"/>
      <w:lvlText w:val="%4"/>
      <w:numFmt w:val="upperLetter"/>
      <w:start w:val="1"/>
    </w:lvl>
  </w:abstractNum>
  <w:abstractNum w:abstractNumId="269">
    <w:nsid w:val="26BAAE9"/>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lvl w:ilvl="3">
      <w:lvlJc w:val="left"/>
      <w:lvlText w:val="%4"/>
      <w:numFmt w:val="upperLetter"/>
      <w:start w:val="1"/>
    </w:lvl>
  </w:abstractNum>
  <w:abstractNum w:abstractNumId="270">
    <w:nsid w:val="2C02FE8C"/>
    <w:multiLevelType w:val="hybridMultilevel"/>
    <w:lvl w:ilvl="0">
      <w:lvlJc w:val="left"/>
      <w:lvlText w:val="(%1)"/>
      <w:numFmt w:val="lowerLetter"/>
      <w:start w:val="25"/>
    </w:lvl>
  </w:abstractNum>
  <w:abstractNum w:abstractNumId="271">
    <w:nsid w:val="129517E"/>
    <w:multiLevelType w:val="hybridMultilevel"/>
    <w:lvl w:ilvl="0">
      <w:lvlJc w:val="left"/>
      <w:lvlText w:val="%1"/>
      <w:numFmt w:val="lowerLetter"/>
      <w:start w:val="1"/>
    </w:lvl>
    <w:lvl w:ilvl="1">
      <w:lvlJc w:val="left"/>
      <w:lvlText w:val="(%2)"/>
      <w:numFmt w:val="lowerLetter"/>
      <w:start w:val="3"/>
    </w:lvl>
  </w:abstractNum>
  <w:abstractNum w:abstractNumId="272">
    <w:nsid w:val="763B8C4E"/>
    <w:multiLevelType w:val="hybridMultilevel"/>
    <w:lvl w:ilvl="0">
      <w:lvlJc w:val="left"/>
      <w:lvlText w:val="(%1)"/>
      <w:numFmt w:val="lowerLetter"/>
      <w:start w:val="35"/>
    </w:lvl>
    <w:lvl w:ilvl="1">
      <w:lvlJc w:val="left"/>
      <w:lvlText w:val="%2"/>
      <w:numFmt w:val="lowerLetter"/>
      <w:start w:val="1"/>
    </w:lvl>
  </w:abstractNum>
  <w:abstractNum w:abstractNumId="273">
    <w:nsid w:val="4CFB8D32"/>
    <w:multiLevelType w:val="hybridMultilevel"/>
    <w:lvl w:ilvl="0">
      <w:lvlJc w:val="left"/>
      <w:lvlText w:val="(%1)"/>
      <w:numFmt w:val="lowerLetter"/>
      <w:start w:val="5"/>
    </w:lvl>
  </w:abstractNum>
  <w:abstractNum w:abstractNumId="274">
    <w:nsid w:val="62A5D5BD"/>
    <w:multiLevelType w:val="hybridMultilevel"/>
    <w:lvl w:ilvl="0">
      <w:lvlJc w:val="left"/>
      <w:lvlText w:val="(%1)"/>
      <w:numFmt w:val="lowerLetter"/>
      <w:start w:val="8"/>
    </w:lvl>
  </w:abstractNum>
  <w:abstractNum w:abstractNumId="275">
    <w:nsid w:val="718FABF9"/>
    <w:multiLevelType w:val="hybridMultilevel"/>
    <w:lvl w:ilvl="0">
      <w:lvlJc w:val="left"/>
      <w:lvlText w:val="(%1)"/>
      <w:numFmt w:val="lowerLetter"/>
      <w:start w:val="1"/>
    </w:lvl>
  </w:abstractNum>
  <w:abstractNum w:abstractNumId="276">
    <w:nsid w:val="7775797C"/>
    <w:multiLevelType w:val="hybridMultilevel"/>
    <w:lvl w:ilvl="0">
      <w:lvlJc w:val="left"/>
      <w:lvlText w:val="(%1)"/>
      <w:numFmt w:val="lowerLetter"/>
      <w:start w:val="1"/>
    </w:lvl>
  </w:abstractNum>
  <w:abstractNum w:abstractNumId="277">
    <w:nsid w:val="1626FB8C"/>
    <w:multiLevelType w:val="hybridMultilevel"/>
    <w:lvl w:ilvl="0">
      <w:lvlJc w:val="left"/>
      <w:lvlText w:val="%1"/>
      <w:numFmt w:val="lowerLetter"/>
      <w:start w:val="1"/>
    </w:lvl>
    <w:lvl w:ilvl="1">
      <w:lvlJc w:val="left"/>
      <w:lvlText w:val="(%2)"/>
      <w:numFmt w:val="lowerLetter"/>
      <w:start w:val="1"/>
    </w:lvl>
  </w:abstractNum>
  <w:abstractNum w:abstractNumId="278">
    <w:nsid w:val="3957756A"/>
    <w:multiLevelType w:val="hybridMultilevel"/>
    <w:lvl w:ilvl="0">
      <w:lvlJc w:val="left"/>
      <w:lvlText w:val="(%1)"/>
      <w:numFmt w:val="lowerLetter"/>
      <w:start w:val="9"/>
    </w:lvl>
    <w:lvl w:ilvl="1">
      <w:lvlJc w:val="left"/>
      <w:lvlText w:val="%2"/>
      <w:numFmt w:val="lowerLetter"/>
      <w:start w:val="1"/>
    </w:lvl>
  </w:abstractNum>
  <w:abstractNum w:abstractNumId="279">
    <w:nsid w:val="3E6DA1C7"/>
    <w:multiLevelType w:val="hybridMultilevel"/>
    <w:lvl w:ilvl="0">
      <w:lvlJc w:val="left"/>
      <w:lvlText w:val="(%1)"/>
      <w:numFmt w:val="lowerLetter"/>
      <w:start w:val="2"/>
    </w:lvl>
  </w:abstractNum>
  <w:abstractNum w:abstractNumId="280">
    <w:nsid w:val="65CA235B"/>
    <w:multiLevelType w:val="hybridMultilevel"/>
    <w:lvl w:ilvl="0">
      <w:lvlJc w:val="left"/>
      <w:lvlText w:val="(%1)"/>
      <w:numFmt w:val="lowerLetter"/>
      <w:start w:val="3"/>
    </w:lvl>
  </w:abstractNum>
  <w:abstractNum w:abstractNumId="281">
    <w:nsid w:val="51CB0DA4"/>
    <w:multiLevelType w:val="hybridMultilevel"/>
    <w:lvl w:ilvl="0">
      <w:lvlJc w:val="left"/>
      <w:lvlText w:val="(%1)"/>
      <w:numFmt w:val="lowerLetter"/>
      <w:start w:val="2"/>
    </w:lvl>
  </w:abstractNum>
  <w:abstractNum w:abstractNumId="282">
    <w:nsid w:val="7B9B743C"/>
    <w:multiLevelType w:val="hybridMultilevel"/>
    <w:lvl w:ilvl="0">
      <w:lvlJc w:val="left"/>
      <w:lvlText w:val="(%1)"/>
      <w:numFmt w:val="lowerRoman"/>
      <w:start w:val="1"/>
    </w:lvl>
  </w:abstractNum>
  <w:abstractNum w:abstractNumId="283">
    <w:nsid w:val="13E21002"/>
    <w:multiLevelType w:val="hybridMultilevel"/>
    <w:lvl w:ilvl="0">
      <w:lvlJc w:val="left"/>
      <w:lvlText w:val="(%1)"/>
      <w:numFmt w:val="lowerRoman"/>
      <w:start w:val="1"/>
    </w:lvl>
  </w:abstractNum>
  <w:abstractNum w:abstractNumId="284">
    <w:nsid w:val="257D63F4"/>
    <w:multiLevelType w:val="hybridMultilevel"/>
    <w:lvl w:ilvl="0">
      <w:lvlJc w:val="left"/>
      <w:lvlText w:val="%1."/>
      <w:numFmt w:val="decimal"/>
      <w:start w:val="1"/>
    </w:lvl>
  </w:abstractNum>
  <w:abstractNum w:abstractNumId="285">
    <w:nsid w:val="70EC11B2"/>
    <w:multiLevelType w:val="hybridMultilevel"/>
    <w:lvl w:ilvl="0">
      <w:lvlJc w:val="left"/>
      <w:lvlText w:val="(%1)"/>
      <w:numFmt w:val="lowerRoman"/>
      <w:start w:val="2"/>
    </w:lvl>
  </w:abstractNum>
  <w:abstractNum w:abstractNumId="286">
    <w:nsid w:val="2EDA00ED"/>
    <w:multiLevelType w:val="hybridMultilevel"/>
    <w:lvl w:ilvl="0">
      <w:lvlJc w:val="left"/>
      <w:lvlText w:val="(%1)"/>
      <w:numFmt w:val="decimal"/>
      <w:start w:val="1"/>
    </w:lvl>
  </w:abstractNum>
  <w:abstractNum w:abstractNumId="287">
    <w:nsid w:val="73209072"/>
    <w:multiLevelType w:val="hybridMultilevel"/>
    <w:lvl w:ilvl="0">
      <w:lvlJc w:val="left"/>
      <w:lvlText w:val="(%1)"/>
      <w:numFmt w:val="decimal"/>
      <w:start w:val="1"/>
    </w:lvl>
  </w:abstractNum>
  <w:abstractNum w:abstractNumId="288">
    <w:nsid w:val="5FB29816"/>
    <w:multiLevelType w:val="hybridMultilevel"/>
    <w:lvl w:ilvl="0">
      <w:lvlJc w:val="left"/>
      <w:lvlText w:val="%1"/>
      <w:numFmt w:val="decimal"/>
      <w:start w:val="1"/>
    </w:lvl>
    <w:lvl w:ilvl="1">
      <w:lvlJc w:val="left"/>
      <w:lvlText w:val="(%2)"/>
      <w:numFmt w:val="decimal"/>
      <w:start w:val="6"/>
    </w:lvl>
  </w:abstractNum>
  <w:abstractNum w:abstractNumId="289">
    <w:nsid w:val="3CE732EC"/>
    <w:multiLevelType w:val="hybridMultilevel"/>
    <w:lvl w:ilvl="0">
      <w:lvlJc w:val="left"/>
      <w:lvlText w:val="%1."/>
      <w:numFmt w:val="decimal"/>
      <w:start w:val="2"/>
    </w:lvl>
    <w:lvl w:ilvl="1">
      <w:lvlJc w:val="left"/>
      <w:lvlText w:val="%2"/>
      <w:numFmt w:val="decimal"/>
      <w:start w:val="1"/>
    </w:lvl>
  </w:abstractNum>
  <w:abstractNum w:abstractNumId="290">
    <w:nsid w:val="22F13DF3"/>
    <w:multiLevelType w:val="hybridMultilevel"/>
    <w:lvl w:ilvl="0">
      <w:lvlJc w:val="left"/>
      <w:lvlText w:val="%1"/>
      <w:numFmt w:val="decimal"/>
      <w:start w:val="1"/>
    </w:lvl>
    <w:lvl w:ilvl="1">
      <w:lvlJc w:val="left"/>
      <w:lvlText w:val="(%2)"/>
      <w:numFmt w:val="lowerLetter"/>
      <w:start w:val="1"/>
    </w:lvl>
  </w:abstractNum>
  <w:abstractNum w:abstractNumId="291">
    <w:nsid w:val="792B8401"/>
    <w:multiLevelType w:val="hybridMultilevel"/>
    <w:lvl w:ilvl="0">
      <w:lvlJc w:val="left"/>
      <w:lvlText w:val="%1."/>
      <w:numFmt w:val="decimal"/>
      <w:start w:val="3"/>
    </w:lvl>
    <w:lvl w:ilvl="1">
      <w:lvlJc w:val="left"/>
      <w:lvlText w:val="%2"/>
      <w:numFmt w:val="lowerLetter"/>
      <w:start w:val="1"/>
    </w:lvl>
  </w:abstractNum>
  <w:abstractNum w:abstractNumId="292">
    <w:nsid w:val="FA85F4D"/>
    <w:multiLevelType w:val="hybridMultilevel"/>
    <w:lvl w:ilvl="0">
      <w:lvlJc w:val="left"/>
      <w:lvlText w:val="%1."/>
      <w:numFmt w:val="decimal"/>
      <w:start w:val="4"/>
    </w:lvl>
    <w:lvl w:ilvl="1">
      <w:lvlJc w:val="left"/>
      <w:lvlText w:val="(%2)"/>
      <w:numFmt w:val="lowerLetter"/>
      <w:start w:val="1"/>
    </w:lvl>
  </w:abstractNum>
  <w:abstractNum w:abstractNumId="293">
    <w:nsid w:val="6ECE91F0"/>
    <w:multiLevelType w:val="hybridMultilevel"/>
    <w:lvl w:ilvl="0">
      <w:lvlJc w:val="left"/>
      <w:lvlText w:val="%1"/>
      <w:numFmt w:val="decimal"/>
      <w:start w:val="1"/>
    </w:lvl>
    <w:lvl w:ilvl="1">
      <w:lvlJc w:val="left"/>
      <w:lvlText w:val="(%2)"/>
      <w:numFmt w:val="lowerLetter"/>
      <w:start w:val="6"/>
    </w:lvl>
  </w:abstractNum>
  <w:abstractNum w:abstractNumId="294">
    <w:nsid w:val="4FC4D600"/>
    <w:multiLevelType w:val="hybridMultilevel"/>
    <w:lvl w:ilvl="0">
      <w:lvlJc w:val="left"/>
      <w:lvlText w:val="%1."/>
      <w:numFmt w:val="decimal"/>
      <w:start w:val="6"/>
    </w:lvl>
    <w:lvl w:ilvl="1">
      <w:lvlJc w:val="left"/>
      <w:lvlText w:val="(%2)"/>
      <w:numFmt w:val="lowerLetter"/>
      <w:start w:val="1"/>
    </w:lvl>
  </w:abstractNum>
  <w:abstractNum w:abstractNumId="295">
    <w:nsid w:val="5BFD4210"/>
    <w:multiLevelType w:val="hybridMultilevel"/>
    <w:lvl w:ilvl="0">
      <w:lvlJc w:val="left"/>
      <w:lvlText w:val="%1."/>
      <w:numFmt w:val="decimal"/>
      <w:start w:val="9"/>
    </w:lvl>
  </w:abstractNum>
  <w:abstractNum w:abstractNumId="296">
    <w:nsid w:val="76574F8B"/>
    <w:multiLevelType w:val="hybridMultilevel"/>
    <w:lvl w:ilvl="0">
      <w:lvlJc w:val="left"/>
      <w:lvlText w:val="(%1)"/>
      <w:numFmt w:val="lowerLetter"/>
      <w:start w:val="1"/>
    </w:lvl>
  </w:abstractNum>
  <w:abstractNum w:abstractNumId="297">
    <w:nsid w:val="178F7B67"/>
    <w:multiLevelType w:val="hybridMultilevel"/>
    <w:lvl w:ilvl="0">
      <w:lvlJc w:val="left"/>
      <w:lvlText w:val="%1."/>
      <w:numFmt w:val="decimal"/>
      <w:start w:val="10"/>
    </w:lvl>
  </w:abstractNum>
  <w:abstractNum w:abstractNumId="298">
    <w:nsid w:val="2421DFCF"/>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99">
    <w:nsid w:val="1565AC99"/>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300">
    <w:nsid w:val="19FB2650"/>
    <w:multiLevelType w:val="hybridMultilevel"/>
    <w:lvl w:ilvl="0">
      <w:lvlJc w:val="left"/>
      <w:lvlText w:val="%1."/>
      <w:numFmt w:val="decimal"/>
      <w:start w:val="13"/>
    </w:lvl>
    <w:lvl w:ilvl="1">
      <w:lvlJc w:val="left"/>
      <w:lvlText w:val="%2."/>
      <w:numFmt w:val="decimal"/>
      <w:start w:val="14"/>
    </w:lvl>
    <w:lvl w:ilvl="2">
      <w:lvlJc w:val="left"/>
      <w:lvlText w:val="%3"/>
      <w:numFmt w:val="lowerLetter"/>
      <w:start w:val="1"/>
    </w:lvl>
  </w:abstractNum>
  <w:abstractNum w:abstractNumId="301">
    <w:nsid w:val="5024DE5B"/>
    <w:multiLevelType w:val="hybridMultilevel"/>
    <w:lvl w:ilvl="0">
      <w:lvlJc w:val="left"/>
      <w:lvlText w:val="%1."/>
      <w:numFmt w:val="decimal"/>
      <w:start w:val="21"/>
    </w:lvl>
  </w:abstractNum>
  <w:abstractNum w:abstractNumId="302">
    <w:nsid w:val="168EFE17"/>
    <w:multiLevelType w:val="hybridMultilevel"/>
    <w:lvl w:ilvl="0">
      <w:lvlJc w:val="left"/>
      <w:lvlText w:val="%1."/>
      <w:numFmt w:val="decimal"/>
      <w:start w:val="1"/>
    </w:lvl>
  </w:abstractNum>
  <w:abstractNum w:abstractNumId="303">
    <w:nsid w:val="1036B29F"/>
    <w:multiLevelType w:val="hybridMultilevel"/>
    <w:lvl w:ilvl="0">
      <w:lvlJc w:val="left"/>
      <w:lvlText w:val="%1:"/>
      <w:numFmt w:val="upperLetter"/>
      <w:start w:val="1"/>
    </w:lvl>
  </w:abstractNum>
  <w:abstractNum w:abstractNumId="304">
    <w:nsid w:val="1D206B8E"/>
    <w:multiLevelType w:val="hybridMultilevel"/>
    <w:lvl w:ilvl="0">
      <w:lvlJc w:val="left"/>
      <w:lvlText w:val="%1:"/>
      <w:numFmt w:val="upperLetter"/>
      <w:start w:val="1"/>
    </w:lvl>
  </w:abstractNum>
  <w:abstractNum w:abstractNumId="305">
    <w:nsid w:val="7934D3D4"/>
    <w:multiLevelType w:val="hybridMultilevel"/>
    <w:lvl w:ilvl="0">
      <w:lvlJc w:val="left"/>
      <w:lvlText w:val="%1:"/>
      <w:numFmt w:val="upperLetter"/>
      <w:start w:val="1"/>
    </w:lvl>
  </w:abstractNum>
  <w:abstractNum w:abstractNumId="306">
    <w:nsid w:val="1C65E98"/>
    <w:multiLevelType w:val="hybridMultilevel"/>
    <w:lvl w:ilvl="0">
      <w:lvlJc w:val="left"/>
      <w:lvlText w:val="%1:"/>
      <w:numFmt w:val="upperLetter"/>
      <w:start w:val="1"/>
    </w:lvl>
  </w:abstractNum>
  <w:abstractNum w:abstractNumId="307">
    <w:nsid w:val="1495E50A"/>
    <w:multiLevelType w:val="hybridMultilevel"/>
    <w:lvl w:ilvl="0">
      <w:lvlJc w:val="left"/>
      <w:lvlText w:val="%1:"/>
      <w:numFmt w:val="upperLetter"/>
      <w:start w:val="1"/>
    </w:lvl>
  </w:abstractNum>
  <w:abstractNum w:abstractNumId="308">
    <w:nsid w:val="F5BCF61"/>
    <w:multiLevelType w:val="hybridMultilevel"/>
    <w:lvl w:ilvl="0">
      <w:lvlJc w:val="left"/>
      <w:lvlText w:val="%1:"/>
      <w:numFmt w:val="upperLetter"/>
      <w:start w:val="1"/>
    </w:lvl>
  </w:abstractNum>
  <w:abstractNum w:abstractNumId="309">
    <w:nsid w:val="3B1DD403"/>
    <w:multiLevelType w:val="hybridMultilevel"/>
    <w:lvl w:ilvl="0">
      <w:lvlJc w:val="left"/>
      <w:lvlText w:val="%1:"/>
      <w:numFmt w:val="upperLetter"/>
      <w:start w:val="1"/>
    </w:lvl>
    <w:lvl w:ilvl="1">
      <w:lvlJc w:val="left"/>
      <w:lvlText w:val="•"/>
      <w:numFmt w:val="bullet"/>
      <w:start w:val="1"/>
    </w:lvl>
  </w:abstractNum>
  <w:abstractNum w:abstractNumId="310">
    <w:nsid w:val="530386D1"/>
    <w:multiLevelType w:val="hybridMultilevel"/>
    <w:lvl w:ilvl="0">
      <w:lvlJc w:val="left"/>
      <w:lvlText w:val="%1:"/>
      <w:numFmt w:val="upperLetter"/>
      <w:start w:val="1"/>
    </w:lvl>
  </w:abstractNum>
  <w:abstractNum w:abstractNumId="311">
    <w:nsid w:val="7525F2BC"/>
    <w:multiLevelType w:val="hybridMultilevel"/>
    <w:lvl w:ilvl="0">
      <w:lvlJc w:val="left"/>
      <w:lvlText w:val="%1:"/>
      <w:numFmt w:val="upperLetter"/>
      <w:start w:val="1"/>
    </w:lvl>
  </w:abstractNum>
  <w:abstractNum w:abstractNumId="312">
    <w:nsid w:val="CE8E1A7"/>
    <w:multiLevelType w:val="hybridMultilevel"/>
    <w:lvl w:ilvl="0">
      <w:lvlJc w:val="left"/>
      <w:lvlText w:val="%1:"/>
      <w:numFmt w:val="upperLetter"/>
      <w:start w:val="17"/>
    </w:lvl>
  </w:abstractNum>
  <w:abstractNum w:abstractNumId="313">
    <w:nsid w:val="4E9EFB0D"/>
    <w:multiLevelType w:val="hybridMultilevel"/>
    <w:lvl w:ilvl="0">
      <w:lvlJc w:val="left"/>
      <w:lvlText w:val="%1:"/>
      <w:numFmt w:val="upperLetter"/>
      <w:start w:val="1"/>
    </w:lvl>
  </w:abstractNum>
  <w:abstractNum w:abstractNumId="314">
    <w:nsid w:val="90802BE"/>
    <w:multiLevelType w:val="hybridMultilevel"/>
    <w:lvl w:ilvl="0">
      <w:lvlJc w:val="left"/>
      <w:lvlText w:val="%1:"/>
      <w:numFmt w:val="upperLetter"/>
      <w:start w:val="17"/>
    </w:lvl>
  </w:abstractNum>
  <w:abstractNum w:abstractNumId="315">
    <w:nsid w:val="3266459B"/>
    <w:multiLevelType w:val="hybridMultilevel"/>
    <w:lvl w:ilvl="0">
      <w:lvlJc w:val="left"/>
      <w:lvlText w:val="%1:"/>
      <w:numFmt w:val="upperLetter"/>
      <w:start w:val="1"/>
    </w:lvl>
  </w:abstractNum>
  <w:abstractNum w:abstractNumId="316">
    <w:nsid w:val="3F8B0CBF"/>
    <w:multiLevelType w:val="hybridMultilevel"/>
    <w:lvl w:ilvl="0">
      <w:lvlJc w:val="left"/>
      <w:lvlText w:val="%1:"/>
      <w:numFmt w:val="upperLetter"/>
      <w:start w:val="1"/>
    </w:lvl>
  </w:abstractNum>
  <w:abstractNum w:abstractNumId="317">
    <w:nsid w:val="37E203AB"/>
    <w:multiLevelType w:val="hybridMultilevel"/>
    <w:lvl w:ilvl="0">
      <w:lvlJc w:val="left"/>
      <w:lvlText w:val="%1:"/>
      <w:numFmt w:val="upperLetter"/>
      <w:start w:val="1"/>
    </w:lvl>
  </w:abstractNum>
  <w:abstractNum w:abstractNumId="318">
    <w:nsid w:val="2586D60E"/>
    <w:multiLevelType w:val="hybridMultilevel"/>
    <w:lvl w:ilvl="0">
      <w:lvlJc w:val="left"/>
      <w:lvlText w:val="%1:"/>
      <w:numFmt w:val="upperLetter"/>
      <w:start w:val="17"/>
    </w:lvl>
  </w:abstractNum>
  <w:abstractNum w:abstractNumId="319">
    <w:nsid w:val="1F3DA4D5"/>
    <w:multiLevelType w:val="hybridMultilevel"/>
    <w:lvl w:ilvl="0">
      <w:lvlJc w:val="left"/>
      <w:lvlText w:val="%1:"/>
      <w:numFmt w:val="upperLetter"/>
      <w:start w:val="1"/>
    </w:lvl>
  </w:abstractNum>
  <w:abstractNum w:abstractNumId="320">
    <w:nsid w:val="74C93698"/>
    <w:multiLevelType w:val="hybridMultilevel"/>
    <w:lvl w:ilvl="0">
      <w:lvlJc w:val="left"/>
      <w:lvlText w:val="%1:"/>
      <w:numFmt w:val="upperLetter"/>
      <w:start w:val="17"/>
    </w:lvl>
  </w:abstractNum>
  <w:abstractNum w:abstractNumId="321">
    <w:nsid w:val="48781401"/>
    <w:multiLevelType w:val="hybridMultilevel"/>
    <w:lvl w:ilvl="0">
      <w:lvlJc w:val="left"/>
      <w:lvlText w:val="%1:"/>
      <w:numFmt w:val="upperLetter"/>
      <w:start w:val="1"/>
    </w:lvl>
  </w:abstractNum>
  <w:abstractNum w:abstractNumId="322">
    <w:nsid w:val="186928D6"/>
    <w:multiLevelType w:val="hybridMultilevel"/>
    <w:lvl w:ilvl="0">
      <w:lvlJc w:val="left"/>
      <w:lvlText w:val="%1:"/>
      <w:numFmt w:val="upperLetter"/>
      <w:start w:val="1"/>
    </w:lvl>
  </w:abstractNum>
  <w:abstractNum w:abstractNumId="323">
    <w:nsid w:val="47195E5"/>
    <w:multiLevelType w:val="hybridMultilevel"/>
    <w:lvl w:ilvl="0">
      <w:lvlJc w:val="left"/>
      <w:lvlText w:val="%1:"/>
      <w:numFmt w:val="upperLetter"/>
      <w:start w:val="1"/>
    </w:lvl>
  </w:abstractNum>
  <w:abstractNum w:abstractNumId="324">
    <w:nsid w:val="3746A5F2"/>
    <w:multiLevelType w:val="hybridMultilevel"/>
    <w:lvl w:ilvl="0">
      <w:lvlJc w:val="left"/>
      <w:lvlText w:val="%1:"/>
      <w:numFmt w:val="upperLetter"/>
      <w:start w:val="1"/>
    </w:lvl>
  </w:abstractNum>
  <w:abstractNum w:abstractNumId="325">
    <w:nsid w:val="682DFED6"/>
    <w:multiLevelType w:val="hybridMultilevel"/>
    <w:lvl w:ilvl="0">
      <w:lvlJc w:val="left"/>
      <w:lvlText w:val="%1:"/>
      <w:numFmt w:val="upperLetter"/>
      <w:start w:val="1"/>
    </w:lvl>
  </w:abstractNum>
  <w:abstractNum w:abstractNumId="326">
    <w:nsid w:val="606ED7F6"/>
    <w:multiLevelType w:val="hybridMultilevel"/>
    <w:lvl w:ilvl="0">
      <w:lvlJc w:val="left"/>
      <w:lvlText w:val="%1:"/>
      <w:numFmt w:val="upperLetter"/>
      <w:start w:val="1"/>
    </w:lvl>
  </w:abstractNum>
  <w:abstractNum w:abstractNumId="327">
    <w:nsid w:val="2D9DF57D"/>
    <w:multiLevelType w:val="hybridMultilevel"/>
    <w:lvl w:ilvl="0">
      <w:lvlJc w:val="left"/>
      <w:lvlText w:val="%1."/>
      <w:numFmt w:val="upperLetter"/>
      <w:start w:val="1"/>
    </w:lvl>
  </w:abstractNum>
  <w:abstractNum w:abstractNumId="328">
    <w:nsid w:val="7FBD7A3E"/>
    <w:multiLevelType w:val="hybridMultilevel"/>
    <w:lvl w:ilvl="0">
      <w:lvlJc w:val="left"/>
      <w:lvlText w:val="%1:"/>
      <w:numFmt w:val="upperLetter"/>
      <w:start w:val="1"/>
    </w:lvl>
  </w:abstractNum>
  <w:abstractNum w:abstractNumId="329">
    <w:nsid w:val="490B7C5"/>
    <w:multiLevelType w:val="hybridMultilevel"/>
    <w:lvl w:ilvl="0">
      <w:lvlJc w:val="left"/>
      <w:lvlText w:val="%1:"/>
      <w:numFmt w:val="upperLetter"/>
      <w:start w:val="17"/>
    </w:lvl>
  </w:abstractNum>
  <w:abstractNum w:abstractNumId="330">
    <w:nsid w:val="4303A216"/>
    <w:multiLevelType w:val="hybridMultilevel"/>
    <w:lvl w:ilvl="0">
      <w:lvlJc w:val="left"/>
      <w:lvlText w:val="%1:"/>
      <w:numFmt w:val="upperLetter"/>
      <w:start w:val="1"/>
    </w:lvl>
  </w:abstractNum>
  <w:abstractNum w:abstractNumId="331">
    <w:nsid w:val="19B8A08E"/>
    <w:multiLevelType w:val="hybridMultilevel"/>
    <w:lvl w:ilvl="0">
      <w:lvlJc w:val="left"/>
      <w:lvlText w:val="%1:"/>
      <w:numFmt w:val="upperLetter"/>
      <w:start w:val="17"/>
    </w:lvl>
  </w:abstractNum>
  <w:abstractNum w:abstractNumId="332">
    <w:nsid w:val="54B59621"/>
    <w:multiLevelType w:val="hybridMultilevel"/>
    <w:lvl w:ilvl="0">
      <w:lvlJc w:val="left"/>
      <w:lvlText w:val="%1:"/>
      <w:numFmt w:val="upperLetter"/>
      <w:start w:val="1"/>
    </w:lvl>
  </w:abstractNum>
  <w:abstractNum w:abstractNumId="333">
    <w:nsid w:val="5992A02E"/>
    <w:multiLevelType w:val="hybridMultilevel"/>
    <w:lvl w:ilvl="0">
      <w:lvlJc w:val="left"/>
      <w:lvlText w:val="%1:"/>
      <w:numFmt w:val="upperLetter"/>
      <w:start w:val="17"/>
    </w:lvl>
  </w:abstractNum>
  <w:abstractNum w:abstractNumId="334">
    <w:nsid w:val="29EF532D"/>
    <w:multiLevelType w:val="hybridMultilevel"/>
    <w:lvl w:ilvl="0">
      <w:lvlJc w:val="left"/>
      <w:lvlText w:val="%1:"/>
      <w:numFmt w:val="upperLetter"/>
      <w:start w:val="1"/>
    </w:lvl>
  </w:abstractNum>
  <w:abstractNum w:abstractNumId="335">
    <w:nsid w:val="71D601AF"/>
    <w:multiLevelType w:val="hybridMultilevel"/>
    <w:lvl w:ilvl="0">
      <w:lvlJc w:val="left"/>
      <w:lvlText w:val="%1:"/>
      <w:numFmt w:val="upperLetter"/>
      <w:start w:val="1"/>
    </w:lvl>
  </w:abstractNum>
  <w:abstractNum w:abstractNumId="336">
    <w:nsid w:val="52C77402"/>
    <w:multiLevelType w:val="hybridMultilevel"/>
    <w:lvl w:ilvl="0">
      <w:lvlJc w:val="left"/>
      <w:lvlText w:val="%1:"/>
      <w:numFmt w:val="upperLetter"/>
      <w:start w:val="1"/>
    </w:lvl>
  </w:abstractNum>
  <w:abstractNum w:abstractNumId="337">
    <w:nsid w:val="2BB5B1C6"/>
    <w:multiLevelType w:val="hybridMultilevel"/>
    <w:lvl w:ilvl="0">
      <w:lvlJc w:val="left"/>
      <w:lvlText w:val="%1:"/>
      <w:numFmt w:val="upperLetter"/>
      <w:start w:val="17"/>
    </w:lvl>
  </w:abstractNum>
  <w:abstractNum w:abstractNumId="338">
    <w:nsid w:val="66BE6B9"/>
    <w:multiLevelType w:val="hybridMultilevel"/>
    <w:lvl w:ilvl="0">
      <w:lvlJc w:val="left"/>
      <w:lvlText w:val="%1:"/>
      <w:numFmt w:val="upperLetter"/>
      <w:start w:val="1"/>
    </w:lvl>
  </w:abstractNum>
  <w:abstractNum w:abstractNumId="339">
    <w:nsid w:val="62234363"/>
    <w:multiLevelType w:val="hybridMultilevel"/>
    <w:lvl w:ilvl="0">
      <w:lvlJc w:val="left"/>
      <w:lvlText w:val="%1:"/>
      <w:numFmt w:val="upperLetter"/>
      <w:start w:val="1"/>
    </w:lvl>
  </w:abstractNum>
  <w:abstractNum w:abstractNumId="340">
    <w:nsid w:val="66D385C9"/>
    <w:multiLevelType w:val="hybridMultilevel"/>
    <w:lvl w:ilvl="0">
      <w:lvlJc w:val="left"/>
      <w:lvlText w:val="%1:"/>
      <w:numFmt w:val="upperLetter"/>
      <w:start w:val="1"/>
    </w:lvl>
  </w:abstractNum>
  <w:abstractNum w:abstractNumId="341">
    <w:nsid w:val="596F6D8A"/>
    <w:multiLevelType w:val="hybridMultilevel"/>
    <w:lvl w:ilvl="0">
      <w:lvlJc w:val="left"/>
      <w:lvlText w:val="%1:"/>
      <w:numFmt w:val="upperLetter"/>
      <w:start w:val="1"/>
    </w:lvl>
  </w:abstractNum>
  <w:abstractNum w:abstractNumId="342">
    <w:nsid w:val="5749361F"/>
    <w:multiLevelType w:val="hybridMultilevel"/>
    <w:lvl w:ilvl="0">
      <w:lvlJc w:val="left"/>
      <w:lvlText w:val="%1:"/>
      <w:numFmt w:val="upperLetter"/>
      <w:start w:val="1"/>
    </w:lvl>
  </w:abstractNum>
  <w:abstractNum w:abstractNumId="343">
    <w:nsid w:val="73BC6770"/>
    <w:multiLevelType w:val="hybridMultilevel"/>
    <w:lvl w:ilvl="0">
      <w:lvlJc w:val="left"/>
      <w:lvlText w:val="%1:"/>
      <w:numFmt w:val="upperLetter"/>
      <w:start w:val="1"/>
    </w:lvl>
  </w:abstractNum>
  <w:abstractNum w:abstractNumId="344">
    <w:nsid w:val="280E6897"/>
    <w:multiLevelType w:val="hybridMultilevel"/>
    <w:lvl w:ilvl="0">
      <w:lvlJc w:val="left"/>
      <w:lvlText w:val="%1:"/>
      <w:numFmt w:val="upperLetter"/>
      <w:start w:val="1"/>
    </w:lvl>
  </w:abstractNum>
  <w:abstractNum w:abstractNumId="345">
    <w:nsid w:val="605138DE"/>
    <w:multiLevelType w:val="hybridMultilevel"/>
    <w:lvl w:ilvl="0">
      <w:lvlJc w:val="left"/>
      <w:lvlText w:val="%1:"/>
      <w:numFmt w:val="upperLetter"/>
      <w:start w:val="1"/>
    </w:lvl>
  </w:abstractNum>
  <w:abstractNum w:abstractNumId="346">
    <w:nsid w:val="2622AD0C"/>
    <w:multiLevelType w:val="hybridMultilevel"/>
    <w:lvl w:ilvl="0">
      <w:lvlJc w:val="left"/>
      <w:lvlText w:val="%1:"/>
      <w:numFmt w:val="upperLetter"/>
      <w:start w:val="1"/>
    </w:lvl>
  </w:abstractNum>
  <w:abstractNum w:abstractNumId="347">
    <w:nsid w:val="67997556"/>
    <w:multiLevelType w:val="hybridMultilevel"/>
    <w:lvl w:ilvl="0">
      <w:lvlJc w:val="left"/>
      <w:lvlText w:val="%1:"/>
      <w:numFmt w:val="upperLetter"/>
      <w:start w:val="1"/>
    </w:lvl>
  </w:abstractNum>
  <w:abstractNum w:abstractNumId="348">
    <w:nsid w:val="18333C89"/>
    <w:multiLevelType w:val="hybridMultilevel"/>
    <w:lvl w:ilvl="0">
      <w:lvlJc w:val="left"/>
      <w:lvlText w:val="%1:"/>
      <w:numFmt w:val="upperLetter"/>
      <w:start w:val="17"/>
    </w:lvl>
  </w:abstractNum>
  <w:abstractNum w:abstractNumId="349">
    <w:nsid w:val="4BA9831A"/>
    <w:multiLevelType w:val="hybridMultilevel"/>
    <w:lvl w:ilvl="0">
      <w:lvlJc w:val="left"/>
      <w:lvlText w:val="%1:"/>
      <w:numFmt w:val="upperLetter"/>
      <w:start w:val="1"/>
    </w:lvl>
  </w:abstractNum>
  <w:abstractNum w:abstractNumId="350">
    <w:nsid w:val="6D71A2B"/>
    <w:multiLevelType w:val="hybridMultilevel"/>
    <w:lvl w:ilvl="0">
      <w:lvlJc w:val="left"/>
      <w:lvlText w:val="%1:"/>
      <w:numFmt w:val="upperLetter"/>
      <w:start w:val="1"/>
    </w:lvl>
  </w:abstractNum>
  <w:abstractNum w:abstractNumId="351">
    <w:nsid w:val="CFC7321"/>
    <w:multiLevelType w:val="hybridMultilevel"/>
    <w:lvl w:ilvl="0">
      <w:lvlJc w:val="left"/>
      <w:lvlText w:val="%1:"/>
      <w:numFmt w:val="upperLetter"/>
      <w:start w:val="1"/>
    </w:lvl>
  </w:abstractNum>
  <w:abstractNum w:abstractNumId="352">
    <w:nsid w:val="1421971B"/>
    <w:multiLevelType w:val="hybridMultilevel"/>
    <w:lvl w:ilvl="0">
      <w:lvlJc w:val="left"/>
      <w:lvlText w:val="%1:"/>
      <w:numFmt w:val="upperLetter"/>
      <w:start w:val="1"/>
    </w:lvl>
  </w:abstractNum>
  <w:abstractNum w:abstractNumId="353">
    <w:nsid w:val="1F404301"/>
    <w:multiLevelType w:val="hybridMultilevel"/>
    <w:lvl w:ilvl="0">
      <w:lvlJc w:val="left"/>
      <w:lvlText w:val="%1:"/>
      <w:numFmt w:val="upperLetter"/>
      <w:start w:val="1"/>
    </w:lvl>
  </w:abstractNum>
  <w:abstractNum w:abstractNumId="354">
    <w:nsid w:val="116E0907"/>
    <w:multiLevelType w:val="hybridMultilevel"/>
    <w:lvl w:ilvl="0">
      <w:lvlJc w:val="left"/>
      <w:lvlText w:val="%1:"/>
      <w:numFmt w:val="upperLetter"/>
      <w:start w:val="1"/>
    </w:lvl>
  </w:abstractNum>
  <w:abstractNum w:abstractNumId="355">
    <w:nsid w:val="4B683D0D"/>
    <w:multiLevelType w:val="hybridMultilevel"/>
    <w:lvl w:ilvl="0">
      <w:lvlJc w:val="left"/>
      <w:lvlText w:val="%1."/>
      <w:numFmt w:val="decimal"/>
      <w:start w:val="1"/>
    </w:lvl>
    <w:lvl w:ilvl="1">
      <w:lvlJc w:val="left"/>
      <w:lvlText w:val="(%2)"/>
      <w:numFmt w:val="lowerLetter"/>
      <w:start w:val="1"/>
    </w:lvl>
  </w:abstractNum>
  <w:abstractNum w:abstractNumId="356">
    <w:nsid w:val="76E41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jpeg"/><Relationship Id="rId207" Type="http://schemas.openxmlformats.org/officeDocument/2006/relationships/image" Target="media/image175.jpeg"/><Relationship Id="rId208" Type="http://schemas.openxmlformats.org/officeDocument/2006/relationships/image" Target="media/image176.jpeg"/><Relationship Id="rId209" Type="http://schemas.openxmlformats.org/officeDocument/2006/relationships/image" Target="media/image177.jpeg"/><Relationship Id="rId210" Type="http://schemas.openxmlformats.org/officeDocument/2006/relationships/image" Target="media/image178.jpe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160" Type="http://schemas.openxmlformats.org/officeDocument/2006/relationships/hyperlink" Target="https://www.sec.gov/Archives/edgar/data/1870940/000110465921133100/tm2121217d23_ex3-1.htm" TargetMode="External"/><Relationship Id="rId161" Type="http://schemas.openxmlformats.org/officeDocument/2006/relationships/hyperlink" Target="https://www.sec.gov/Archives/edgar/data/1870940/000110465921127861/tm2121217d11_ex3-4.htm" TargetMode="External"/><Relationship Id="rId162" Type="http://schemas.openxmlformats.org/officeDocument/2006/relationships/hyperlink" Target="https://www.sec.gov/Archives/edgar/data/1870940/000110465921130215/tm2121217d14_ex4-1.htm" TargetMode="External"/><Relationship Id="rId163" Type="http://schemas.openxmlformats.org/officeDocument/2006/relationships/hyperlink" Target="https://www.sec.gov/Archives/edgar/data/1870940/000110465921133100/tm2121217d23_ex10-2.htm" TargetMode="External"/><Relationship Id="rId164" Type="http://schemas.openxmlformats.org/officeDocument/2006/relationships/hyperlink" Target="https://www.sec.gov/Archives/edgar/data/1870940/000187094024000045/exhibit101stockholderagree.htm" TargetMode="External"/><Relationship Id="rId165" Type="http://schemas.openxmlformats.org/officeDocument/2006/relationships/hyperlink" Target="https://www.sec.gov/Archives/edgar/data/1870940/000187094022000011/exhibit44.htm" TargetMode="External"/><Relationship Id="rId166" Type="http://schemas.openxmlformats.org/officeDocument/2006/relationships/hyperlink" Target="https://www.sec.gov/Archives/edgar/data/1870940/000110465921127861/tm2121217d11_ex10-1.htm" TargetMode="External"/><Relationship Id="rId167" Type="http://schemas.openxmlformats.org/officeDocument/2006/relationships/hyperlink" Target="https://www.sec.gov/Archives/edgar/data/1870940/000187094022000050/exhibit101.htm" TargetMode="External"/><Relationship Id="rId168" Type="http://schemas.openxmlformats.org/officeDocument/2006/relationships/hyperlink" Target="https://www.sec.gov/Archives/edgar/data/0001870940/000110465924099870/tm2424025d1_10-1.htm" TargetMode="External"/><Relationship Id="rId169" Type="http://schemas.openxmlformats.org/officeDocument/2006/relationships/hyperlink" Target="https://www.sec.gov/Archives/edgar/data/1870940/000110465921123187/tm2121217d8_ex10-6.htm" TargetMode="External"/><Relationship Id="rId170" Type="http://schemas.openxmlformats.org/officeDocument/2006/relationships/hyperlink" Target="https://www.sec.gov/Archives/edgar/data/1870940/000110465921123187/tm2121217d8_ex10-7.htm" TargetMode="External"/><Relationship Id="rId171" Type="http://schemas.openxmlformats.org/officeDocument/2006/relationships/hyperlink" Target="https://www.sec.gov/Archives/edgar/data/1870940/000110465921127861/tm2121217d11_ex10-6.htm" TargetMode="External"/><Relationship Id="rId172" Type="http://schemas.openxmlformats.org/officeDocument/2006/relationships/hyperlink" Target="https://www.sec.gov/Archives/edgar/data/1870940/000110465923001736/tm232309d1_ex10-1.htm" TargetMode="External"/><Relationship Id="rId173" Type="http://schemas.openxmlformats.org/officeDocument/2006/relationships/hyperlink" Target="https://www.sec.gov/Archives/edgar/data/0001870940/000110465924087505/tm2421260d1_ex10-1.htm" TargetMode="External"/><Relationship Id="rId176" Type="http://schemas.openxmlformats.org/officeDocument/2006/relationships/hyperlink" Target="https://www.sec.gov/Archives/edgar/data/1870940/000110465923001736/tm232309d1_ex10-3.htm" TargetMode="External"/><Relationship Id="rId177" Type="http://schemas.openxmlformats.org/officeDocument/2006/relationships/hyperlink" Target="https://www.sec.gov/Archives/edgar/data/1870940/000110465921127861/tm2121217d11_ex10-12.htm" TargetMode="External"/><Relationship Id="rId178" Type="http://schemas.openxmlformats.org/officeDocument/2006/relationships/hyperlink" Target="https://www.sec.gov/Archives/edgar/data/0001870940/000110465924129178/tm2431265d1_ex10-1.htm" TargetMode="External"/><Relationship Id="rId179" Type="http://schemas.openxmlformats.org/officeDocument/2006/relationships/hyperlink" Target="https://www.sec.gov/Archives/edgar/data/1870940/000110465921127861/tm2121217d11_ex10-7.htm" TargetMode="External"/><Relationship Id="rId180" Type="http://schemas.openxmlformats.org/officeDocument/2006/relationships/hyperlink" Target="https://www.sec.gov/Archives/edgar/data/1870940/000110465921127861/tm2121217d11_ex10-8.htm" TargetMode="External"/><Relationship Id="rId181" Type="http://schemas.openxmlformats.org/officeDocument/2006/relationships/hyperlink" Target="https://www.sec.gov/Archives/edgar/data/1870940/000110465921130215/tm2121217d14_ex10-14.htm" TargetMode="External"/><Relationship Id="rId182" Type="http://schemas.openxmlformats.org/officeDocument/2006/relationships/hyperlink" Target="https://www.sec.gov/Archives/edgar/data/1870940/000110465921130215/tm2121217d14_ex10-15.htm" TargetMode="External"/><Relationship Id="rId183" Type="http://schemas.openxmlformats.org/officeDocument/2006/relationships/hyperlink" Target="https://www.sec.gov/Archives/edgar/data/1870940/000110465921130215/tm2121217d14_ex10-16.htm" TargetMode="External"/><Relationship Id="rId184" Type="http://schemas.openxmlformats.org/officeDocument/2006/relationships/hyperlink" Target="https://www.sec.gov/Archives/edgar/data/1870940/000110465922029649/tm228228d1_ex10-1.htm" TargetMode="External"/><Relationship Id="rId185" Type="http://schemas.openxmlformats.org/officeDocument/2006/relationships/hyperlink" Target="https://www.sec.gov/Archives/edgar/data/1870940/000110465921123187/tm2121217d8_ex21-1.htm" TargetMode="External"/><Relationship Id="rId186" Type="http://schemas.openxmlformats.org/officeDocument/2006/relationships/hyperlink" Target="https://www.sec.gov/Archives/edgar/data/0001870940/000187094024000005/aex97compensationclawback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2025-03-14T13:28:56Z</dcterms:created>
  <dcterms:modified xsi:type="dcterms:W3CDTF">2025-03-14T13:28:56Z</dcterms:modified>
</cp:coreProperties>
</file>