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925830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951865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25"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 the quarterly period ended March 31, 2025</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107" w:lineRule="exact"/>
        <w:rPr>
          <w:sz w:val="24"/>
          <w:szCs w:val="24"/>
          <w:color w:val="auto"/>
        </w:rPr>
      </w:pPr>
    </w:p>
    <w:p>
      <w:pPr>
        <w:ind w:left="3620" w:right="2800" w:hanging="3612"/>
        <w:spacing w:after="0" w:line="396" w:lineRule="auto"/>
        <w:tabs>
          <w:tab w:leader="none" w:pos="198"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 to __________.</w:t>
      </w:r>
    </w:p>
    <w:p>
      <w:pPr>
        <w:ind w:left="43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001-40973</w:t>
      </w:r>
    </w:p>
    <w:p>
      <w:pPr>
        <w:spacing w:after="0" w:line="102" w:lineRule="exact"/>
        <w:rPr>
          <w:sz w:val="24"/>
          <w:szCs w:val="24"/>
          <w:color w:val="auto"/>
        </w:rPr>
      </w:pPr>
    </w:p>
    <w:tbl>
      <w:tblPr>
        <w:tblLayout w:type="fixed"/>
        <w:tblInd w:w="1500" w:type="dxa"/>
        <w:tblCellMar>
          <w:top w:w="0" w:type="dxa"/>
          <w:left w:w="0" w:type="dxa"/>
          <w:bottom w:w="0" w:type="dxa"/>
          <w:right w:w="0" w:type="dxa"/>
        </w:tblCellMar>
      </w:tblPr>
      <w:tr>
        <w:trPr>
          <w:trHeight w:val="242"/>
        </w:trPr>
        <w:tc>
          <w:tcPr>
            <w:tcW w:w="6080" w:type="dxa"/>
            <w:vAlign w:val="bottom"/>
          </w:tcPr>
          <w:p>
            <w:pPr>
              <w:jc w:val="center"/>
              <w:ind w:left="2097"/>
              <w:spacing w:after="0"/>
              <w:rPr>
                <w:sz w:val="20"/>
                <w:szCs w:val="20"/>
                <w:color w:val="auto"/>
              </w:rPr>
            </w:pPr>
            <w:r>
              <w:rPr>
                <w:rFonts w:ascii="Times New Roman" w:cs="Times New Roman" w:eastAsia="Times New Roman" w:hAnsi="Times New Roman"/>
                <w:sz w:val="20"/>
                <w:szCs w:val="20"/>
                <w:b w:val="1"/>
                <w:bCs w:val="1"/>
                <w:color w:val="auto"/>
                <w:w w:val="98"/>
              </w:rPr>
              <w:t>AirSculpt Technologies, Inc.</w:t>
            </w:r>
          </w:p>
        </w:tc>
        <w:tc>
          <w:tcPr>
            <w:tcW w:w="1480" w:type="dxa"/>
            <w:vAlign w:val="bottom"/>
          </w:tcPr>
          <w:p>
            <w:pPr>
              <w:spacing w:after="0"/>
              <w:rPr>
                <w:sz w:val="21"/>
                <w:szCs w:val="21"/>
                <w:color w:val="auto"/>
              </w:rPr>
            </w:pPr>
          </w:p>
        </w:tc>
      </w:tr>
      <w:tr>
        <w:trPr>
          <w:trHeight w:val="210"/>
        </w:trPr>
        <w:tc>
          <w:tcPr>
            <w:tcW w:w="6080" w:type="dxa"/>
            <w:vAlign w:val="bottom"/>
          </w:tcPr>
          <w:p>
            <w:pPr>
              <w:jc w:val="center"/>
              <w:ind w:left="2097"/>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1480" w:type="dxa"/>
            <w:vAlign w:val="bottom"/>
          </w:tcPr>
          <w:p>
            <w:pPr>
              <w:spacing w:after="0"/>
              <w:rPr>
                <w:sz w:val="18"/>
                <w:szCs w:val="18"/>
                <w:color w:val="auto"/>
              </w:rPr>
            </w:pPr>
          </w:p>
        </w:tc>
      </w:tr>
      <w:tr>
        <w:trPr>
          <w:trHeight w:val="351"/>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87-1471855</w:t>
            </w:r>
          </w:p>
        </w:tc>
      </w:tr>
      <w:tr>
        <w:trPr>
          <w:trHeight w:val="235"/>
        </w:trPr>
        <w:tc>
          <w:tcPr>
            <w:tcW w:w="6080" w:type="dxa"/>
            <w:vAlign w:val="bottom"/>
          </w:tcPr>
          <w:p>
            <w:pPr>
              <w:jc w:val="center"/>
              <w:ind w:right="3437"/>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86"/>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w w:val="99"/>
              </w:rPr>
              <w:t>1111 Lincoln Road, Suite 802</w:t>
            </w:r>
          </w:p>
        </w:tc>
        <w:tc>
          <w:tcPr>
            <w:tcW w:w="1480" w:type="dxa"/>
            <w:vAlign w:val="bottom"/>
          </w:tcPr>
          <w:p>
            <w:pPr>
              <w:spacing w:after="0"/>
              <w:rPr>
                <w:sz w:val="24"/>
                <w:szCs w:val="24"/>
                <w:color w:val="auto"/>
              </w:rPr>
            </w:pPr>
          </w:p>
        </w:tc>
      </w:tr>
      <w:tr>
        <w:trPr>
          <w:trHeight w:val="243"/>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rPr>
              <w:t>Miami Beach, FL</w:t>
            </w:r>
          </w:p>
        </w:tc>
        <w:tc>
          <w:tcPr>
            <w:tcW w:w="14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33139</w:t>
            </w:r>
          </w:p>
        </w:tc>
      </w:tr>
      <w:tr>
        <w:trPr>
          <w:trHeight w:val="243"/>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(786) 709-9690</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303"/>
        </w:trPr>
        <w:tc>
          <w:tcPr>
            <w:tcW w:w="156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8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30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58"/>
        </w:trPr>
        <w:tc>
          <w:tcPr>
            <w:tcW w:w="496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AIRS</w:t>
            </w:r>
          </w:p>
        </w:tc>
        <w:tc>
          <w:tcPr>
            <w:tcW w:w="130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200" w:lineRule="exact"/>
        <w:rPr>
          <w:sz w:val="24"/>
          <w:szCs w:val="24"/>
          <w:color w:val="auto"/>
        </w:rPr>
      </w:pPr>
    </w:p>
    <w:p>
      <w:pPr>
        <w:spacing w:after="0" w:line="251"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1"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140" w:type="dxa"/>
        <w:tblCellMar>
          <w:top w:w="0" w:type="dxa"/>
          <w:left w:w="0" w:type="dxa"/>
          <w:bottom w:w="0" w:type="dxa"/>
          <w:right w:w="0" w:type="dxa"/>
        </w:tblCellMar>
      </w:tblPr>
      <w:tr>
        <w:trPr>
          <w:trHeight w:val="210"/>
        </w:trPr>
        <w:tc>
          <w:tcPr>
            <w:tcW w:w="16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Large accelerated filer</w:t>
            </w:r>
          </w:p>
        </w:tc>
        <w:tc>
          <w:tcPr>
            <w:tcW w:w="1740" w:type="dxa"/>
            <w:vAlign w:val="bottom"/>
          </w:tcPr>
          <w:p>
            <w:pPr>
              <w:ind w:left="180"/>
              <w:spacing w:after="0"/>
              <w:rPr>
                <w:sz w:val="20"/>
                <w:szCs w:val="20"/>
                <w:color w:val="auto"/>
              </w:rPr>
            </w:pPr>
            <w:r>
              <w:rPr>
                <w:rFonts w:ascii="Wingdings" w:cs="Wingdings" w:eastAsia="Wingdings" w:hAnsi="Wingdings"/>
                <w:sz w:val="16"/>
                <w:szCs w:val="16"/>
                <w:b w:val="1"/>
                <w:bCs w:val="1"/>
                <w:color w:val="auto"/>
              </w:rPr>
              <w:t>o</w:t>
            </w:r>
          </w:p>
        </w:tc>
        <w:tc>
          <w:tcPr>
            <w:tcW w:w="3360" w:type="dxa"/>
            <w:vAlign w:val="bottom"/>
          </w:tcPr>
          <w:p>
            <w:pPr>
              <w:jc w:val="center"/>
              <w:ind w:left="1059"/>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00"/>
              <w:spacing w:after="0"/>
              <w:rPr>
                <w:sz w:val="20"/>
                <w:szCs w:val="20"/>
                <w:color w:val="auto"/>
              </w:rPr>
            </w:pPr>
            <w:r>
              <w:rPr>
                <w:rFonts w:ascii="Wingdings" w:cs="Wingdings" w:eastAsia="Wingdings" w:hAnsi="Wingdings"/>
                <w:sz w:val="16"/>
                <w:szCs w:val="16"/>
                <w:b w:val="1"/>
                <w:bCs w:val="1"/>
                <w:color w:val="auto"/>
              </w:rPr>
              <w:t>o</w:t>
            </w:r>
          </w:p>
        </w:tc>
      </w:tr>
      <w:tr>
        <w:trPr>
          <w:trHeight w:val="243"/>
        </w:trPr>
        <w:tc>
          <w:tcPr>
            <w:tcW w:w="16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Non-accelerated filer</w:t>
            </w:r>
          </w:p>
        </w:tc>
        <w:tc>
          <w:tcPr>
            <w:tcW w:w="1740" w:type="dxa"/>
            <w:vAlign w:val="bottom"/>
          </w:tcPr>
          <w:p>
            <w:pPr>
              <w:ind w:left="180"/>
              <w:spacing w:after="0"/>
              <w:rPr>
                <w:sz w:val="20"/>
                <w:szCs w:val="20"/>
                <w:color w:val="auto"/>
              </w:rPr>
            </w:pPr>
            <w:r>
              <w:rPr>
                <w:rFonts w:ascii="Wingdings" w:cs="Wingdings" w:eastAsia="Wingdings" w:hAnsi="Wingdings"/>
                <w:sz w:val="16"/>
                <w:szCs w:val="16"/>
                <w:b w:val="1"/>
                <w:bCs w:val="1"/>
                <w:color w:val="auto"/>
              </w:rPr>
              <w:t>x</w:t>
            </w:r>
          </w:p>
        </w:tc>
        <w:tc>
          <w:tcPr>
            <w:tcW w:w="3360" w:type="dxa"/>
            <w:vAlign w:val="bottom"/>
          </w:tcPr>
          <w:p>
            <w:pPr>
              <w:jc w:val="center"/>
              <w:ind w:left="105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00"/>
              <w:spacing w:after="0"/>
              <w:rPr>
                <w:sz w:val="20"/>
                <w:szCs w:val="20"/>
                <w:color w:val="auto"/>
              </w:rPr>
            </w:pPr>
            <w:r>
              <w:rPr>
                <w:rFonts w:ascii="Wingdings" w:cs="Wingdings" w:eastAsia="Wingdings" w:hAnsi="Wingdings"/>
                <w:sz w:val="16"/>
                <w:szCs w:val="16"/>
                <w:b w:val="1"/>
                <w:bCs w:val="1"/>
                <w:color w:val="auto"/>
                <w:w w:val="94"/>
              </w:rPr>
              <w:t>x</w:t>
            </w:r>
          </w:p>
        </w:tc>
      </w:tr>
      <w:tr>
        <w:trPr>
          <w:trHeight w:val="243"/>
        </w:trPr>
        <w:tc>
          <w:tcPr>
            <w:tcW w:w="16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360" w:type="dxa"/>
            <w:vAlign w:val="bottom"/>
          </w:tcPr>
          <w:p>
            <w:pPr>
              <w:jc w:val="center"/>
              <w:ind w:left="1059"/>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0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168"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4" w:lineRule="exact"/>
        <w:rPr>
          <w:sz w:val="24"/>
          <w:szCs w:val="24"/>
          <w:color w:val="auto"/>
        </w:rPr>
      </w:pPr>
    </w:p>
    <w:p>
      <w:pPr>
        <w:ind w:right="298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registrant had 58,779,850 shares of common stock outstanding as of May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80" w:type="dxa"/>
            <w:vAlign w:val="bottom"/>
            <w:gridSpan w:val="9"/>
          </w:tcPr>
          <w:p>
            <w:pPr>
              <w:ind w:left="1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00" w:type="dxa"/>
            <w:vAlign w:val="bottom"/>
            <w:tcBorders>
              <w:top w:val="single" w:sz="8" w:color="0000FF"/>
            </w:tcBorders>
            <w:gridSpan w:val="4"/>
          </w:tcPr>
          <w:p>
            <w:pPr>
              <w:spacing w:after="0"/>
              <w:rPr>
                <w:sz w:val="24"/>
                <w:szCs w:val="24"/>
                <w:color w:val="auto"/>
              </w:rPr>
            </w:pPr>
          </w:p>
        </w:tc>
        <w:tc>
          <w:tcPr>
            <w:tcW w:w="20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400" w:type="dxa"/>
            <w:vAlign w:val="bottom"/>
            <w:gridSpan w:val="10"/>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(Unaudited) and December 31,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5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2025 and 2024 (Unaudited)</w:t>
            </w:r>
          </w:p>
        </w:tc>
        <w:tc>
          <w:tcPr>
            <w:tcW w:w="840" w:type="dxa"/>
            <w:vAlign w:val="bottom"/>
            <w:gridSpan w:val="4"/>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Other Comprehensive (Loss)/Income for the Three Months Ended March 31, 2025 and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8"/>
              </w:rPr>
              <w:t>2024 (Unaudited)</w:t>
            </w:r>
          </w:p>
        </w:tc>
        <w:tc>
          <w:tcPr>
            <w:tcW w:w="7840" w:type="dxa"/>
            <w:vAlign w:val="bottom"/>
            <w:tcBorders>
              <w:top w:val="single" w:sz="8" w:color="0000FF"/>
            </w:tcBorders>
            <w:gridSpan w:val="12"/>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 2025 and 2024</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(Unaudited)</w:t>
            </w: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2025 and 2024 (Unaudited)</w:t>
            </w:r>
          </w:p>
        </w:tc>
        <w:tc>
          <w:tcPr>
            <w:tcW w:w="800" w:type="dxa"/>
            <w:vAlign w:val="bottom"/>
            <w:gridSpan w:val="3"/>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r>
              <w:rPr>
                <w:rFonts w:ascii="Times New Roman" w:cs="Times New Roman" w:eastAsia="Times New Roman" w:hAnsi="Times New Roman"/>
                <w:sz w:val="18"/>
                <w:szCs w:val="18"/>
                <w:color w:val="000000"/>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380" w:type="dxa"/>
            <w:vAlign w:val="bottom"/>
            <w:gridSpan w:val="2"/>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0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60" w:type="dxa"/>
            <w:vAlign w:val="bottom"/>
            <w:tcBorders>
              <w:left w:val="single" w:sz="8" w:color="0000FF"/>
            </w:tcBorders>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Pr>
          <w:p>
            <w:pPr>
              <w:spacing w:after="0"/>
              <w:rPr>
                <w:sz w:val="20"/>
                <w:szCs w:val="20"/>
                <w:color w:val="auto"/>
              </w:rPr>
            </w:pPr>
          </w:p>
        </w:tc>
        <w:tc>
          <w:tcPr>
            <w:tcW w:w="480" w:type="dxa"/>
            <w:vAlign w:val="bottom"/>
            <w:gridSpan w:val="3"/>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380" w:type="dxa"/>
            <w:vAlign w:val="bottom"/>
            <w:tcBorders>
              <w:top w:val="single" w:sz="8" w:color="0000FF"/>
            </w:tcBorders>
            <w:gridSpan w:val="2"/>
          </w:tcPr>
          <w:p>
            <w:pPr>
              <w:spacing w:after="0"/>
              <w:rPr>
                <w:sz w:val="20"/>
                <w:szCs w:val="20"/>
                <w:color w:val="auto"/>
              </w:rPr>
            </w:pP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640" w:type="dxa"/>
            <w:vAlign w:val="bottom"/>
            <w:gridSpan w:val="11"/>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80" w:type="dxa"/>
            <w:vAlign w:val="bottom"/>
            <w:gridSpan w:val="3"/>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08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480" w:type="dxa"/>
            <w:vAlign w:val="bottom"/>
            <w:gridSpan w:val="3"/>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480" w:type="dxa"/>
            <w:vAlign w:val="bottom"/>
            <w:gridSpan w:val="3"/>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808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480" w:type="dxa"/>
            <w:vAlign w:val="bottom"/>
            <w:gridSpan w:val="3"/>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made statements in the sections titled “Risk Factors,” “Management’s Discussion and Analysis of Financial Condition and Results of Operations,” “Quantitative and Qualitative Disclosures About Market Risk” and in other sections of this Quarterly Report on Form 10-Q that are forward-looking statements. In some cases, you can identify these statements by forward-looking words such as “may,” “might,” “will,” “should,” “expects,” “plans,” “anticipates,” “believes,” “estimates,” “predicts,” “potential” or “continue,” the negative of these terms and other comparable terminology, but the absence of these words does not mean that a statement is not forward-looking.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You are cautioned that there are important risks and uncertainties, many of which are beyond our control, that could cause our actual results, level of activity, performance or achievements to differ materially from the projected results, level of activity, performance or achievements that are expressed or implied by such forward-looking statements, including those factors discussed in the section titled “Risk Factors” in our Annual Report on Form 10-K. We qualify all of our forward-looking statements by these cautionary statements.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future results could be affected by a variety of other factors, including, but not limited to, inability to sell equity or other securities in the future at a time when we might otherwise wish to effect sales; inability to raise capital on commercially reasonable terms, if at all; the risk that any future financings may dilute our stockholders or restrict our business; failure to stabilize same-center performance; not being able to optimize our marketing investment, go-to-market strategy and sales process; not having the ability to expand our financing options for consumers; being unsuccessful in further product innovations; failure to operate centers in a cost-effective manner; increased operating expenses due to rising inflation; increased competition in the weight loss and obesity solutions market, including as a result of the recent regulatory approval, increased market acceptance, availability and customer awareness of weight-loss drugs;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the regulatory, macroeconomic conditions, including inflation and the threat of recession, economic and other conditions of the states and jurisdictions where our facilities are located; and business disruption or other losses from natural disasters, war, pandemic, terrorist acts or political unrest.</w:t>
      </w:r>
    </w:p>
    <w:p>
      <w:pPr>
        <w:spacing w:after="0" w:line="20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risk factors discussed in the section titled “Item 1A. Risk Factors” in our Annual Report on Form 10-K could cause our results to differ materially from those anticipated in the forward-looking statements made in this Quarterly Report on Form 10-Q and in other filings we make from time to time with the U.S. Securities and Exchange Commission. There also may be other risks and uncertainties that are currently unknown to us or that we are unable to predict at this time.</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represent our estimates and assumptions only as of the date they were made, which are inherently subject to change, and we are under no duty and we assume no obligation to update any of the forward-looking statements, or to update the reasons actual results could differ materially from those anticipated in the forward-looking statements, after the date of this Quarterly Report on Form 10-Q to conform our prior statements to actual results or revised expectations, except as required by law. Given these uncertainties, investors should not place undue reliance on these forward-looking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 except for shares)</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37,471</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25,669</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41,592</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81,734</w:t>
            </w:r>
          </w:p>
        </w:tc>
        <w:tc>
          <w:tcPr>
            <w:tcW w:w="0" w:type="dxa"/>
            <w:vAlign w:val="bottom"/>
          </w:tcPr>
          <w:p>
            <w:pPr>
              <w:spacing w:after="0"/>
              <w:rPr>
                <w:sz w:val="1"/>
                <w:szCs w:val="1"/>
                <w:color w:val="auto"/>
              </w:rPr>
            </w:pPr>
          </w:p>
        </w:tc>
      </w:tr>
      <w:tr>
        <w:trPr>
          <w:trHeight w:val="25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203,260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209,996</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patient deposits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28,609</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funds payable</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9)</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 shares authorized - 450,000,000; shares issued and outstanding - 58,661,268</w:t>
            </w:r>
          </w:p>
        </w:tc>
        <w:tc>
          <w:tcPr>
            <w:tcW w:w="2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58,369,138, respectively</w:t>
            </w:r>
          </w:p>
        </w:tc>
        <w:tc>
          <w:tcPr>
            <w:tcW w:w="2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107,721</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79,290</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209,996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0" w:lineRule="exact"/>
        <w:rPr>
          <w:sz w:val="20"/>
          <w:szCs w:val="20"/>
          <w:color w:val="auto"/>
        </w:rPr>
      </w:pPr>
    </w:p>
    <w:p>
      <w:pPr>
        <w:spacing w:after="0" w:line="29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$000s, except for shares and per share figures)</w:t>
            </w:r>
          </w:p>
        </w:tc>
        <w:tc>
          <w:tcPr>
            <w:tcW w:w="378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Cost of service (exclusive of depreciation and amortization)</w:t>
      </w:r>
    </w:p>
    <w:p>
      <w:pPr>
        <w:spacing w:after="0" w:line="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disposal of long-lived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(Loss)/income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tabs>
          <w:tab w:leader="none" w:pos="880" w:val="left"/>
          <w:tab w:leader="none" w:pos="1560" w:val="left"/>
          <w:tab w:leader="none" w:pos="2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39,371</w:t>
        <w:tab/>
        <w:t>$</w:t>
      </w:r>
      <w:r>
        <w:rPr>
          <w:sz w:val="20"/>
          <w:szCs w:val="20"/>
          <w:color w:val="auto"/>
        </w:rPr>
        <w:tab/>
      </w:r>
      <w:r>
        <w:rPr>
          <w:rFonts w:ascii="Times New Roman" w:cs="Times New Roman" w:eastAsia="Times New Roman" w:hAnsi="Times New Roman"/>
          <w:sz w:val="17"/>
          <w:szCs w:val="17"/>
          <w:color w:val="auto"/>
        </w:rPr>
        <w:t>47,620</w:t>
      </w:r>
    </w:p>
    <w:p>
      <w:pPr>
        <w:spacing w:after="0" w:line="333" w:lineRule="exact"/>
        <w:rPr>
          <w:sz w:val="20"/>
          <w:szCs w:val="20"/>
          <w:color w:val="auto"/>
        </w:rPr>
      </w:pPr>
    </w:p>
    <w:p>
      <w:pPr>
        <w:ind w:left="900"/>
        <w:spacing w:after="0"/>
        <w:tabs>
          <w:tab w:leader="none" w:pos="2460" w:val="left"/>
        </w:tabs>
        <w:rPr>
          <w:sz w:val="20"/>
          <w:szCs w:val="20"/>
          <w:color w:val="auto"/>
        </w:rPr>
      </w:pPr>
      <w:r>
        <w:rPr>
          <w:rFonts w:ascii="Times New Roman" w:cs="Times New Roman" w:eastAsia="Times New Roman" w:hAnsi="Times New Roman"/>
          <w:sz w:val="17"/>
          <w:szCs w:val="17"/>
          <w:color w:val="auto"/>
        </w:rPr>
        <w:t>15,950</w:t>
      </w:r>
      <w:r>
        <w:rPr>
          <w:sz w:val="20"/>
          <w:szCs w:val="20"/>
          <w:color w:val="auto"/>
        </w:rPr>
        <w:tab/>
      </w:r>
      <w:r>
        <w:rPr>
          <w:rFonts w:ascii="Times New Roman" w:cs="Times New Roman" w:eastAsia="Times New Roman" w:hAnsi="Times New Roman"/>
          <w:sz w:val="17"/>
          <w:szCs w:val="17"/>
          <w:color w:val="auto"/>
        </w:rPr>
        <w:t>18,042</w:t>
      </w:r>
    </w:p>
    <w:p>
      <w:pPr>
        <w:spacing w:after="0" w:line="75" w:lineRule="exact"/>
        <w:rPr>
          <w:sz w:val="20"/>
          <w:szCs w:val="20"/>
          <w:color w:val="auto"/>
        </w:rPr>
      </w:pPr>
    </w:p>
    <w:p>
      <w:pPr>
        <w:ind w:left="900"/>
        <w:spacing w:after="0"/>
        <w:tabs>
          <w:tab w:leader="none" w:pos="2460" w:val="left"/>
        </w:tabs>
        <w:rPr>
          <w:sz w:val="20"/>
          <w:szCs w:val="20"/>
          <w:color w:val="auto"/>
        </w:rPr>
      </w:pPr>
      <w:r>
        <w:rPr>
          <w:rFonts w:ascii="Times New Roman" w:cs="Times New Roman" w:eastAsia="Times New Roman" w:hAnsi="Times New Roman"/>
          <w:sz w:val="17"/>
          <w:szCs w:val="17"/>
          <w:color w:val="auto"/>
        </w:rPr>
        <w:t>21,768</w:t>
      </w:r>
      <w:r>
        <w:rPr>
          <w:sz w:val="20"/>
          <w:szCs w:val="20"/>
          <w:color w:val="auto"/>
        </w:rPr>
        <w:tab/>
      </w:r>
      <w:r>
        <w:rPr>
          <w:rFonts w:ascii="Times New Roman" w:cs="Times New Roman" w:eastAsia="Times New Roman" w:hAnsi="Times New Roman"/>
          <w:sz w:val="17"/>
          <w:szCs w:val="17"/>
          <w:color w:val="auto"/>
        </w:rPr>
        <w:t>15,756</w:t>
      </w:r>
    </w:p>
    <w:p>
      <w:pPr>
        <w:spacing w:after="0" w:line="75" w:lineRule="exact"/>
        <w:rPr>
          <w:sz w:val="20"/>
          <w:szCs w:val="20"/>
          <w:color w:val="auto"/>
        </w:rPr>
      </w:pPr>
    </w:p>
    <w:p>
      <w:pPr>
        <w:jc w:val="both"/>
        <w:ind w:left="980"/>
        <w:spacing w:after="0"/>
        <w:tabs>
          <w:tab w:leader="none" w:pos="2540" w:val="left"/>
        </w:tabs>
        <w:rPr>
          <w:sz w:val="20"/>
          <w:szCs w:val="20"/>
          <w:color w:val="auto"/>
        </w:rPr>
      </w:pPr>
      <w:r>
        <w:rPr>
          <w:rFonts w:ascii="Times New Roman" w:cs="Times New Roman" w:eastAsia="Times New Roman" w:hAnsi="Times New Roman"/>
          <w:sz w:val="18"/>
          <w:szCs w:val="18"/>
          <w:color w:val="auto"/>
        </w:rPr>
        <w:t>3,242</w:t>
      </w:r>
      <w:r>
        <w:rPr>
          <w:sz w:val="20"/>
          <w:szCs w:val="20"/>
          <w:color w:val="auto"/>
        </w:rPr>
        <w:tab/>
      </w:r>
      <w:r>
        <w:rPr>
          <w:rFonts w:ascii="Times New Roman" w:cs="Times New Roman" w:eastAsia="Times New Roman" w:hAnsi="Times New Roman"/>
          <w:sz w:val="18"/>
          <w:szCs w:val="18"/>
          <w:color w:val="auto"/>
        </w:rPr>
        <w:t>2,805</w:t>
      </w:r>
    </w:p>
    <w:p>
      <w:pPr>
        <w:spacing w:after="0" w:line="63" w:lineRule="exact"/>
        <w:rPr>
          <w:sz w:val="20"/>
          <w:szCs w:val="20"/>
          <w:color w:val="auto"/>
        </w:rPr>
      </w:pPr>
    </w:p>
    <w:p>
      <w:pPr>
        <w:jc w:val="both"/>
        <w:ind w:left="1200"/>
        <w:spacing w:after="0"/>
        <w:tabs>
          <w:tab w:leader="none" w:pos="2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w:t>
      </w:r>
    </w:p>
    <w:p>
      <w:pPr>
        <w:spacing w:after="0" w:line="63" w:lineRule="exact"/>
        <w:rPr>
          <w:sz w:val="20"/>
          <w:szCs w:val="20"/>
          <w:color w:val="auto"/>
        </w:rPr>
      </w:pPr>
    </w:p>
    <w:p>
      <w:pPr>
        <w:ind w:left="900"/>
        <w:spacing w:after="0"/>
        <w:tabs>
          <w:tab w:leader="none" w:pos="2460" w:val="left"/>
        </w:tabs>
        <w:rPr>
          <w:sz w:val="20"/>
          <w:szCs w:val="20"/>
          <w:color w:val="auto"/>
        </w:rPr>
      </w:pPr>
      <w:r>
        <w:rPr>
          <w:rFonts w:ascii="Times New Roman" w:cs="Times New Roman" w:eastAsia="Times New Roman" w:hAnsi="Times New Roman"/>
          <w:sz w:val="17"/>
          <w:szCs w:val="17"/>
          <w:color w:val="auto"/>
        </w:rPr>
        <w:t>40,960</w:t>
      </w:r>
      <w:r>
        <w:rPr>
          <w:sz w:val="20"/>
          <w:szCs w:val="20"/>
          <w:color w:val="auto"/>
        </w:rPr>
        <w:tab/>
      </w:r>
      <w:r>
        <w:rPr>
          <w:rFonts w:ascii="Times New Roman" w:cs="Times New Roman" w:eastAsia="Times New Roman" w:hAnsi="Times New Roman"/>
          <w:sz w:val="17"/>
          <w:szCs w:val="17"/>
          <w:color w:val="auto"/>
        </w:rPr>
        <w:t>36,608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1945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55" w:lineRule="exact"/>
        <w:rPr>
          <w:sz w:val="20"/>
          <w:szCs w:val="20"/>
          <w:color w:val="auto"/>
        </w:rPr>
      </w:pPr>
    </w:p>
    <w:p>
      <w:pPr>
        <w:jc w:val="both"/>
        <w:ind w:left="900"/>
        <w:spacing w:after="0"/>
        <w:tabs>
          <w:tab w:leader="none" w:pos="2460" w:val="left"/>
        </w:tabs>
        <w:rPr>
          <w:sz w:val="20"/>
          <w:szCs w:val="20"/>
          <w:color w:val="auto"/>
        </w:rPr>
      </w:pPr>
      <w:r>
        <w:rPr>
          <w:rFonts w:ascii="Times New Roman" w:cs="Times New Roman" w:eastAsia="Times New Roman" w:hAnsi="Times New Roman"/>
          <w:sz w:val="18"/>
          <w:szCs w:val="18"/>
          <w:color w:val="auto"/>
        </w:rPr>
        <w:t>(1,589)</w:t>
      </w:r>
      <w:r>
        <w:rPr>
          <w:sz w:val="20"/>
          <w:szCs w:val="20"/>
          <w:color w:val="auto"/>
        </w:rPr>
        <w:tab/>
      </w:r>
      <w:r>
        <w:rPr>
          <w:rFonts w:ascii="Times New Roman" w:cs="Times New Roman" w:eastAsia="Times New Roman" w:hAnsi="Times New Roman"/>
          <w:sz w:val="18"/>
          <w:szCs w:val="18"/>
          <w:color w:val="auto"/>
        </w:rPr>
        <w:t>11,012</w:t>
      </w:r>
    </w:p>
    <w:p>
      <w:pPr>
        <w:spacing w:after="0" w:line="63" w:lineRule="exact"/>
        <w:rPr>
          <w:sz w:val="20"/>
          <w:szCs w:val="20"/>
          <w:color w:val="auto"/>
        </w:rPr>
      </w:pPr>
    </w:p>
    <w:p>
      <w:pPr>
        <w:jc w:val="both"/>
        <w:ind w:left="980"/>
        <w:spacing w:after="0"/>
        <w:tabs>
          <w:tab w:leader="none" w:pos="2540" w:val="left"/>
        </w:tabs>
        <w:rPr>
          <w:sz w:val="20"/>
          <w:szCs w:val="20"/>
          <w:color w:val="auto"/>
        </w:rPr>
      </w:pPr>
      <w:r>
        <w:rPr>
          <w:rFonts w:ascii="Times New Roman" w:cs="Times New Roman" w:eastAsia="Times New Roman" w:hAnsi="Times New Roman"/>
          <w:sz w:val="18"/>
          <w:szCs w:val="18"/>
          <w:color w:val="auto"/>
        </w:rPr>
        <w:t>1,625</w:t>
      </w:r>
      <w:r>
        <w:rPr>
          <w:sz w:val="20"/>
          <w:szCs w:val="20"/>
          <w:color w:val="auto"/>
        </w:rPr>
        <w:tab/>
      </w:r>
      <w:r>
        <w:rPr>
          <w:rFonts w:ascii="Times New Roman" w:cs="Times New Roman" w:eastAsia="Times New Roman" w:hAnsi="Times New Roman"/>
          <w:sz w:val="18"/>
          <w:szCs w:val="18"/>
          <w:color w:val="auto"/>
        </w:rPr>
        <w:t>1,532</w:t>
      </w:r>
    </w:p>
    <w:p>
      <w:pPr>
        <w:spacing w:after="0" w:line="27" w:lineRule="exact"/>
        <w:rPr>
          <w:sz w:val="20"/>
          <w:szCs w:val="20"/>
          <w:color w:val="auto"/>
        </w:rPr>
      </w:pPr>
    </w:p>
    <w:p>
      <w:pPr>
        <w:sectPr>
          <w:pgSz w:w="11900" w:h="16838" w:orient="portrait"/>
          <w:cols w:equalWidth="0" w:num="2">
            <w:col w:w="7480" w:space="720"/>
            <w:col w:w="3040"/>
          </w:cols>
          <w:pgMar w:left="320" w:top="513" w:right="339" w:bottom="1440" w:gutter="0" w:footer="0" w:header="0"/>
          <w:type w:val="continuous"/>
        </w:sectPr>
      </w:pPr>
    </w:p>
    <w:tbl>
      <w:tblPr>
        <w:tblLayout w:type="fixed"/>
        <w:tblInd w:w="0" w:type="dxa"/>
        <w:tblCellMar>
          <w:top w:w="0" w:type="dxa"/>
          <w:left w:w="0" w:type="dxa"/>
          <w:bottom w:w="0" w:type="dxa"/>
          <w:right w:w="0" w:type="dxa"/>
        </w:tblCellMar>
      </w:tblPr>
      <w:tr>
        <w:trPr>
          <w:trHeight w:val="25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Pre-tax net (loss)/income</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w:t>
            </w:r>
          </w:p>
        </w:tc>
      </w:tr>
      <w:tr>
        <w:trPr>
          <w:trHeight w:val="24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r>
      <w:tr>
        <w:trPr>
          <w:trHeight w:val="25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(Loss)/income per share of 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6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6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58,536,950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57,422,058</w:t>
            </w:r>
          </w:p>
        </w:tc>
      </w:tr>
      <w:tr>
        <w:trPr>
          <w:trHeight w:val="277"/>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58,536,950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58,415,163</w:t>
            </w:r>
          </w:p>
        </w:tc>
      </w:tr>
    </w:tbl>
    <w:p>
      <w:pPr>
        <w:spacing w:after="0" w:line="274" w:lineRule="exact"/>
        <w:rPr>
          <w:sz w:val="20"/>
          <w:szCs w:val="20"/>
          <w:color w:val="auto"/>
        </w:rPr>
      </w:pPr>
    </w:p>
    <w:p>
      <w:pPr>
        <w:ind w:left="660" w:hanging="652"/>
        <w:spacing w:after="0" w:line="281" w:lineRule="auto"/>
        <w:tabs>
          <w:tab w:leader="none" w:pos="3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Other Comprehensive (Loss)/Income (Unaudited)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(loss)/income: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(loss)/income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3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21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
                <w:szCs w:val="2"/>
                <w:color w:val="auto"/>
              </w:rPr>
            </w:pPr>
          </w:p>
        </w:tc>
        <w:tc>
          <w:tcPr>
            <w:tcW w:w="1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
                <w:szCs w:val="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 except shares and per share figures)</w:t>
            </w:r>
          </w:p>
        </w:tc>
        <w:tc>
          <w:tcPr>
            <w:tcW w:w="11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57,355,676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103,898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83,992</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through unit vesting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(6,781)</w:t>
            </w:r>
          </w:p>
        </w:tc>
        <w:tc>
          <w:tcPr>
            <w:tcW w:w="0" w:type="dxa"/>
            <w:vAlign w:val="bottom"/>
          </w:tcPr>
          <w:p>
            <w:pPr>
              <w:spacing w:after="0"/>
              <w:rPr>
                <w:sz w:val="1"/>
                <w:szCs w:val="1"/>
                <w:color w:val="auto"/>
              </w:rPr>
            </w:pPr>
          </w:p>
        </w:tc>
      </w:tr>
      <w:tr>
        <w:trPr>
          <w:trHeight w:val="146"/>
        </w:trPr>
        <w:tc>
          <w:tcPr>
            <w:tcW w:w="364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Payment of taxes withheld through vested equity-based</w:t>
            </w:r>
          </w:p>
        </w:tc>
        <w:tc>
          <w:tcPr>
            <w:tcW w:w="11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198"/>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11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6,029</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89"/>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57,537,393</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97,219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(13,522)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83,503</w:t>
            </w: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58,369,138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107,721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(27,802)</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79,290</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through unit vesting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1,239</w:t>
            </w:r>
          </w:p>
        </w:tc>
        <w:tc>
          <w:tcPr>
            <w:tcW w:w="0" w:type="dxa"/>
            <w:vAlign w:val="bottom"/>
          </w:tcPr>
          <w:p>
            <w:pPr>
              <w:spacing w:after="0"/>
              <w:rPr>
                <w:sz w:val="1"/>
                <w:szCs w:val="1"/>
                <w:color w:val="auto"/>
              </w:rPr>
            </w:pPr>
          </w:p>
        </w:tc>
      </w:tr>
      <w:tr>
        <w:trPr>
          <w:trHeight w:val="146"/>
        </w:trPr>
        <w:tc>
          <w:tcPr>
            <w:tcW w:w="364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Payment of taxes withheld through vested equity-based</w:t>
            </w:r>
          </w:p>
        </w:tc>
        <w:tc>
          <w:tcPr>
            <w:tcW w:w="11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8"/>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11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96"/>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228"/>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58,661,268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77,333</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13"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(loss)/income to net cash provided by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 amortization of debt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and patient deposits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on term loan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debt modification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taxes withheld through vested equity-based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activity</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provided used in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1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115"/>
        </w:trPr>
        <w:tc>
          <w:tcPr>
            <w:tcW w:w="8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information:</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expenses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KEY ACCOUNTING POLICIES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AirSculpt Technologies, Inc. (“AirSculpt” or the "Company"), was formed as a Delaware corporation on June 30, 2021. The Company’s revenues are concentrated in the specialty, minimally invasive liposuction market. The Company and its consolidated subsidiaries are referred to collectively in these condensed consolidated financial statements as “we,” “our,” and “us.” Solely for convenience, some of the copyrights, trade names and trademarks referred to in these condensed consolidated financial statements are listed without their </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and ™ symbols, but we will assert, to the fullest extent under applicable law, our rights to our copyrights, trade names and trademarks.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wholly-owned subsidiaries, is a provider of practice management services to professional associations (“PAs”) located throughout the United States, Canada, and the United Kingdom.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 Pursuant to the MSA, the PA is responsible for all clinical aspects of the medical operations of the practice.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present the financial position and results of operations of the Company, its wholly-owned subsidiaries, and the PAs, which are under the control of the Company and are considered variable interest entities in which the Company is the primary beneficiary.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consolidation.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Interim Financial Statement Presentation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accompanying notes have been prepared in accordance with accounting principles generally accepted in the United States of America (“U.S.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variable interest in the managed PAs where it has a long-term and unilateral controlling financial interest over such PAs’ assets and operations. The Company has the ability to direct the activities that most significantly affect the PAs’ economic performance via the MSAs and related agreements. The Company is a practice management service organization and does not engage in the practice of medicine. These services are provided by licensed professionals at each of the PAs. Certain key features of the MSAs and related agreements enable the Company to assign the member interests of certain of the PAs to another member designated by the Company (i.e., “nominee shareholder”) for a nominal value in certain circumstances at the Company’s sole discretion. The MSA does not allow the Company to be involved in, or provide guidance on, the clinical operations of the PAs. The Company consolidates the PAs into the financial statements. All of the Company’s revenue is earned from services provided by the PAs. The only assets and liabilities held by the PAs included in the accompanying consolidated balance sheets are clinical related. The clinical assets and liabilities are not material to the Company as a whole.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Estimates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disclosure of contingent assets and liabilities as of the date of the consolidated financial statements and the reported amounts of revenues and expenses during the reporting period. Actual results could differ from those estimates.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Concentration of Credit Risk</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when purchased to be cash equivalents. The Company’s revenues are concentrated in the specialty, minimally invasive liposuction market.</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cash balances at financial institutions which may at times exceed the amount covered by the Federal Deposit Insurance Corporation. The Company has not experienced any losses in such accounts.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condensed consolidated balance sheet as of March 31, 2025, and the condensed consolidated statements of operations, stockholders' equity, and cash flows for the three months ended March 31, 2025 and 2024 are unaudited. The unaudited condensed consolidated financial statements have been prepared on the same basis as the annual consolidated financial statements and reflect, in the opinion of management, all adjustments of a normal and recurring nature that are necessary for the fair statement of the Company’s financial position as of March 31, 2025 and the results of operations and cash flows for the three months ended March 31, 2025 and 2024. Certain information and footnote disclosures normally included in financial statements prepared in accordance with U.S. GAAP have been condensed or omitted. The financial data and the other financial information disclosed in these notes to the condensed consolidated financial statements related to the three months ended March 31, 2025 and 2024 are also unaudited. The consolidated results of operations for the three months ended March 31, 2025 are not necessarily indicative of results to be expected for the year ending December 31, 2025 or for any other future annual or interim period.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2024 is derived from the Company’s annual audited consolidated financial statements for the year ended December 31, 2024, which should be read in conjunction with these condensed consolidated financial statements and which are included in the Company’s Annual Report dated March 14, 2025 filed with the Securities and Exchange Commission (“SEC”) pursuant to Section 13 or 15(d) of the Securities Exchange Act of 1934.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as well as interests in PAs controlled by the Company through rights granted to the Company by contract to manage and control the affiliate’s business (as described in “Variable Interest Entities” above). All significant intercompany balances and transactions are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consists primarily of revenue earned for the provision of the Company’s patented AirSculpt®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The Company’s performance obligations are delivery of specialty, minimally invasive liposuction services.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assists patients, as needed, by providing third-party financing options to pay for procedures. The Company has arrangements with various financing companies to facilitate this option. There is a financing transaction fee based on a set percentage of the amount financed and the Company recognizes revenue based on the expected transaction price which is reduced for financing fees.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services is recognized when the service is performed. Payment is typically rendered in advance of the service. Customer contracts generally do not include more than one performance obligation.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policy is to require payment for services in advance. Payments received for services that have yet to be performed as of March 31, 2025 and December 31, 2024 are included in deferred revenue and patient deposits.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Financing Costs, Net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 costs and discounts are capitalized in the period in which they are incurred and amortized on the straight-line basis over the term of the respective financing agreement which approximates the effective interest method. These costs are included as a reduction of long-term debt on the condensed consolidated balance sheets. $0.2 million and $— of deferred loan costs were capitalized in the three months ended March 31, 2025 and 2024, respectively. Total amortization of deferred financing costs was approximately $0.1 million and $0.1 million for the three months ended March 31, 2025 and 2024, respectively. Amortization of loan costs and discounts is included as a component of interest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impairment of long-lived assets in accordance with the provisions of the Financial Accounting Standards Board (“FASB”)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Accounting Standards Codification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and Topic 360,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standards require that long-lived assets and certain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 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were recognized for the three months ended March 31, 2025 and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s, defines fair value, establishes a framework for measuring fair value in accordance with accounting principles generally accepted in the United States, and expands disclosure requirements about fair value measurements.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Topic 820 defines three categories for the classification and measurement of assets and liabilities carried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Observable market-based inputs or observable inputs that are corroborated by market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reflecting the reporting entity’s own assumptions.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net (loss)/income for the three months ended March 31, 2025 and 2024 by the weighted-average number of shares of common stock outstanding during the same period. Diluted earnings per share of common stock is computed by dividing net (loss)/income for the three months ended March 31, 2025 and 2024 by the weighted-average number of shares of common stock adjusted to give effect to potentially dilutive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in the period when the costs are incurred and are included as a component of selling, general and administrative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expenses were approximately $7.2 million and $8.4 million for the three months ended March 31, 2025 and 2024,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740-10, </w:t>
      </w:r>
      <w:r>
        <w:rPr>
          <w:rFonts w:ascii="Times New Roman" w:cs="Times New Roman" w:eastAsia="Times New Roman" w:hAnsi="Times New Roman"/>
          <w:sz w:val="18"/>
          <w:szCs w:val="18"/>
          <w:i w:val="1"/>
          <w:iCs w:val="1"/>
          <w:color w:val="auto"/>
        </w:rPr>
        <w:t>Accounting for Uncertain Tax Positions</w:t>
      </w:r>
      <w:r>
        <w:rPr>
          <w:rFonts w:ascii="Times New Roman" w:cs="Times New Roman" w:eastAsia="Times New Roman" w:hAnsi="Times New Roman"/>
          <w:sz w:val="18"/>
          <w:szCs w:val="18"/>
          <w:color w:val="auto"/>
        </w:rPr>
        <w:t xml:space="preserve"> (“ASC 740-10”). Under these provisions, companies must determine and assess all material positions existing as of the reporting date, including all significant uncertain positions, for all tax years that are open to assessment or challenge under tax statutes. Additionally, those positions that have only timing consequences are analyzed and separated based on ASC 740-10’s recognition and measurement model.</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740-10 provides guidance related to uncertain tax positions for pass-through entities and tax-exempt not-for profit entities. ASC 740-10 also modifies disclosure requirements related to uncertain tax positions for nonpublic entities and provides that all entities are subject to ASC 740-10 even if the only tax position in question is the entity’s status as a pass-through.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the uncertain tax position guidance,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condensed consolidated financial statements is the largest benefit that has a greater than 50 percent likelihood of being realized upon ultimate settlement with the relevant tax authority. The Company applied the uncertain tax position guidance to all tax positions for which the statute of limitations remained open and determined that there are no uncertain tax positions as of March 31, 2025 or December 31, 2024.</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an effective tax rate of approximately 11.4% and 36.4% for the three months ended March 31, 2025 and 2024, respectively, inclusive of all applicable U.S. federal and state income taxes.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evaluates at each annual and interim period whether there are conditions or events, considered in the aggregate, that raise substantial doubt about our ability to continue as a going concern within one year after the date that the consolidated financial statements are issued. Management’s evaluation is based on relevant conditions and events that are known and reasonably knowable at the date that the consolidated financial statements are issued. Management has concluded that there are no conditions or events, considered in the aggregate, that raise substantial doubt about our ability to continue as a going concern within one year after the issuance of these financial statements.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establishes new requirements for the categorization and disaggregation of information in the rate reconciliation as well as for disaggregation of income taxes paid. The ASU is effective for annual periods beginning after December 15, 2024 and interim periods beginning after December 15, 2025. The amendments in this ASU may be applied prospectively or retrospectively to all periods presented and early adoption is permitted. The Company is evaluating the impact of this ASU on its consolidated financial statements.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requires public business entities to disclose disaggregated information on certain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notes to the financial statements. The ASU is effective for annual periods beginning after December 15, 2026 and interim periods beginning after December 15, 2027. The amendments in this ASU may be applied prospectively or retrospectively to all periods presented and early adoption is permitted. The Company is evaluating the impact of this ASU on its consolidated financial statements.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GOODWILL AND INTANGIBLES,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annual review of goodwill impairment will be performed in October 2025. There were no triggering events during the three months ended March 31, 2025 and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goodwill of $81.7 million at March 31, 2025 and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March 31, 2025 and December 31, 2024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tcPr>
          <w:p>
            <w:pPr>
              <w:spacing w:after="0"/>
              <w:rPr>
                <w:sz w:val="14"/>
                <w:szCs w:val="14"/>
                <w:color w:val="auto"/>
              </w:rPr>
            </w:pPr>
          </w:p>
        </w:tc>
      </w:tr>
      <w:tr>
        <w:trPr>
          <w:trHeight w:val="190"/>
        </w:trPr>
        <w:tc>
          <w:tcPr>
            <w:tcW w:w="6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6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know-how</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158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580" w:type="dxa"/>
            <w:vAlign w:val="bottom"/>
            <w:tcBorders>
              <w:bottom w:val="single" w:sz="8" w:color="CCEEFF"/>
            </w:tcBorders>
          </w:tcPr>
          <w:p>
            <w:pPr>
              <w:jc w:val="center"/>
              <w:ind w:left="16"/>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56"/>
        </w:trPr>
        <w:tc>
          <w:tcPr>
            <w:tcW w:w="66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71,300</w:t>
            </w:r>
          </w:p>
        </w:tc>
        <w:tc>
          <w:tcPr>
            <w:tcW w:w="1580" w:type="dxa"/>
            <w:vAlign w:val="bottom"/>
            <w:shd w:val="clear" w:color="auto" w:fill="CCEEFF"/>
          </w:tcPr>
          <w:p>
            <w:pPr>
              <w:spacing w:after="0"/>
              <w:rPr>
                <w:sz w:val="22"/>
                <w:szCs w:val="22"/>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 of technology and know-how</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(22,333)</w:t>
            </w:r>
          </w:p>
        </w:tc>
        <w:tc>
          <w:tcPr>
            <w:tcW w:w="1580" w:type="dxa"/>
            <w:vAlign w:val="bottom"/>
          </w:tcPr>
          <w:p>
            <w:pPr>
              <w:spacing w:after="0"/>
              <w:rPr>
                <w:sz w:val="21"/>
                <w:szCs w:val="2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 of tradenames and trademarks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1580" w:type="dxa"/>
            <w:vAlign w:val="bottom"/>
            <w:shd w:val="clear" w:color="auto" w:fill="CCEEFF"/>
          </w:tcPr>
          <w:p>
            <w:pPr>
              <w:spacing w:after="0"/>
              <w:rPr>
                <w:sz w:val="22"/>
                <w:szCs w:val="22"/>
                <w:color w:val="auto"/>
              </w:rPr>
            </w:pPr>
          </w:p>
        </w:tc>
      </w:tr>
      <w:tr>
        <w:trPr>
          <w:trHeight w:val="25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41,592</w:t>
            </w:r>
          </w:p>
        </w:tc>
        <w:tc>
          <w:tcPr>
            <w:tcW w:w="1580" w:type="dxa"/>
            <w:vAlign w:val="bottom"/>
          </w:tcPr>
          <w:p>
            <w:pPr>
              <w:spacing w:after="0"/>
              <w:rPr>
                <w:sz w:val="22"/>
                <w:szCs w:val="22"/>
                <w:color w:val="auto"/>
              </w:rPr>
            </w:pPr>
          </w:p>
        </w:tc>
      </w:tr>
      <w:tr>
        <w:trPr>
          <w:trHeight w:val="21"/>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will be $4.8 million per year for each of the next five fiscal years.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amortization expense on intangible assets was approximately $1.2 million for both of the three months ended March 31,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property and equipment consists of the following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equipment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(18,632)</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approximately $2.0 million and $1.6 million for the three months ended March 31, 2025 and 2024,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7, 2022, the Company entered into a credit agreement with a syndicate of lenders (the "Credit Agreement") originally maturing November 7, 2027. Pursuant to the Credit Agreement, there is (i) an $85.0 million original aggregate principal amount of term loans and (ii) a revolving loan facility in an aggregate principal amount of up to $5.0 million. On September 29, 2023, the Company voluntarily pre-paid $10.0 million of the principal balance of the term loans under the Credit Agreement using cash on hand.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12, 2025, the Company amended the Credit Agreement to modify certain financial covenants made by the Company in the Credit Agreement, such that (i) the Consolidated Fixed Charge Coverage Ratio (as defined in the Credit Agreement) of the Company and its subsidiaries as of the last day of the fiscal quarters ending March 31, 2025 and June 30, 2025 must be no less than 0.50x and 1.10x, respectively, and no less than 1.25x on the last day of the fiscal quarters ending September 30, 2025 and thereafter, instead of 1.10x as of March 31, 2025 and 1.25x as of June 30, 2025 and thereafter, as previously set forth in the Credit Agreement; (ii) the Consolidated Leverage Ratio (as defined in the Credit Agreement) of the Company and its subsidiaries as of the last day of the fiscal quarters ending March 31, 2025, June 30, 2025, September 30, 2025, December 31, 2025 and March 31, 2026, must not exceed 4.25x, 3.50x, 3.25x, 3.25x, and 2.75x, respectively, and the Consolidated Leverage Ratio as of the last day of each fiscal quarter thereafter must not exceed 2.25x, instead of 3.25x as of March 31, 2025, 2.75x as of June 30, 2025, and 2.25x thereafter, as previously set forth in the Credit Agreement; (iii) the Company and its subsidiaries will be required to maintain minimum Liquidity (as defined in the Credit Agreement) of not less than (A) $3.0 million as of the last day of the month ending March 31, 2025, (B) $5.0 million as of the last day of the month ending April 30, 2025, and (C) $7.5 million as of the last day of the months ending May 31, 2025 and thereafter (or the last day of each fiscal quarter thereafter upon the satisfaction of certain financial tests described therein); and (iv) new liquidity and financial reporting requirements have been added.</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revising the covenants listed above, the Third Amendment revised or added new terms such that (i) for outstanding loans, beginning on or about July 1, 2025, the applicable per annum margin will be increased to 3.75% or 4.75% for base rate or SOFR, respectively, if the Company's total leverage ratio is equal to or greater than 3.00x, 3.50% or 4.50% for base rate or SOFR, respectively, if the Company's total leverage ratio is equal to or greater than 2.00x and less than 3.00x, and 3.25% or 4.25% for base rate or SOFR, respectively, if the Company's total leverage ratio is below 2.00x, (ii) the term loan and revolving credit facility will mature on May 11, 2027 (instead of November 7, 2027); (iii) Liquidity in excess of $3.0 million will be used to repay the outstanding funds drawn on the revolving credit facility on a monthly basis beginning April 30, 2025; (iv) revolver draws will be subject to compliance with the minimum Liquidity covenant; (v) the Company will be required to reimburse SVB for certain fees and expenses relating to the engagement of a financial advisor, and (vi) 100% of first $10.0 million of any equity proceeds will be used to repay the term loan and revolving credit facility, subject to a carve-out of the first $3.0 million of equity proceeds; and any equity proceeds received from Vesey Street Capital Partners, L.L.C., our private equity sponsor (“Sponsor”). In consideration of the Third Amendment, the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Company paid a fee equal to 0.15% of the outstanding loans to consenting Lenders, and a $125,000 arrangement fee to SVB. On March 12, 2025 in connection with the Third Amendment, the Company, SVB and our Sponsor (through certain affiliated entities) entered into that certain Limited Guarantee by and among Vesey Street Capital Partners Healthcare Fund, L.P., Vesey Street Capital Partners Healthcare Fund-A, L.P., SVB, and the Company (the "Limited Guarantee") pursuant to which our Sponsor agreed to provide a $10.0 million limited guaranty of the Company’s obligations under the Credit Agreement. The Limited Guarantee is callable on June 15, 2025 (or upon the earlier occurrence of certain defaults described therein) if the Company has not prepaid the term loan (excluding regularly scheduled amortization) by $10.0 million as of such date. Under the terms of the Limited Guarantee, if our Sponsor is required to make any payment under the Limited Guarantee (other than as a result of a bankruptcy event), then our Sponsor will be deemed to have purchased shares of common stock of the Company having an aggregate value equal to the amount of such payment. The Company has agreed to issue a subordinated note to our Sponsor if a payment occurs under the Limited Guarantee, to the extent such payment does not result from the issuance of shares of common stock by the Company to our Sponsor. As of March 31, 2025, the interest rate was 7.82%.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borrowings as of March 31, 2025 and December 31, 2024 were as follows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69,688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70,750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(1,044)</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 net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68,513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69,706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(4,250)</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64,263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65,456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As of March 31, 2025 and December 31, 2024, the Company had $0.0 million and $0.0 million available on the revolving credit facility. The Company had $5.0 million drawn on the revolving credit facility as of March 31,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future maturities of long-term debt as of March 31, 2025 is as follows (in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1893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(excluding the three months ended March 31, 2025)</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60,125</w:t>
            </w:r>
          </w:p>
        </w:tc>
      </w:tr>
      <w:tr>
        <w:trPr>
          <w:trHeight w:val="281"/>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borrowings under the Credit Agreement are cross collateralized by substantially all assets of the Company and are subject to certain restrictive covenants including quarterly total leverage ratio and fixed charge ratio requirements. The Company is in compliance with all covenants and has no letter of credit outstanding as of March 31, 2025 and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operating leases are primarily for real estate, including medical office suites and corporate offices. For the three months ended March 31, 2025 and 2024, the Company incurred rent expense of $1.8 million and $1.5 million, respectively, for its medical office suites. The Company’s rent expense related to its medical office suites is classified in cost of services within the Company’s condensed consolidated statements of operations. The Company incurred rent expense of $0.1 million and $0.1 million for the three months ended March 31, 2025 and 2024, respectively, related to the corporate offices which is classified in selling, general and administrative expenses. The Company currently does not have any finance leases.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for the three months ended March 31, 2025 and 2024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4"/>
                <w:szCs w:val="14"/>
                <w:color w:val="auto"/>
              </w:rPr>
            </w:pPr>
          </w:p>
        </w:tc>
        <w:tc>
          <w:tcPr>
            <w:tcW w:w="122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rental payments under all non-cancellable operating lease agreements for the succeeding five years are as follows, excluding common area maintenance charges that may be required by the agreements (in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1893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(excluding the three months ended March 31, 2025)</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w:t>
            </w:r>
          </w:p>
        </w:tc>
      </w:tr>
      <w:tr>
        <w:trPr>
          <w:trHeight w:val="25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42,236</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(13,323)</w:t>
            </w:r>
          </w:p>
        </w:tc>
      </w:tr>
      <w:tr>
        <w:trPr>
          <w:trHeight w:val="256"/>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28,913</w:t>
            </w:r>
          </w:p>
        </w:tc>
      </w:tr>
      <w:tr>
        <w:trPr>
          <w:trHeight w:val="21"/>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 AND EQUITY-BASED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granted 888,301 and 411,456 restricted stock units ("RSUs") to executive officers and employees under the 2021 Equity Incentive Plan. These RSUs are not considered outstanding until vested. These RSUs have a time-based vesting condition. These units will vest 1/3 per year over three years. Vesting and payment of these RSUs are generally subject to continuing service of the employee or non-employee director over the requisite vesting periods beginning one year from the date of grant to three years after the date of grant. The fair values of these RSUs were determined based on the closing price of the Company’s common stock on the trading date immediately prior to the grant date. These RSUs are not considered outstanding until vested.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also granted 899,919 and 407,688 performance based stock units ("PSUs") which have market-based vesting conditions. The vesting of 679,533 and 407,688 PSUs, respectively, is based on achievement of a total shareholder return relative to a specified peer group (“rTSR”) within the three year performance period. Based on the rTSR, the PSUs can settle in shares in a range from 0% to 200%. The vesting of 220,386 and 0 PSUs, respectively, is based on achievement of a specified 60-day volume weighted average share price (“VWAP”) in relation to the per share closing price on the date of grant. These awards are structured with one-fourth vesting at 125% VWAP, one-fourth vesting at 175% VWAP, one-fourth vesting at 200% VWAP, and the final one-fourth vesting at 225% VWAP. In addition to the achievement of the performance conditions, all PSUs are generally subject to the continuing service of the employee over the requisite vesting period from the earned date continuing through the settlement of the shares, subject to exceptions (in whole or in part) upon certain qualifying terminations of service, as provided in the applicable award agreement. For these PSUs, the shares settle in the first quarter of the year following the year in which the vesting criteria is met. The fair values of PSUs with a market-based vesting condition were estimated using a Monte Carlo simulation model.</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IPO, on November 4, 2021 the Company previously granted PSUs with performance-based vesting conditions to certain employees. The performance-based conditions include PSUs that can vest upon achieving specified stock price performance targets (the "Price Targets"), and the remaining PSUs can vest upon achieving a revenue performance target in any trailing twelve month period up to December 31, 2024 (the "Revenue Target"). During the three months ended March 31, 2024, the Company reassessed the probability of achieving the Revenue Target and determined such achievement is improbable based on current facts and circumstances. As a result, the Company recorded a</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$10.4 million cumulative reversal of stock compensation expense related to the unvested PSUs attributable to the Revenue Target in the three months ended March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equity-based compensation expense of $1.2 million and $(6.8) million for the three months ended March 31, 2025 and 2024, respectively, in selling, general and administrative expenses on the condensed consolidated statements of operations. Forfeitures are recognized as incurred.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dividends of approximately $— and $13.0 thousand for the three months ended March 31, 2025 and 2024,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Common Offering Program</w:t>
      </w:r>
    </w:p>
    <w:p>
      <w:pPr>
        <w:spacing w:after="0" w:line="2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March 14, 2025, the Company entered into a sales agreement (the “ATM Agreement”) with Leerink, as sales agent, in connection with an at-the-market offering program under which the Company may offer and sell, from time to time in its sole discretion, shares of its common stock having an aggregate offering price of up to $50.0 million at prices and on terms to be determined by market conditions at the time of offering. The $50.0 million of common stock that may be offered, issued and sold under the ATM Agreement is included in the $100.0 million of securities that may be offered, issued and sold by the Company under its Registration Statement on Form S-3 (File No. 333-285825). The Company and Leerink each have the right to suspend or terminate the ATM Agreement in each party’s sole discretion at any time.</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quarter ended March 31, 2025, the Company sold the following quantities of its common stock pursuant to the ATM Agreement for total net proceeds of approximately $13 thousand: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2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3/26/2025</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30"/>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3/27/2025</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48"/>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EARNINGS PER SHARE</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net (loss)/income for the three months ended March 31, 2025 and 2024 by the weighted-average number of shares of common stock outstanding during the same period. Diluted earnings per share of common stock is computed by dividing net (loss)/income for the three months ended March 31, 2025 and 2024 by the weighted-average number of shares of common stock adjusted to give effect to potentially dilutive securities.</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income/(loss) per share of common stock is as follows (in 000’s except for shares and per share figures):</w:t>
      </w:r>
    </w:p>
    <w:p>
      <w:pPr>
        <w:spacing w:after="0" w:line="110"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58,536,950</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57,422,058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993,105</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58,536,950</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58,415,163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(Loss)/income per share of common stock outstanding -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-1070610</wp:posOffset>
            </wp:positionV>
            <wp:extent cx="52463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number of potentially dilutive shares were excluded from the calculation of diluted income/(loss) per share because the effect of including such potentially dilutive shares would have been antidilutive.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7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1,288,748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1,311,435</w:t>
            </w: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market-based stock units</w:t>
            </w:r>
          </w:p>
        </w:tc>
        <w:tc>
          <w:tcPr>
            <w:tcW w:w="1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1,752,042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1,941,518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52463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income tax (benefit)/expense for the three months ended March 31, 2025 and 2024 was $(0.4) million and $3.5 million, and the effective tax rate was 11.4% and 36.4%. The main driver of the difference between the effective and statutory rate is non-deductible executive compensation under Section 162(m) of the Internal Revenue Code. There are no uncertain tax positions as of March 31, 2025 or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Professional Liability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 certainty and an unfavorable resolution of one or more of them could have a material adverse effect on the Company’s business, financial condition, results of operations, and cash flows.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SEGMENT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one operating and one reportable segment: direct medical procedure services. This segment is made up of facilities and medical staff that provide the Company’s patented AirSculpt® procedures to patients. The accounting policies of the direct medical procedure services segment are the same as those presented in Note 1 - Organization and Summary of Key Accounting Policies. The Company’s chief operating decision maker (“CODM”) is the Company’s chief executive officer. The CODM reviews financial information presented on a consolidated basis for purposes of making operating decisions, assessing financial performance and allocating resources. The Company’s CODM reviews revenue, gross profit, Adjusted EBITDA and net income/(loss). The CODM uses Adjusted EBITDA as the primary profit metric to evaluate income generated from operations in deciding where to spend additional marketing dollars or allocate additional resources. Gross profit is defined as revenues less cost of service incurred and Adjusted EBITDA as net (loss)/income excluding depreciation and amortization, net interest expense, income tax (benefit)/expense, restructuring and related severance costs, loss on disposal of long-lived assets, and equity-based compensation. Segment information is presented below showing revenue, significant expenses and net income/(loss) (the closest GAAP measure to Adjusted EBITDA), in the same manner that the CODM reviews the operating results in assessing performance and allocating resources.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8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7"/>
                <w:szCs w:val="17"/>
                <w:color w:val="auto"/>
              </w:rPr>
            </w:pPr>
          </w:p>
        </w:tc>
      </w:tr>
      <w:tr>
        <w:trPr>
          <w:trHeight w:val="196"/>
        </w:trPr>
        <w:tc>
          <w:tcPr>
            <w:tcW w:w="818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2EDFE"/>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100" w:type="dxa"/>
            <w:vAlign w:val="bottom"/>
            <w:shd w:val="clear" w:color="auto" w:fill="D2EDFE"/>
          </w:tcPr>
          <w:p>
            <w:pPr>
              <w:spacing w:after="0"/>
              <w:rPr>
                <w:sz w:val="19"/>
                <w:szCs w:val="19"/>
                <w:color w:val="auto"/>
              </w:rPr>
            </w:pPr>
          </w:p>
        </w:tc>
        <w:tc>
          <w:tcPr>
            <w:tcW w:w="420" w:type="dxa"/>
            <w:vAlign w:val="bottom"/>
            <w:shd w:val="clear" w:color="auto" w:fill="D2EDF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47,620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80" w:type="dxa"/>
            <w:vAlign w:val="bottom"/>
            <w:shd w:val="clear" w:color="auto" w:fill="D2EDFE"/>
          </w:tcPr>
          <w:p>
            <w:pPr>
              <w:ind w:left="180"/>
              <w:spacing w:after="0"/>
              <w:rPr>
                <w:sz w:val="20"/>
                <w:szCs w:val="20"/>
                <w:color w:val="auto"/>
              </w:rPr>
            </w:pPr>
            <w:r>
              <w:rPr>
                <w:rFonts w:ascii="Times New Roman" w:cs="Times New Roman" w:eastAsia="Times New Roman" w:hAnsi="Times New Roman"/>
                <w:sz w:val="18"/>
                <w:szCs w:val="18"/>
                <w:color w:val="auto"/>
              </w:rPr>
              <w:t xml:space="preserve">Cost of service (exclusive of depreciation and amortization) </w:t>
            </w:r>
            <w:r>
              <w:rPr>
                <w:rFonts w:ascii="Times New Roman" w:cs="Times New Roman" w:eastAsia="Times New Roman" w:hAnsi="Times New Roman"/>
                <w:sz w:val="23"/>
                <w:szCs w:val="23"/>
                <w:color w:val="auto"/>
                <w:vertAlign w:val="superscript"/>
              </w:rPr>
              <w:t>(1)</w:t>
            </w:r>
          </w:p>
        </w:tc>
        <w:tc>
          <w:tcPr>
            <w:tcW w:w="340" w:type="dxa"/>
            <w:vAlign w:val="bottom"/>
            <w:shd w:val="clear" w:color="auto" w:fill="D2EDFE"/>
          </w:tcPr>
          <w:p>
            <w:pPr>
              <w:spacing w:after="0"/>
              <w:rPr>
                <w:sz w:val="23"/>
                <w:szCs w:val="23"/>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15,950</w:t>
            </w:r>
          </w:p>
        </w:tc>
        <w:tc>
          <w:tcPr>
            <w:tcW w:w="100" w:type="dxa"/>
            <w:vAlign w:val="bottom"/>
            <w:shd w:val="clear" w:color="auto" w:fill="D2EDFE"/>
          </w:tcPr>
          <w:p>
            <w:pPr>
              <w:spacing w:after="0"/>
              <w:rPr>
                <w:sz w:val="23"/>
                <w:szCs w:val="23"/>
                <w:color w:val="auto"/>
              </w:rPr>
            </w:pPr>
          </w:p>
        </w:tc>
        <w:tc>
          <w:tcPr>
            <w:tcW w:w="420" w:type="dxa"/>
            <w:vAlign w:val="bottom"/>
            <w:shd w:val="clear" w:color="auto" w:fill="D2EDFE"/>
          </w:tcPr>
          <w:p>
            <w:pPr>
              <w:spacing w:after="0"/>
              <w:rPr>
                <w:sz w:val="23"/>
                <w:szCs w:val="23"/>
                <w:color w:val="auto"/>
              </w:rPr>
            </w:pPr>
          </w:p>
        </w:tc>
        <w:tc>
          <w:tcPr>
            <w:tcW w:w="10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18,042</w:t>
            </w: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Cost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w:t>
            </w:r>
          </w:p>
        </w:tc>
      </w:tr>
      <w:tr>
        <w:trPr>
          <w:trHeight w:val="277"/>
        </w:trPr>
        <w:tc>
          <w:tcPr>
            <w:tcW w:w="8180" w:type="dxa"/>
            <w:vAlign w:val="bottom"/>
            <w:shd w:val="clear" w:color="auto" w:fill="D2EDFE"/>
          </w:tcPr>
          <w:p>
            <w:pPr>
              <w:ind w:left="180"/>
              <w:spacing w:after="0"/>
              <w:rPr>
                <w:sz w:val="20"/>
                <w:szCs w:val="20"/>
                <w:color w:val="auto"/>
              </w:rPr>
            </w:pPr>
            <w:r>
              <w:rPr>
                <w:rFonts w:ascii="Times New Roman" w:cs="Times New Roman" w:eastAsia="Times New Roman" w:hAnsi="Times New Roman"/>
                <w:sz w:val="18"/>
                <w:szCs w:val="18"/>
                <w:color w:val="auto"/>
              </w:rPr>
              <w:t>Facility selling, general, and administrative expense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shd w:val="clear" w:color="auto" w:fill="D2EDFE"/>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Corporate selling, general, and administrative expense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70"/>
        </w:trPr>
        <w:tc>
          <w:tcPr>
            <w:tcW w:w="8180" w:type="dxa"/>
            <w:vAlign w:val="bottom"/>
            <w:shd w:val="clear" w:color="auto" w:fill="D2EDFE"/>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D2EDFE"/>
          </w:tcPr>
          <w:p>
            <w:pPr>
              <w:spacing w:after="0"/>
              <w:rPr>
                <w:sz w:val="23"/>
                <w:szCs w:val="23"/>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00" w:type="dxa"/>
            <w:vAlign w:val="bottom"/>
            <w:shd w:val="clear" w:color="auto" w:fill="D2EDFE"/>
          </w:tcPr>
          <w:p>
            <w:pPr>
              <w:spacing w:after="0"/>
              <w:rPr>
                <w:sz w:val="23"/>
                <w:szCs w:val="23"/>
                <w:color w:val="auto"/>
              </w:rPr>
            </w:pPr>
          </w:p>
        </w:tc>
        <w:tc>
          <w:tcPr>
            <w:tcW w:w="420" w:type="dxa"/>
            <w:vAlign w:val="bottom"/>
            <w:shd w:val="clear" w:color="auto" w:fill="D2EDFE"/>
          </w:tcPr>
          <w:p>
            <w:pPr>
              <w:spacing w:after="0"/>
              <w:rPr>
                <w:sz w:val="23"/>
                <w:szCs w:val="23"/>
                <w:color w:val="auto"/>
              </w:rPr>
            </w:pPr>
          </w:p>
        </w:tc>
        <w:tc>
          <w:tcPr>
            <w:tcW w:w="10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263"/>
        </w:trPr>
        <w:tc>
          <w:tcPr>
            <w:tcW w:w="8180" w:type="dxa"/>
            <w:vAlign w:val="bottom"/>
            <w:tcBorders>
              <w:bottom w:val="single" w:sz="8" w:color="D2EDFE"/>
            </w:tcBorders>
          </w:tcPr>
          <w:p>
            <w:pPr>
              <w:ind w:left="180"/>
              <w:spacing w:after="0"/>
              <w:rPr>
                <w:sz w:val="20"/>
                <w:szCs w:val="20"/>
                <w:color w:val="auto"/>
              </w:rPr>
            </w:pPr>
            <w:r>
              <w:rPr>
                <w:rFonts w:ascii="Times New Roman" w:cs="Times New Roman" w:eastAsia="Times New Roman" w:hAnsi="Times New Roman"/>
                <w:sz w:val="18"/>
                <w:szCs w:val="18"/>
                <w:color w:val="auto"/>
              </w:rPr>
              <w:t>Loss/(gain) on disposal of long-lived assets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2EDFE"/>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818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D2EDFE"/>
          </w:tcPr>
          <w:p>
            <w:pPr>
              <w:spacing w:after="0"/>
              <w:rPr>
                <w:sz w:val="22"/>
                <w:szCs w:val="22"/>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40,960</w:t>
            </w:r>
          </w:p>
        </w:tc>
        <w:tc>
          <w:tcPr>
            <w:tcW w:w="100" w:type="dxa"/>
            <w:vAlign w:val="bottom"/>
            <w:shd w:val="clear" w:color="auto" w:fill="D2EDFE"/>
          </w:tcPr>
          <w:p>
            <w:pPr>
              <w:spacing w:after="0"/>
              <w:rPr>
                <w:sz w:val="22"/>
                <w:szCs w:val="22"/>
                <w:color w:val="auto"/>
              </w:rPr>
            </w:pPr>
          </w:p>
        </w:tc>
        <w:tc>
          <w:tcPr>
            <w:tcW w:w="420" w:type="dxa"/>
            <w:vAlign w:val="bottom"/>
            <w:tcBorders>
              <w:bottom w:val="single" w:sz="8" w:color="auto"/>
            </w:tcBorders>
            <w:shd w:val="clear" w:color="auto" w:fill="D2EDFE"/>
          </w:tcPr>
          <w:p>
            <w:pPr>
              <w:spacing w:after="0"/>
              <w:rPr>
                <w:sz w:val="22"/>
                <w:szCs w:val="22"/>
                <w:color w:val="auto"/>
              </w:rPr>
            </w:pPr>
          </w:p>
        </w:tc>
        <w:tc>
          <w:tcPr>
            <w:tcW w:w="106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36,608</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(Loss)/income from operations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w:t>
            </w:r>
          </w:p>
        </w:tc>
      </w:tr>
      <w:tr>
        <w:trPr>
          <w:trHeight w:val="277"/>
        </w:trPr>
        <w:tc>
          <w:tcPr>
            <w:tcW w:w="8180" w:type="dxa"/>
            <w:vAlign w:val="bottom"/>
            <w:shd w:val="clear" w:color="auto" w:fill="D2EDFE"/>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auto"/>
            </w:tcBorders>
            <w:shd w:val="clear" w:color="auto" w:fill="D2EDFE"/>
          </w:tcPr>
          <w:p>
            <w:pPr>
              <w:spacing w:after="0"/>
              <w:rPr>
                <w:sz w:val="24"/>
                <w:szCs w:val="24"/>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D2EDFE"/>
          </w:tcPr>
          <w:p>
            <w:pPr>
              <w:spacing w:after="0"/>
              <w:rPr>
                <w:sz w:val="24"/>
                <w:szCs w:val="24"/>
                <w:color w:val="auto"/>
              </w:rPr>
            </w:pPr>
          </w:p>
        </w:tc>
        <w:tc>
          <w:tcPr>
            <w:tcW w:w="420" w:type="dxa"/>
            <w:vAlign w:val="bottom"/>
            <w:tcBorders>
              <w:bottom w:val="single" w:sz="8" w:color="auto"/>
            </w:tcBorders>
            <w:shd w:val="clear" w:color="auto" w:fill="D2EDFE"/>
          </w:tcPr>
          <w:p>
            <w:pPr>
              <w:spacing w:after="0"/>
              <w:rPr>
                <w:sz w:val="24"/>
                <w:szCs w:val="24"/>
                <w:color w:val="auto"/>
              </w:rPr>
            </w:pPr>
          </w:p>
        </w:tc>
        <w:tc>
          <w:tcPr>
            <w:tcW w:w="106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43"/>
        </w:trPr>
        <w:tc>
          <w:tcPr>
            <w:tcW w:w="8180" w:type="dxa"/>
            <w:vAlign w:val="bottom"/>
            <w:tcBorders>
              <w:bottom w:val="single" w:sz="8" w:color="D2EDFE"/>
            </w:tcBorders>
          </w:tcPr>
          <w:p>
            <w:pPr>
              <w:ind w:left="360"/>
              <w:spacing w:after="0"/>
              <w:rPr>
                <w:sz w:val="20"/>
                <w:szCs w:val="20"/>
                <w:color w:val="auto"/>
              </w:rPr>
            </w:pPr>
            <w:r>
              <w:rPr>
                <w:rFonts w:ascii="Times New Roman" w:cs="Times New Roman" w:eastAsia="Times New Roman" w:hAnsi="Times New Roman"/>
                <w:sz w:val="18"/>
                <w:szCs w:val="18"/>
                <w:color w:val="auto"/>
              </w:rPr>
              <w:t>Pre-tax net (loss)/income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Borders>
              <w:bottom w:val="single" w:sz="8" w:color="D2EDFE"/>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w:t>
            </w:r>
          </w:p>
        </w:tc>
      </w:tr>
      <w:tr>
        <w:trPr>
          <w:trHeight w:val="250"/>
        </w:trPr>
        <w:tc>
          <w:tcPr>
            <w:tcW w:w="8180" w:type="dxa"/>
            <w:vAlign w:val="bottom"/>
            <w:shd w:val="clear" w:color="auto" w:fill="D2EDFE"/>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D2EDFE"/>
          </w:tcPr>
          <w:p>
            <w:pPr>
              <w:spacing w:after="0"/>
              <w:rPr>
                <w:sz w:val="21"/>
                <w:szCs w:val="21"/>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D2EDFE"/>
          </w:tcPr>
          <w:p>
            <w:pPr>
              <w:spacing w:after="0"/>
              <w:rPr>
                <w:sz w:val="21"/>
                <w:szCs w:val="21"/>
                <w:color w:val="auto"/>
              </w:rPr>
            </w:pPr>
          </w:p>
        </w:tc>
        <w:tc>
          <w:tcPr>
            <w:tcW w:w="420" w:type="dxa"/>
            <w:vAlign w:val="bottom"/>
            <w:tcBorders>
              <w:bottom w:val="single" w:sz="8" w:color="auto"/>
            </w:tcBorders>
            <w:shd w:val="clear" w:color="auto" w:fill="D2EDFE"/>
          </w:tcPr>
          <w:p>
            <w:pPr>
              <w:spacing w:after="0"/>
              <w:rPr>
                <w:sz w:val="21"/>
                <w:szCs w:val="21"/>
                <w:color w:val="auto"/>
              </w:rPr>
            </w:pPr>
          </w:p>
        </w:tc>
        <w:tc>
          <w:tcPr>
            <w:tcW w:w="106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3,451</w:t>
            </w:r>
          </w:p>
        </w:tc>
      </w:tr>
      <w:tr>
        <w:trPr>
          <w:trHeight w:val="25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r>
      <w:tr>
        <w:trPr>
          <w:trHeight w:val="20"/>
        </w:trPr>
        <w:tc>
          <w:tcPr>
            <w:tcW w:w="8180" w:type="dxa"/>
            <w:vAlign w:val="bottom"/>
            <w:tcBorders>
              <w:bottom w:val="single" w:sz="8" w:color="D2EDF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2EDF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818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420" w:type="dxa"/>
            <w:vAlign w:val="bottom"/>
            <w:shd w:val="clear" w:color="auto" w:fill="D2EDFE"/>
          </w:tcPr>
          <w:p>
            <w:pPr>
              <w:spacing w:after="0"/>
              <w:rPr>
                <w:sz w:val="19"/>
                <w:szCs w:val="19"/>
                <w:color w:val="auto"/>
              </w:rPr>
            </w:pPr>
          </w:p>
        </w:tc>
        <w:tc>
          <w:tcPr>
            <w:tcW w:w="1060" w:type="dxa"/>
            <w:vAlign w:val="bottom"/>
            <w:shd w:val="clear" w:color="auto" w:fill="D2EDFE"/>
          </w:tcPr>
          <w:p>
            <w:pPr>
              <w:spacing w:after="0"/>
              <w:rPr>
                <w:sz w:val="19"/>
                <w:szCs w:val="19"/>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203,260</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202,714</w:t>
            </w:r>
          </w:p>
        </w:tc>
      </w:tr>
    </w:tbl>
    <w:p>
      <w:pPr>
        <w:spacing w:after="0" w:line="269"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services includes the costs of physicians, nursing, supplies and rent directly related to the performance of procedures at the facility level.</w:t>
      </w:r>
    </w:p>
    <w:p>
      <w:pPr>
        <w:spacing w:after="0" w:line="230" w:lineRule="exact"/>
        <w:rPr>
          <w:rFonts w:ascii="Times New Roman" w:cs="Times New Roman" w:eastAsia="Times New Roman" w:hAnsi="Times New Roman"/>
          <w:sz w:val="14"/>
          <w:szCs w:val="14"/>
          <w:color w:val="auto"/>
        </w:rPr>
      </w:pPr>
    </w:p>
    <w:p>
      <w:pPr>
        <w:ind w:left="660" w:hanging="652"/>
        <w:spacing w:after="0" w:line="281" w:lineRule="auto"/>
        <w:tabs>
          <w:tab w:leader="none" w:pos="37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ACCRUED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accrued and other current liabilities consists of the following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advertising costs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card payable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financial statements and related notes and other financial information appearing in our Annual Report on Form 10-K dated March 14, 2025 filed with the Securities and Exchange Commission (“SEC”) pursuant to Section 13 or 15(d) of the Securities Exchange Act of 1934 (the “Exchange Act”). This discussion and analysis contains forward-looking statements that involve risks, uncertainties and assumptions. Our actual results could differ materially from those anticipated in the forward-looking statements for many reasons, including those risks. You should not place undue reliance on these forward-looking statements, which apply only as of the date of this Quarterly Report. You should read this Quarterly Report completely, including Part II, Item 1A (Risk Factors) of this Quarterly Report and the section titled “Cautionary Note Regarding Forward-Looking Statements” in this Quarterly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Quarterly Report on Form 10-Q to the “Company,” “AirSculpt,” “we,” “us” and “our” refer to AirSculpt Technologies, Inc. and its consolidated subsidiaries and the professional associations.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AirSculpt is an experienced national provider of body contouring procedures delivering a premium consumer experience. At AirSculpt, we provide custom body contouring using our proprietary AirSculpt® method that removes unwanted fat in a minimally invasive procedure, producing dramatic results. We now deliver our AirSculpt® procedures through a nationwide footprint of 32 centers across 20 states, Canada, and the United Kingdom as of May 2,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we performed 3,076 cases and generated approximately $39.4 million of revenue, compared to 3,746 cases and $47.6 million in revenue for the three months ended March 31, 2024. This represents approximately 17% decline in revenue for the three months ended March 31, 2025 over the same period in the prior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 decline in our revenue, we announced on March 14, 2025 an initiative to stabilize revenue growth through a number of strategic priorities, including:</w:t>
      </w:r>
    </w:p>
    <w:p>
      <w:pPr>
        <w:ind w:left="660" w:right="100" w:hanging="328"/>
        <w:spacing w:after="0" w:line="23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our marketing investment by spending on techniques that have proven successful for us in the past using a returns-based approach and testing new areas such as online video, and other social marketing channels under the direction of our new Chief Digital Officer;</w:t>
      </w:r>
    </w:p>
    <w:p>
      <w:pPr>
        <w:spacing w:after="0" w:line="1" w:lineRule="exact"/>
        <w:rPr>
          <w:rFonts w:ascii="Times New Roman" w:cs="Times New Roman" w:eastAsia="Times New Roman" w:hAnsi="Times New Roman"/>
          <w:sz w:val="18"/>
          <w:szCs w:val="18"/>
          <w:color w:val="auto"/>
        </w:rPr>
      </w:pPr>
    </w:p>
    <w:p>
      <w:pPr>
        <w:ind w:left="660" w:right="80" w:hanging="328"/>
        <w:spacing w:after="0"/>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go-to-market and sales strategies under our new Chief Sales Officer who is dedicated to strengthening our consultative sales model with enhanced training, improving our sales processes, and providing a greater focus on increasing lead generation, consultations, and case conversion;</w:t>
      </w:r>
    </w:p>
    <w:p>
      <w:pPr>
        <w:ind w:left="660" w:right="300" w:hanging="328"/>
        <w:spacing w:after="0" w:line="24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customer experience to ensure we consistently provide premium results, with initiatives that are in development and expected to rollout in the second half of fiscal year 2025 and into fiscal year 2026;</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expanded consumer financing offerings across all of our centers by the end of the second quarter of fiscal year 2025; and</w:t>
      </w:r>
    </w:p>
    <w:p>
      <w:pPr>
        <w:ind w:left="660" w:right="380" w:hanging="328"/>
        <w:spacing w:after="0" w:line="24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new product innovation where we believe there is an opportunity to introduce new services that would allow us to expand our customer reach, leverage existing infrastructure and surgical expertise, and generate incremental revenues, including by launching a pilot skin tightening procedure as a standalone offering.</w:t>
      </w:r>
    </w:p>
    <w:p>
      <w:pPr>
        <w:spacing w:after="0" w:line="7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have also implemented a cost reduction program that is estimated to eliminate approximately $3.0 million in annual overhead costs and contracted expenses, and have paused de novo center and new procedure room openings.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condensed consolidated financial statements, we use the following key operational and business metrics to evaluate our business, measure our performance, develop financial forecasts and make strategic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Cases Performed and Revenue per Case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case volumes in the table below, which are used for calculating revenue per case, represent one patient visit; notwithstanding that, a patient may have multiple areas treated during one visit. We believe this provides the best approach for assessing our revenue performance and trends.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Case and Revenue Metrics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r>
      <w:tr>
        <w:trPr>
          <w:trHeight w:val="195"/>
        </w:trPr>
        <w:tc>
          <w:tcPr>
            <w:tcW w:w="39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195"/>
        </w:trPr>
        <w:tc>
          <w:tcPr>
            <w:tcW w:w="3980" w:type="dxa"/>
            <w:vAlign w:val="bottom"/>
            <w:tcBorders>
              <w:bottom w:val="single" w:sz="8" w:color="D2EDFE"/>
            </w:tcBorders>
          </w:tcPr>
          <w:p>
            <w:pPr>
              <w:spacing w:after="0"/>
              <w:rPr>
                <w:sz w:val="16"/>
                <w:szCs w:val="16"/>
                <w:color w:val="auto"/>
              </w:rPr>
            </w:pPr>
          </w:p>
        </w:tc>
        <w:tc>
          <w:tcPr>
            <w:tcW w:w="4100" w:type="dxa"/>
            <w:vAlign w:val="bottom"/>
            <w:tcBorders>
              <w:bottom w:val="single" w:sz="8" w:color="D2EDFE"/>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2EDFE"/>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39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Cases</w:t>
            </w:r>
          </w:p>
        </w:tc>
        <w:tc>
          <w:tcPr>
            <w:tcW w:w="4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36"/>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ind w:right="33"/>
              <w:spacing w:after="0"/>
              <w:rPr>
                <w:sz w:val="20"/>
                <w:szCs w:val="20"/>
                <w:color w:val="auto"/>
              </w:rPr>
            </w:pPr>
            <w:r>
              <w:rPr>
                <w:rFonts w:ascii="Times New Roman" w:cs="Times New Roman" w:eastAsia="Times New Roman" w:hAnsi="Times New Roman"/>
                <w:sz w:val="18"/>
                <w:szCs w:val="18"/>
                <w:color w:val="auto"/>
              </w:rPr>
              <w:t>3,746</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 growth</w:t>
            </w:r>
          </w:p>
        </w:tc>
        <w:tc>
          <w:tcPr>
            <w:tcW w:w="4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39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 per case</w:t>
            </w:r>
          </w:p>
        </w:tc>
        <w:tc>
          <w:tcPr>
            <w:tcW w:w="4480" w:type="dxa"/>
            <w:vAlign w:val="bottom"/>
            <w:gridSpan w:val="2"/>
            <w:shd w:val="clear" w:color="auto" w:fill="D2EDF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2EDFE"/>
          </w:tcPr>
          <w:p>
            <w:pPr>
              <w:jc w:val="right"/>
              <w:ind w:right="36"/>
              <w:spacing w:after="0"/>
              <w:rPr>
                <w:sz w:val="20"/>
                <w:szCs w:val="20"/>
                <w:color w:val="auto"/>
              </w:rPr>
            </w:pPr>
            <w:r>
              <w:rPr>
                <w:rFonts w:ascii="Times New Roman" w:cs="Times New Roman" w:eastAsia="Times New Roman" w:hAnsi="Times New Roman"/>
                <w:sz w:val="18"/>
                <w:szCs w:val="18"/>
                <w:color w:val="auto"/>
              </w:rPr>
              <w:t>12,799</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DFE"/>
          </w:tcPr>
          <w:p>
            <w:pPr>
              <w:jc w:val="right"/>
              <w:ind w:right="33"/>
              <w:spacing w:after="0"/>
              <w:rPr>
                <w:sz w:val="20"/>
                <w:szCs w:val="20"/>
                <w:color w:val="auto"/>
              </w:rPr>
            </w:pPr>
            <w:r>
              <w:rPr>
                <w:rFonts w:ascii="Times New Roman" w:cs="Times New Roman" w:eastAsia="Times New Roman" w:hAnsi="Times New Roman"/>
                <w:sz w:val="18"/>
                <w:szCs w:val="18"/>
                <w:color w:val="auto"/>
              </w:rPr>
              <w:t>12,712</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case growth</w:t>
            </w:r>
          </w:p>
        </w:tc>
        <w:tc>
          <w:tcPr>
            <w:tcW w:w="4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39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Number of facilities</w:t>
            </w:r>
          </w:p>
        </w:tc>
        <w:tc>
          <w:tcPr>
            <w:tcW w:w="4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4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900"/>
        </w:trPr>
        <w:tc>
          <w:tcPr>
            <w:tcW w:w="3980" w:type="dxa"/>
            <w:vAlign w:val="bottom"/>
          </w:tcPr>
          <w:p>
            <w:pPr>
              <w:spacing w:after="0"/>
              <w:rPr>
                <w:sz w:val="24"/>
                <w:szCs w:val="24"/>
                <w:color w:val="auto"/>
              </w:rPr>
            </w:pPr>
          </w:p>
        </w:tc>
        <w:tc>
          <w:tcPr>
            <w:tcW w:w="410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Same-Center Case and Revenue Metrics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Same-Center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and 2024, we define same-center case and revenue growth as the growth in each of our cases and revenue at facilities that were owned and operated during the three months ended March 31, 2025 and 2024, respectively. At facilities that were not owned or operated for the entirety of the prior year period, the current year period has been pro-rated to reflect only growth experienced during the portion of the three months ended March 31, 2025 in which such facilities were owned and operated during the three months ended March 31, 2024. We define same-center facilities and procedure rooms based on if a facility was owned or operated as of March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r>
      <w:tr>
        <w:trPr>
          <w:trHeight w:val="196"/>
        </w:trPr>
        <w:tc>
          <w:tcPr>
            <w:tcW w:w="80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6"/>
        </w:trPr>
        <w:tc>
          <w:tcPr>
            <w:tcW w:w="806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D2EDFE"/>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8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Cases</w:t>
            </w:r>
          </w:p>
        </w:tc>
        <w:tc>
          <w:tcPr>
            <w:tcW w:w="380" w:type="dxa"/>
            <w:vAlign w:val="bottom"/>
            <w:shd w:val="clear" w:color="auto" w:fill="D2EDFE"/>
          </w:tcPr>
          <w:p>
            <w:pPr>
              <w:spacing w:after="0"/>
              <w:rPr>
                <w:sz w:val="19"/>
                <w:szCs w:val="19"/>
                <w:color w:val="auto"/>
              </w:rPr>
            </w:pPr>
          </w:p>
        </w:tc>
        <w:tc>
          <w:tcPr>
            <w:tcW w:w="124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2,837</w:t>
            </w:r>
          </w:p>
        </w:tc>
        <w:tc>
          <w:tcPr>
            <w:tcW w:w="8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3,746</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 growth</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8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 per case</w:t>
            </w: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12,777</w:t>
            </w:r>
          </w:p>
        </w:tc>
        <w:tc>
          <w:tcPr>
            <w:tcW w:w="80" w:type="dxa"/>
            <w:vAlign w:val="bottom"/>
            <w:shd w:val="clear" w:color="auto" w:fill="D2EDFE"/>
          </w:tcPr>
          <w:p>
            <w:pPr>
              <w:spacing w:after="0"/>
              <w:rPr>
                <w:sz w:val="19"/>
                <w:szCs w:val="19"/>
                <w:color w:val="auto"/>
              </w:rPr>
            </w:pPr>
          </w:p>
        </w:tc>
        <w:tc>
          <w:tcPr>
            <w:tcW w:w="580" w:type="dxa"/>
            <w:vAlign w:val="bottom"/>
            <w:shd w:val="clear" w:color="auto" w:fill="D2EDFE"/>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12,712</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case growth</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8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Number of facilities</w:t>
            </w:r>
          </w:p>
        </w:tc>
        <w:tc>
          <w:tcPr>
            <w:tcW w:w="380" w:type="dxa"/>
            <w:vAlign w:val="bottom"/>
            <w:shd w:val="clear" w:color="auto" w:fill="D2EDFE"/>
          </w:tcPr>
          <w:p>
            <w:pPr>
              <w:spacing w:after="0"/>
              <w:rPr>
                <w:sz w:val="19"/>
                <w:szCs w:val="19"/>
                <w:color w:val="auto"/>
              </w:rPr>
            </w:pPr>
          </w:p>
        </w:tc>
        <w:tc>
          <w:tcPr>
            <w:tcW w:w="12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same-center case decline is primarily attributed to weaker than expected performance across the broader aesthetics industry.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Measures—Adjusted EBITDA, Adjusted EBITDA Margin, Adjusted Net Income, and Adjusted Net Income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our financial results in accordance with accounting principles generally accepted in the United States of America ("GAAP"), however, management believes the evaluation of our ongoing operating results may be enhanced by a presentation of Adjusted EBITDA, Adjusted EBITDA Margin, Adjusted Net Income and Adjusted Net Income per Share, which are non-GAAP financial measures.</w:t>
      </w:r>
    </w:p>
    <w:p>
      <w:pPr>
        <w:spacing w:after="0" w:line="108"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We define Adjusted EBITDA as net (loss)/income excluding depreciation and amortization, net interest expense, income tax (benefit)/expense, restructuring and related severance costs, loss on disposal of long-lived assets, and equity-based compensation.</w:t>
      </w:r>
    </w:p>
    <w:p>
      <w:pPr>
        <w:spacing w:after="0" w:line="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Adjusted Net Income as net (loss)/income excluding restructuring and related severance costs, loss on disposal of long-lived assets, equity-based compensation and the tax effect of these adjustments.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include Adjusted EBITDA and Adjusted Net Income because they are important measures on which our management assesses and believes investors should assess our operating performance. We consider Adjusted EBITDA and Adjusted Net Income each to be an important measure because they help illustrate underlying trends in our business and our historical operating performance on a more consistent basis. Adjusted EBITDA has limitations as an analytical tool including: (i) Adjusted EBITDA does not include results from equity-based compensation and (ii) Adjusted EBITDA does not reflect interest expense on our debt or the cash requirements necessary to service interest or principal payments. Adjusted Net Income has limitations as an analytical tool because it does not include results from equity-based compensation.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Margin as Adjusted EBITDA as a percentage of revenue. We define Adjusted Net Income per Share as Adjusted Net Income divided by weighted average basic and diluted shares. We included Adjusted EBITDA Margin and Adjusted Net Income per Share because they are important measures on which our management assesses and believes investors should assess our operating performance. We consider Adjusted EBITDA Margin and Adjusted Net Income per Share to be important measures because they help illustrate underlying trends in our business and our historical operating performance on a more consistent basis.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EBITDA and Adjusted EBITDA Margin to net (loss)/income, the most directly comparable GAAP financial measure: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r>
      <w:tr>
        <w:trPr>
          <w:trHeight w:val="196"/>
        </w:trPr>
        <w:tc>
          <w:tcPr>
            <w:tcW w:w="79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r>
      <w:tr>
        <w:trPr>
          <w:trHeight w:val="196"/>
        </w:trPr>
        <w:tc>
          <w:tcPr>
            <w:tcW w:w="790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2EDFE"/>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9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D2EDFE"/>
          </w:tcPr>
          <w:p>
            <w:pPr>
              <w:jc w:val="right"/>
              <w:ind w:right="115"/>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shd w:val="clear" w:color="auto" w:fill="D2EDFE"/>
          </w:tcPr>
          <w:p>
            <w:pPr>
              <w:spacing w:after="0"/>
              <w:rPr>
                <w:sz w:val="19"/>
                <w:szCs w:val="19"/>
                <w:color w:val="auto"/>
              </w:rPr>
            </w:pPr>
          </w:p>
        </w:tc>
        <w:tc>
          <w:tcPr>
            <w:tcW w:w="640" w:type="dxa"/>
            <w:vAlign w:val="bottom"/>
            <w:shd w:val="clear" w:color="auto" w:fill="D2EDFE"/>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6,029</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900" w:type="dxa"/>
            <w:vAlign w:val="bottom"/>
            <w:shd w:val="clear" w:color="auto" w:fill="D2EDFE"/>
          </w:tcPr>
          <w:p>
            <w:pPr>
              <w:ind w:left="140"/>
              <w:spacing w:after="0" w:line="230" w:lineRule="exact"/>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(1)</w:t>
            </w:r>
          </w:p>
        </w:tc>
        <w:tc>
          <w:tcPr>
            <w:tcW w:w="380" w:type="dxa"/>
            <w:vAlign w:val="bottom"/>
            <w:shd w:val="clear" w:color="auto" w:fill="D2EDFE"/>
          </w:tcPr>
          <w:p>
            <w:pPr>
              <w:spacing w:after="0"/>
              <w:rPr>
                <w:sz w:val="19"/>
                <w:szCs w:val="19"/>
                <w:color w:val="auto"/>
              </w:rPr>
            </w:pPr>
          </w:p>
        </w:tc>
        <w:tc>
          <w:tcPr>
            <w:tcW w:w="1240" w:type="dxa"/>
            <w:vAlign w:val="bottom"/>
            <w:shd w:val="clear" w:color="auto" w:fill="D2EDFE"/>
          </w:tcPr>
          <w:p>
            <w:pPr>
              <w:jc w:val="right"/>
              <w:ind w:right="155"/>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D2EDFE"/>
          </w:tcPr>
          <w:p>
            <w:pPr>
              <w:spacing w:after="0"/>
              <w:rPr>
                <w:sz w:val="19"/>
                <w:szCs w:val="19"/>
                <w:color w:val="auto"/>
              </w:rPr>
            </w:pPr>
          </w:p>
        </w:tc>
        <w:tc>
          <w:tcPr>
            <w:tcW w:w="640" w:type="dxa"/>
            <w:vAlign w:val="bottom"/>
            <w:shd w:val="clear" w:color="auto" w:fill="D2EDFE"/>
          </w:tcPr>
          <w:p>
            <w:pPr>
              <w:spacing w:after="0"/>
              <w:rPr>
                <w:sz w:val="19"/>
                <w:szCs w:val="19"/>
                <w:color w:val="auto"/>
              </w:rPr>
            </w:pPr>
          </w:p>
        </w:tc>
        <w:tc>
          <w:tcPr>
            <w:tcW w:w="980" w:type="dxa"/>
            <w:vAlign w:val="bottom"/>
            <w:shd w:val="clear" w:color="auto" w:fill="D2EDFE"/>
          </w:tcPr>
          <w:p>
            <w:pPr>
              <w:jc w:val="right"/>
              <w:ind w:right="112"/>
              <w:spacing w:after="0"/>
              <w:rPr>
                <w:sz w:val="20"/>
                <w:szCs w:val="20"/>
                <w:color w:val="auto"/>
              </w:rPr>
            </w:pPr>
            <w:r>
              <w:rPr>
                <w:rFonts w:ascii="Times New Roman" w:cs="Times New Roman" w:eastAsia="Times New Roman" w:hAnsi="Times New Roman"/>
                <w:sz w:val="18"/>
                <w:szCs w:val="18"/>
                <w:color w:val="auto"/>
              </w:rPr>
              <w:t>(6,781)</w:t>
            </w: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severance costs</w:t>
            </w:r>
          </w:p>
        </w:tc>
        <w:tc>
          <w:tcPr>
            <w:tcW w:w="380" w:type="dxa"/>
            <w:vAlign w:val="bottom"/>
          </w:tcPr>
          <w:p>
            <w:pPr>
              <w:spacing w:after="0"/>
              <w:rPr>
                <w:sz w:val="19"/>
                <w:szCs w:val="19"/>
                <w:color w:val="auto"/>
              </w:rPr>
            </w:pPr>
          </w:p>
        </w:tc>
        <w:tc>
          <w:tcPr>
            <w:tcW w:w="12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790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D2EDFE"/>
          </w:tcPr>
          <w:p>
            <w:pPr>
              <w:spacing w:after="0"/>
              <w:rPr>
                <w:sz w:val="19"/>
                <w:szCs w:val="19"/>
                <w:color w:val="auto"/>
              </w:rPr>
            </w:pPr>
          </w:p>
        </w:tc>
        <w:tc>
          <w:tcPr>
            <w:tcW w:w="1240" w:type="dxa"/>
            <w:vAlign w:val="bottom"/>
            <w:shd w:val="clear" w:color="auto" w:fill="D2EDFE"/>
          </w:tcPr>
          <w:p>
            <w:pPr>
              <w:jc w:val="right"/>
              <w:ind w:right="155"/>
              <w:spacing w:after="0"/>
              <w:rPr>
                <w:sz w:val="20"/>
                <w:szCs w:val="20"/>
                <w:color w:val="auto"/>
              </w:rPr>
            </w:pPr>
            <w:r>
              <w:rPr>
                <w:rFonts w:ascii="Times New Roman" w:cs="Times New Roman" w:eastAsia="Times New Roman" w:hAnsi="Times New Roman"/>
                <w:sz w:val="18"/>
                <w:szCs w:val="18"/>
                <w:color w:val="auto"/>
              </w:rPr>
              <w:t>3,242</w:t>
            </w:r>
          </w:p>
        </w:tc>
        <w:tc>
          <w:tcPr>
            <w:tcW w:w="100" w:type="dxa"/>
            <w:vAlign w:val="bottom"/>
            <w:shd w:val="clear" w:color="auto" w:fill="D2EDFE"/>
          </w:tcPr>
          <w:p>
            <w:pPr>
              <w:spacing w:after="0"/>
              <w:rPr>
                <w:sz w:val="19"/>
                <w:szCs w:val="19"/>
                <w:color w:val="auto"/>
              </w:rPr>
            </w:pPr>
          </w:p>
        </w:tc>
        <w:tc>
          <w:tcPr>
            <w:tcW w:w="640" w:type="dxa"/>
            <w:vAlign w:val="bottom"/>
            <w:shd w:val="clear" w:color="auto" w:fill="D2EDFE"/>
          </w:tcPr>
          <w:p>
            <w:pPr>
              <w:spacing w:after="0"/>
              <w:rPr>
                <w:sz w:val="19"/>
                <w:szCs w:val="19"/>
                <w:color w:val="auto"/>
              </w:rPr>
            </w:pPr>
          </w:p>
        </w:tc>
        <w:tc>
          <w:tcPr>
            <w:tcW w:w="98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2,805</w:t>
            </w: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disposal of long-lived assets</w:t>
            </w:r>
          </w:p>
        </w:tc>
        <w:tc>
          <w:tcPr>
            <w:tcW w:w="38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90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D2EDFE"/>
          </w:tcPr>
          <w:p>
            <w:pPr>
              <w:spacing w:after="0"/>
              <w:rPr>
                <w:sz w:val="19"/>
                <w:szCs w:val="19"/>
                <w:color w:val="auto"/>
              </w:rPr>
            </w:pPr>
          </w:p>
        </w:tc>
        <w:tc>
          <w:tcPr>
            <w:tcW w:w="1240" w:type="dxa"/>
            <w:vAlign w:val="bottom"/>
            <w:shd w:val="clear" w:color="auto" w:fill="D2EDFE"/>
          </w:tcPr>
          <w:p>
            <w:pPr>
              <w:jc w:val="right"/>
              <w:ind w:right="155"/>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D2EDFE"/>
          </w:tcPr>
          <w:p>
            <w:pPr>
              <w:spacing w:after="0"/>
              <w:rPr>
                <w:sz w:val="19"/>
                <w:szCs w:val="19"/>
                <w:color w:val="auto"/>
              </w:rPr>
            </w:pPr>
          </w:p>
        </w:tc>
        <w:tc>
          <w:tcPr>
            <w:tcW w:w="640" w:type="dxa"/>
            <w:vAlign w:val="bottom"/>
            <w:shd w:val="clear" w:color="auto" w:fill="D2EDFE"/>
          </w:tcPr>
          <w:p>
            <w:pPr>
              <w:spacing w:after="0"/>
              <w:rPr>
                <w:sz w:val="19"/>
                <w:szCs w:val="19"/>
                <w:color w:val="auto"/>
              </w:rPr>
            </w:pPr>
          </w:p>
        </w:tc>
        <w:tc>
          <w:tcPr>
            <w:tcW w:w="98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1,532</w:t>
            </w:r>
          </w:p>
        </w:tc>
      </w:tr>
      <w:tr>
        <w:trPr>
          <w:trHeight w:val="230"/>
        </w:trPr>
        <w:tc>
          <w:tcPr>
            <w:tcW w:w="7900" w:type="dxa"/>
            <w:vAlign w:val="bottom"/>
            <w:tcBorders>
              <w:bottom w:val="single" w:sz="8" w:color="D2EDFE"/>
            </w:tcBorders>
          </w:tcPr>
          <w:p>
            <w:pPr>
              <w:ind w:left="14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D2EDFE"/>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3,451</w:t>
            </w:r>
          </w:p>
        </w:tc>
      </w:tr>
      <w:tr>
        <w:trPr>
          <w:trHeight w:val="223"/>
        </w:trPr>
        <w:tc>
          <w:tcPr>
            <w:tcW w:w="79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80" w:type="dxa"/>
            <w:vAlign w:val="bottom"/>
            <w:tcBorders>
              <w:bottom w:val="single" w:sz="8" w:color="auto"/>
            </w:tcBorders>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D2EDFE"/>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3,755</w:t>
            </w:r>
          </w:p>
        </w:tc>
        <w:tc>
          <w:tcPr>
            <w:tcW w:w="100" w:type="dxa"/>
            <w:vAlign w:val="bottom"/>
            <w:shd w:val="clear" w:color="auto" w:fill="D2EDFE"/>
          </w:tcPr>
          <w:p>
            <w:pPr>
              <w:spacing w:after="0"/>
              <w:rPr>
                <w:sz w:val="19"/>
                <w:szCs w:val="19"/>
                <w:color w:val="auto"/>
              </w:rPr>
            </w:pPr>
          </w:p>
        </w:tc>
        <w:tc>
          <w:tcPr>
            <w:tcW w:w="640" w:type="dxa"/>
            <w:vAlign w:val="bottom"/>
            <w:tcBorders>
              <w:bottom w:val="single" w:sz="8" w:color="auto"/>
            </w:tcBorders>
            <w:shd w:val="clear" w:color="auto" w:fill="D2EDFE"/>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7,337</w:t>
            </w:r>
          </w:p>
        </w:tc>
      </w:tr>
      <w:tr>
        <w:trPr>
          <w:trHeight w:val="232"/>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9.5 %</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15.4 %</w:t>
            </w:r>
          </w:p>
        </w:tc>
      </w:tr>
    </w:tbl>
    <w:p>
      <w:pPr>
        <w:spacing w:after="0" w:line="200" w:lineRule="exact"/>
        <w:rPr>
          <w:sz w:val="20"/>
          <w:szCs w:val="20"/>
          <w:color w:val="auto"/>
        </w:rPr>
      </w:pPr>
    </w:p>
    <w:p>
      <w:pPr>
        <w:spacing w:after="0" w:line="335" w:lineRule="exact"/>
        <w:rPr>
          <w:sz w:val="20"/>
          <w:szCs w:val="20"/>
          <w:color w:val="auto"/>
        </w:rPr>
      </w:pPr>
    </w:p>
    <w:p>
      <w:pPr>
        <w:ind w:left="680" w:right="660" w:hanging="654"/>
        <w:spacing w:after="0" w:line="281" w:lineRule="auto"/>
        <w:tabs>
          <w:tab w:leader="none" w:pos="35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200" w:lineRule="exact"/>
        <w:rPr>
          <w:sz w:val="20"/>
          <w:szCs w:val="20"/>
          <w:color w:val="auto"/>
        </w:rPr>
      </w:pPr>
    </w:p>
    <w:p>
      <w:pPr>
        <w:spacing w:after="0" w:line="33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reconciles Adjusted Net Income and Adjusted Net Income per Share to net (loss)/income, the most directly comparable GAAP financial measure: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8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r>
      <w:tr>
        <w:trPr>
          <w:trHeight w:val="196"/>
        </w:trPr>
        <w:tc>
          <w:tcPr>
            <w:tcW w:w="822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2EDFE"/>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shd w:val="clear" w:color="auto" w:fill="D2EDFE"/>
          </w:tcPr>
          <w:p>
            <w:pPr>
              <w:spacing w:after="0"/>
              <w:rPr>
                <w:sz w:val="19"/>
                <w:szCs w:val="19"/>
                <w:color w:val="auto"/>
              </w:rPr>
            </w:pPr>
          </w:p>
        </w:tc>
        <w:tc>
          <w:tcPr>
            <w:tcW w:w="420" w:type="dxa"/>
            <w:vAlign w:val="bottom"/>
            <w:shd w:val="clear" w:color="auto" w:fill="D2EDFE"/>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6,029</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220" w:type="dxa"/>
            <w:vAlign w:val="bottom"/>
            <w:shd w:val="clear" w:color="auto" w:fill="D2EDFE"/>
          </w:tcPr>
          <w:p>
            <w:pPr>
              <w:ind w:left="140"/>
              <w:spacing w:after="0" w:line="230" w:lineRule="exact"/>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(1)</w:t>
            </w:r>
          </w:p>
        </w:tc>
        <w:tc>
          <w:tcPr>
            <w:tcW w:w="34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D2EDFE"/>
          </w:tcPr>
          <w:p>
            <w:pPr>
              <w:spacing w:after="0"/>
              <w:rPr>
                <w:sz w:val="19"/>
                <w:szCs w:val="19"/>
                <w:color w:val="auto"/>
              </w:rPr>
            </w:pPr>
          </w:p>
        </w:tc>
        <w:tc>
          <w:tcPr>
            <w:tcW w:w="4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(6,781)</w:t>
            </w: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severance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9"/>
        </w:trPr>
        <w:tc>
          <w:tcPr>
            <w:tcW w:w="822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Loss on disposal of long-lived assets</w:t>
            </w:r>
          </w:p>
        </w:tc>
        <w:tc>
          <w:tcPr>
            <w:tcW w:w="340" w:type="dxa"/>
            <w:vAlign w:val="bottom"/>
            <w:shd w:val="clear" w:color="auto" w:fill="D2EDFE"/>
          </w:tcPr>
          <w:p>
            <w:pPr>
              <w:spacing w:after="0"/>
              <w:rPr>
                <w:sz w:val="19"/>
                <w:szCs w:val="19"/>
                <w:color w:val="auto"/>
              </w:rPr>
            </w:pPr>
          </w:p>
        </w:tc>
        <w:tc>
          <w:tcPr>
            <w:tcW w:w="1220" w:type="dxa"/>
            <w:vAlign w:val="bottom"/>
            <w:gridSpan w:val="2"/>
            <w:shd w:val="clear" w:color="auto" w:fill="D2EDF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220" w:type="dxa"/>
            <w:vAlign w:val="bottom"/>
            <w:tcBorders>
              <w:bottom w:val="single" w:sz="8" w:color="D2EDFE"/>
            </w:tcBorders>
          </w:tcPr>
          <w:p>
            <w:pPr>
              <w:ind w:left="14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D2EDF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r>
      <w:tr>
        <w:trPr>
          <w:trHeight w:val="223"/>
        </w:trPr>
        <w:tc>
          <w:tcPr>
            <w:tcW w:w="82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(loss)/income</w:t>
            </w:r>
          </w:p>
        </w:tc>
        <w:tc>
          <w:tcPr>
            <w:tcW w:w="340" w:type="dxa"/>
            <w:vAlign w:val="bottom"/>
            <w:tcBorders>
              <w:bottom w:val="single" w:sz="8" w:color="auto"/>
            </w:tcBorders>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(1,108)</w:t>
            </w:r>
          </w:p>
        </w:tc>
        <w:tc>
          <w:tcPr>
            <w:tcW w:w="100" w:type="dxa"/>
            <w:vAlign w:val="bottom"/>
            <w:shd w:val="clear" w:color="auto" w:fill="D2EDFE"/>
          </w:tcPr>
          <w:p>
            <w:pPr>
              <w:spacing w:after="0"/>
              <w:rPr>
                <w:sz w:val="19"/>
                <w:szCs w:val="19"/>
                <w:color w:val="auto"/>
              </w:rPr>
            </w:pPr>
          </w:p>
        </w:tc>
        <w:tc>
          <w:tcPr>
            <w:tcW w:w="420" w:type="dxa"/>
            <w:vAlign w:val="bottom"/>
            <w:tcBorders>
              <w:bottom w:val="single" w:sz="8" w:color="auto"/>
            </w:tcBorders>
            <w:shd w:val="clear" w:color="auto" w:fill="D2EDFE"/>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1,880</w:t>
            </w:r>
          </w:p>
        </w:tc>
      </w:tr>
      <w:tr>
        <w:trPr>
          <w:trHeight w:val="250"/>
        </w:trPr>
        <w:tc>
          <w:tcPr>
            <w:tcW w:w="8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82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 xml:space="preserve">Adjusted net (loss)/income per share of common stock </w:t>
            </w:r>
            <w:r>
              <w:rPr>
                <w:rFonts w:ascii="Times New Roman" w:cs="Times New Roman" w:eastAsia="Times New Roman" w:hAnsi="Times New Roman"/>
                <w:sz w:val="23"/>
                <w:szCs w:val="23"/>
                <w:color w:val="auto"/>
                <w:vertAlign w:val="superscript"/>
              </w:rPr>
              <w:t>(2)</w:t>
            </w:r>
          </w:p>
        </w:tc>
        <w:tc>
          <w:tcPr>
            <w:tcW w:w="340" w:type="dxa"/>
            <w:vAlign w:val="bottom"/>
            <w:shd w:val="clear" w:color="auto" w:fill="D2EDFE"/>
          </w:tcPr>
          <w:p>
            <w:pPr>
              <w:spacing w:after="0"/>
              <w:rPr>
                <w:sz w:val="23"/>
                <w:szCs w:val="23"/>
                <w:color w:val="auto"/>
              </w:rPr>
            </w:pPr>
          </w:p>
        </w:tc>
        <w:tc>
          <w:tcPr>
            <w:tcW w:w="1120" w:type="dxa"/>
            <w:vAlign w:val="bottom"/>
            <w:shd w:val="clear" w:color="auto" w:fill="D2EDFE"/>
          </w:tcPr>
          <w:p>
            <w:pPr>
              <w:spacing w:after="0"/>
              <w:rPr>
                <w:sz w:val="23"/>
                <w:szCs w:val="23"/>
                <w:color w:val="auto"/>
              </w:rPr>
            </w:pPr>
          </w:p>
        </w:tc>
        <w:tc>
          <w:tcPr>
            <w:tcW w:w="100" w:type="dxa"/>
            <w:vAlign w:val="bottom"/>
            <w:shd w:val="clear" w:color="auto" w:fill="D2EDFE"/>
          </w:tcPr>
          <w:p>
            <w:pPr>
              <w:spacing w:after="0"/>
              <w:rPr>
                <w:sz w:val="23"/>
                <w:szCs w:val="23"/>
                <w:color w:val="auto"/>
              </w:rPr>
            </w:pPr>
          </w:p>
        </w:tc>
        <w:tc>
          <w:tcPr>
            <w:tcW w:w="420" w:type="dxa"/>
            <w:vAlign w:val="bottom"/>
            <w:shd w:val="clear" w:color="auto" w:fill="D2EDFE"/>
          </w:tcPr>
          <w:p>
            <w:pPr>
              <w:spacing w:after="0"/>
              <w:rPr>
                <w:sz w:val="23"/>
                <w:szCs w:val="23"/>
                <w:color w:val="auto"/>
              </w:rPr>
            </w:pPr>
          </w:p>
        </w:tc>
        <w:tc>
          <w:tcPr>
            <w:tcW w:w="1040" w:type="dxa"/>
            <w:vAlign w:val="bottom"/>
            <w:shd w:val="clear" w:color="auto" w:fill="D2EDFE"/>
          </w:tcPr>
          <w:p>
            <w:pPr>
              <w:spacing w:after="0"/>
              <w:rPr>
                <w:sz w:val="23"/>
                <w:szCs w:val="23"/>
                <w:color w:val="auto"/>
              </w:rPr>
            </w:pPr>
          </w:p>
        </w:tc>
      </w:tr>
      <w:tr>
        <w:trPr>
          <w:trHeight w:val="26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77"/>
        </w:trPr>
        <w:tc>
          <w:tcPr>
            <w:tcW w:w="8220" w:type="dxa"/>
            <w:vAlign w:val="bottom"/>
            <w:shd w:val="clear" w:color="auto" w:fill="D2EDFE"/>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D2EDFE"/>
          </w:tcPr>
          <w:p>
            <w:pPr>
              <w:spacing w:after="0"/>
              <w:rPr>
                <w:sz w:val="24"/>
                <w:szCs w:val="24"/>
                <w:color w:val="auto"/>
              </w:rPr>
            </w:pPr>
          </w:p>
        </w:tc>
        <w:tc>
          <w:tcPr>
            <w:tcW w:w="420" w:type="dxa"/>
            <w:vAlign w:val="bottom"/>
            <w:shd w:val="clear" w:color="auto" w:fill="D2EDFE"/>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220" w:type="dxa"/>
            <w:vAlign w:val="bottom"/>
            <w:shd w:val="clear" w:color="auto" w:fill="D2EDFE"/>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D2EDFE"/>
          </w:tcPr>
          <w:p>
            <w:pPr>
              <w:spacing w:after="0"/>
              <w:rPr>
                <w:sz w:val="23"/>
                <w:szCs w:val="23"/>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58,536,950</w:t>
            </w:r>
          </w:p>
        </w:tc>
        <w:tc>
          <w:tcPr>
            <w:tcW w:w="100" w:type="dxa"/>
            <w:vAlign w:val="bottom"/>
            <w:shd w:val="clear" w:color="auto" w:fill="D2EDFE"/>
          </w:tcPr>
          <w:p>
            <w:pPr>
              <w:spacing w:after="0"/>
              <w:rPr>
                <w:sz w:val="23"/>
                <w:szCs w:val="23"/>
                <w:color w:val="auto"/>
              </w:rPr>
            </w:pPr>
          </w:p>
        </w:tc>
        <w:tc>
          <w:tcPr>
            <w:tcW w:w="420" w:type="dxa"/>
            <w:vAlign w:val="bottom"/>
            <w:shd w:val="clear" w:color="auto" w:fill="D2EDFE"/>
          </w:tcPr>
          <w:p>
            <w:pPr>
              <w:spacing w:after="0"/>
              <w:rPr>
                <w:sz w:val="23"/>
                <w:szCs w:val="23"/>
                <w:color w:val="auto"/>
              </w:rPr>
            </w:pPr>
          </w:p>
        </w:tc>
        <w:tc>
          <w:tcPr>
            <w:tcW w:w="10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57,422,058</w:t>
            </w:r>
          </w:p>
        </w:tc>
      </w:tr>
      <w:tr>
        <w:trPr>
          <w:trHeight w:val="256"/>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58,536,950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58,415,163</w:t>
            </w:r>
          </w:p>
        </w:tc>
      </w:tr>
    </w:tbl>
    <w:p>
      <w:pPr>
        <w:spacing w:after="0" w:line="288" w:lineRule="exact"/>
        <w:rPr>
          <w:sz w:val="20"/>
          <w:szCs w:val="20"/>
          <w:color w:val="auto"/>
        </w:rPr>
      </w:pPr>
    </w:p>
    <w:p>
      <w:pPr>
        <w:ind w:left="660" w:hanging="652"/>
        <w:spacing w:after="0" w:line="281" w:lineRule="auto"/>
        <w:tabs>
          <w:tab w:leader="none" w:pos="34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177" w:lineRule="exact"/>
        <w:rPr>
          <w:rFonts w:ascii="Times New Roman" w:cs="Times New Roman" w:eastAsia="Times New Roman" w:hAnsi="Times New Roman"/>
          <w:sz w:val="14"/>
          <w:szCs w:val="14"/>
          <w:color w:val="auto"/>
        </w:rPr>
      </w:pPr>
    </w:p>
    <w:p>
      <w:pPr>
        <w:ind w:left="660" w:hanging="652"/>
        <w:spacing w:after="0" w:line="302" w:lineRule="auto"/>
        <w:tabs>
          <w:tab w:leader="none" w:pos="32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Adjusted Net Income Per Share is computed by dividing adjusted net income by the weighted-average number of shares of common stock outstanding adjusted for the dilutive effect of all potential shares of common stock.</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 is generated from our patented AirSculpt</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procedures performed on our patients. We are 100% self-pay and do not accept payments from the U.S. federal government or payer organizations. We assist patients, as needed, by providing third-party financing options to pay for procedures. We have arrangements with various financing companies to facilitate this option. There is a financing transaction fee based on a set percentage of the amount financed. We recognize revenue based on the expected transaction price which is reduced for financing fees.</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policy is to require full payment for services in advance of performing a procedure. Payments received for which services have yet to been performed for all reported periods are included in deferred revenue and patient deposits on our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 (excluding depreciation and amortization)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 is comprised of all service and product costs related to the delivery of procedures, including but not limited to compensation to our physicians and clinical staff, medical supply costs, and facility-related rent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4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consists of marketing and advertising expenses we incur to market our patented AirSculpt</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procedures to potential patients and general and administrative costs, including rent for our corporate offices.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Expenses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Our advertising costs include both national and site-based advertising used to generate greater awareness and engagement among our current and potential patients. Our advertising costs include social media, digital marketing and traditional advertising. Selling expenses include salaries and commissions for employees engaged in marketing and sales. We define our customer acquisition costs as the total selling expenses per case.</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evaluate our selling expense as compared to growth in our sales volume and will invest accordingly to the extent we believe we can position ourselves for future growth without materially negatively impacting our Adjusted EBITDA Margins.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and the salaries and commissions of sales and marketing employees), equity-based compensation, technology, operations, finance, legal, corporate office rent and human resources.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consists primarily of interest costs on our outstanding borrowings under our debt.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 Compared to Three Months Ended March 31, 2024</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and notes summarize certain results from the statements of operations for each of the periods indicated and the changes between periods. The table also shows the percentage relationship to revenue for the periods indicated:</w:t>
      </w:r>
    </w:p>
    <w:p>
      <w:pPr>
        <w:spacing w:after="0" w:line="188"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3"/>
          </w:tcPr>
          <w:p>
            <w:pPr>
              <w:jc w:val="right"/>
              <w:ind w:right="13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gridSpan w:val="3"/>
          </w:tcPr>
          <w:p>
            <w:pPr>
              <w:jc w:val="right"/>
              <w:ind w:right="1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35"/>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000s)</w:t>
            </w:r>
          </w:p>
        </w:tc>
        <w:tc>
          <w:tcPr>
            <w:tcW w:w="300" w:type="dxa"/>
            <w:vAlign w:val="bottom"/>
          </w:tcPr>
          <w:p>
            <w:pPr>
              <w:spacing w:after="0"/>
              <w:rPr>
                <w:sz w:val="11"/>
                <w:szCs w:val="11"/>
                <w:color w:val="auto"/>
              </w:rPr>
            </w:pPr>
          </w:p>
        </w:tc>
        <w:tc>
          <w:tcPr>
            <w:tcW w:w="11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jc w:val="right"/>
              <w:ind w:right="575"/>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48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4880" w:type="dxa"/>
            <w:vAlign w:val="bottom"/>
            <w:tcBorders>
              <w:top w:val="single" w:sz="8" w:color="D2EDFE"/>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D2EDF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20" w:type="dxa"/>
            <w:vAlign w:val="bottom"/>
            <w:tcBorders>
              <w:top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D2EDFE"/>
            </w:tcBorders>
            <w:shd w:val="clear" w:color="auto" w:fill="D2EDFE"/>
          </w:tcPr>
          <w:p>
            <w:pPr>
              <w:spacing w:after="0"/>
              <w:rPr>
                <w:sz w:val="19"/>
                <w:szCs w:val="19"/>
                <w:color w:val="auto"/>
              </w:rPr>
            </w:pPr>
          </w:p>
        </w:tc>
        <w:tc>
          <w:tcPr>
            <w:tcW w:w="300" w:type="dxa"/>
            <w:vAlign w:val="bottom"/>
            <w:tcBorders>
              <w:top w:val="single" w:sz="8" w:color="auto"/>
            </w:tcBorders>
            <w:shd w:val="clear" w:color="auto" w:fill="D2EDF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47,620</w:t>
            </w:r>
          </w:p>
        </w:tc>
        <w:tc>
          <w:tcPr>
            <w:tcW w:w="60" w:type="dxa"/>
            <w:vAlign w:val="bottom"/>
            <w:tcBorders>
              <w:top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Cost of service</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15,950</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18,042</w:t>
            </w:r>
          </w:p>
        </w:tc>
        <w:tc>
          <w:tcPr>
            <w:tcW w:w="174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15,756</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0" w:type="dxa"/>
            <w:vAlign w:val="bottom"/>
          </w:tcPr>
          <w:p>
            <w:pPr>
              <w:spacing w:after="0"/>
              <w:rPr>
                <w:sz w:val="1"/>
                <w:szCs w:val="1"/>
                <w:color w:val="auto"/>
              </w:rPr>
            </w:pPr>
          </w:p>
        </w:tc>
      </w:tr>
      <w:tr>
        <w:trPr>
          <w:trHeight w:val="229"/>
        </w:trPr>
        <w:tc>
          <w:tcPr>
            <w:tcW w:w="48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74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disposal of long-lived assets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880" w:type="dxa"/>
            <w:vAlign w:val="bottom"/>
            <w:tcBorders>
              <w:top w:val="single" w:sz="8" w:color="D2EDFE"/>
            </w:tcBorders>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D2EDFE"/>
          </w:tcPr>
          <w:p>
            <w:pPr>
              <w:spacing w:after="0"/>
              <w:rPr>
                <w:sz w:val="19"/>
                <w:szCs w:val="19"/>
                <w:color w:val="auto"/>
              </w:rPr>
            </w:pPr>
          </w:p>
        </w:tc>
        <w:tc>
          <w:tcPr>
            <w:tcW w:w="11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40,960</w:t>
            </w:r>
          </w:p>
        </w:tc>
        <w:tc>
          <w:tcPr>
            <w:tcW w:w="20" w:type="dxa"/>
            <w:vAlign w:val="bottom"/>
            <w:tcBorders>
              <w:top w:val="single" w:sz="8" w:color="auto"/>
              <w:bottom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104.0 %</w:t>
            </w:r>
          </w:p>
        </w:tc>
        <w:tc>
          <w:tcPr>
            <w:tcW w:w="80" w:type="dxa"/>
            <w:vAlign w:val="bottom"/>
            <w:tcBorders>
              <w:top w:val="single" w:sz="8" w:color="D2EDFE"/>
            </w:tcBorders>
            <w:shd w:val="clear" w:color="auto" w:fill="D2EDFE"/>
          </w:tcPr>
          <w:p>
            <w:pPr>
              <w:spacing w:after="0"/>
              <w:rPr>
                <w:sz w:val="19"/>
                <w:szCs w:val="19"/>
                <w:color w:val="auto"/>
              </w:rPr>
            </w:pPr>
          </w:p>
        </w:tc>
        <w:tc>
          <w:tcPr>
            <w:tcW w:w="300" w:type="dxa"/>
            <w:vAlign w:val="bottom"/>
            <w:tcBorders>
              <w:top w:val="single" w:sz="8" w:color="auto"/>
              <w:bottom w:val="single" w:sz="8" w:color="auto"/>
            </w:tcBorders>
            <w:shd w:val="clear" w:color="auto" w:fill="D2EDFE"/>
          </w:tcPr>
          <w:p>
            <w:pPr>
              <w:spacing w:after="0"/>
              <w:rPr>
                <w:sz w:val="19"/>
                <w:szCs w:val="19"/>
                <w:color w:val="auto"/>
              </w:rPr>
            </w:pPr>
          </w:p>
        </w:tc>
        <w:tc>
          <w:tcPr>
            <w:tcW w:w="11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36,608</w:t>
            </w:r>
          </w:p>
        </w:tc>
        <w:tc>
          <w:tcPr>
            <w:tcW w:w="60" w:type="dxa"/>
            <w:vAlign w:val="bottom"/>
            <w:tcBorders>
              <w:top w:val="single" w:sz="8" w:color="auto"/>
              <w:bottom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76.9 %</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(Loss)/income from operations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29"/>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74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Pre-tax net loss</w:t>
            </w: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0" w:type="dxa"/>
            <w:vAlign w:val="bottom"/>
          </w:tcPr>
          <w:p>
            <w:pPr>
              <w:spacing w:after="0"/>
              <w:rPr>
                <w:sz w:val="1"/>
                <w:szCs w:val="1"/>
                <w:color w:val="auto"/>
              </w:rPr>
            </w:pPr>
          </w:p>
        </w:tc>
      </w:tr>
      <w:tr>
        <w:trPr>
          <w:trHeight w:val="230"/>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74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firstLine="8"/>
        <w:spacing w:after="0" w:line="281" w:lineRule="auto"/>
        <w:tabs>
          <w:tab w:leader="none" w:pos="148"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1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Our financial results for the three months ended March 31, 2025 compared to the three months ended March 31, 2024 reflect the addition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five de novo centers which increased our procedure rooms by ten.</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Our revenue decreased $8.2 million, or 17.3%, compared to the same period in 2024. The decrease is primarily attributed to weaker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performance across the broader aesthetics industry.</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Cost of Service—</w:t>
      </w:r>
      <w:r>
        <w:rPr>
          <w:rFonts w:ascii="Times New Roman" w:cs="Times New Roman" w:eastAsia="Times New Roman" w:hAnsi="Times New Roman"/>
          <w:sz w:val="18"/>
          <w:szCs w:val="18"/>
          <w:color w:val="auto"/>
        </w:rPr>
        <w:t>Our cost of services decreased $2.1 million, or 11.6%, compared to the same period in 2024. The percentage decrease in cost of service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the decrease in cases compared to the same period in 2024. Cost of service was 40.5% and 37.9% as a percentage of revenue for the three months ended March 31, 2025 and 2024, respectively. This is primarily due to not being able to leverage certain fixed costs within cost of service like rent and certain nursing costs.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Selling, general and administrative expenses increased $6.0 million, or 38.2%,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compared to the same period in 2024. This increase is related to an increase in stock compensation. During the three months ended March 31, 2024, we reversed stock compensation expense of approximately $10.4 million related to reassessing the probability of achieving the performance target on certain performance based stock unit awards. Selling, general and administrative expenses as a percent of revenue was at 55.3% and 33.1% for the three months ended March 31, 2025 and 2024, respectively.</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Total selling expenses were approximately $9.6 million and $11.2 million for the three months ended March 31, 2025 and 2024, respectively. This decrease is primarily related to a decrease in advertising spend associated with brand awareness initiatives. Our customer acquisition costs were approximately $3,130 and $2,990 per customer in the three months ended March 31, 2025 and 2024, respectively. Selling expenses as a percentage of revenue may fluctuate from quarter to quarter based on the timing and scope of our initiatives and the related impact to our revenue. We have also implemented a cost reduction program that is estimated to eliminate approximately $3.0 million in annual overhead costs and contracted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and have paused de novo center and new procedure room openings, which is expected to have a favorable impact on selling expenses.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expenses were approximately $12.1 million and $4.6 million for the three months ended March 31, 2025 and 2024, respectively. This increase is primarily due to the prior period reversal of $10.4 million in stock compensation expense.</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Depreciation and amortization increased to approximately $3.2 million for the three months ended March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$2.8 million for the same period in 2024. This increase is the result of having five additional de novo centers during the three months ended March 31, 2025 as compared to the 2024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Interest expense was $1.6 million and $1.5 million for the three months ended March 31, 2025 and 2024, respectively.</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effective tax rate is 11.4% and 36.4% for the three months ended March 31, 2025 and 2024, respectively. The main driver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effective and statutory rate is non-deductible executive compensation under Section 162(m) of the Internal Revenue Code.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principally rely on cash flows from operations as our primary source of liquidity and, if needed, up to $5.0 million in revolving loans under our revolving credit facility. In March 2025, we filed a Registration Statement on Form S-3 (File No. 333-285825) which covers the offering, issuance and sale, for an aggregate initial offering price not to exceed $100.0 million, of shares of common stock and preferred stock; debt securities; warrants to purchase common stock, preferred stock and/or debt securities; and units. We also commenced an at-the-market offering program, with Leerink Partners LLC (“Leerink”) acting as sales agent. This at-the-market offering program provides us with additional access to capital, as needed, subject to market conditions.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primary cash needs are for payroll, marketing and advertisements, rent, debt service, as well as information technology and infrastructure, including our corporate office. Our cash flows are closely tied to the receipt of patient payments, and we have experienced revenue declines in the most recent year due to a decline in overall cases performed. In response, we have implemented initiatives to improve revenue growth, engaged in a cost reduction program that is estimated to eliminate approximately $3.0 million in annual overhead costs and contracted expenses, and paused de novo center and new procedure room openings. These initiatives may not realize anticipated benefits or savings from one or more of the various strategies and cost-savings initiatives undertaken as part of these efforts in full or in part or within the time periods expected. We also may not realize the increase in sales related to these initiatives. Our ability to improve operating results depends upon a significant number of factors, some of which are beyond our control. If we are unable to realize the anticipated savings or benefits, or otherwise fail to implement the growth strategies, the business operating results and liquidity may be adversely affected.</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the cash expected to be generated from operations and from our at-the-market offering program will be sufficient for our working capital requirements, liquidity obligations, and payments due under our existing credit facilities for at least the next 12 months.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we had $5.6 million in cash and cash equivalents with no availability under our revolving credit facility. We do not have any letters of credit outstanding as of March 31, 2025.</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we had $11.0 million in cash and cash equivalents and an available amount of $5.0 million under our revolving credit facility. We did not have any letters of credit outstanding as of March 31, 2024.</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net cash provided by (used for) operating activities, investing activities and financing activities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r>
      <w:tr>
        <w:trPr>
          <w:trHeight w:val="196"/>
        </w:trPr>
        <w:tc>
          <w:tcPr>
            <w:tcW w:w="8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r>
      <w:tr>
        <w:trPr>
          <w:trHeight w:val="196"/>
        </w:trPr>
        <w:tc>
          <w:tcPr>
            <w:tcW w:w="816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000s)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D2EDFE"/>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216"/>
        </w:trPr>
        <w:tc>
          <w:tcPr>
            <w:tcW w:w="81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For):</w:t>
            </w:r>
          </w:p>
        </w:tc>
        <w:tc>
          <w:tcPr>
            <w:tcW w:w="360" w:type="dxa"/>
            <w:vAlign w:val="bottom"/>
            <w:shd w:val="clear" w:color="auto" w:fill="D2EDFE"/>
          </w:tcPr>
          <w:p>
            <w:pPr>
              <w:spacing w:after="0"/>
              <w:rPr>
                <w:sz w:val="18"/>
                <w:szCs w:val="18"/>
                <w:color w:val="auto"/>
              </w:rPr>
            </w:pPr>
          </w:p>
        </w:tc>
        <w:tc>
          <w:tcPr>
            <w:tcW w:w="1120" w:type="dxa"/>
            <w:vAlign w:val="bottom"/>
            <w:shd w:val="clear" w:color="auto" w:fill="D2EDFE"/>
          </w:tcPr>
          <w:p>
            <w:pPr>
              <w:spacing w:after="0"/>
              <w:rPr>
                <w:sz w:val="18"/>
                <w:szCs w:val="18"/>
                <w:color w:val="auto"/>
              </w:rPr>
            </w:pPr>
          </w:p>
        </w:tc>
        <w:tc>
          <w:tcPr>
            <w:tcW w:w="120" w:type="dxa"/>
            <w:vAlign w:val="bottom"/>
            <w:shd w:val="clear" w:color="auto" w:fill="D2EDFE"/>
          </w:tcPr>
          <w:p>
            <w:pPr>
              <w:spacing w:after="0"/>
              <w:rPr>
                <w:sz w:val="18"/>
                <w:szCs w:val="18"/>
                <w:color w:val="auto"/>
              </w:rPr>
            </w:pPr>
          </w:p>
        </w:tc>
        <w:tc>
          <w:tcPr>
            <w:tcW w:w="600" w:type="dxa"/>
            <w:vAlign w:val="bottom"/>
            <w:shd w:val="clear" w:color="auto" w:fill="D2EDFE"/>
          </w:tcPr>
          <w:p>
            <w:pPr>
              <w:spacing w:after="0"/>
              <w:rPr>
                <w:sz w:val="18"/>
                <w:szCs w:val="18"/>
                <w:color w:val="auto"/>
              </w:rPr>
            </w:pPr>
          </w:p>
        </w:tc>
        <w:tc>
          <w:tcPr>
            <w:tcW w:w="880" w:type="dxa"/>
            <w:vAlign w:val="bottom"/>
            <w:shd w:val="clear" w:color="auto" w:fill="D2EDFE"/>
          </w:tcPr>
          <w:p>
            <w:pPr>
              <w:spacing w:after="0"/>
              <w:rPr>
                <w:sz w:val="18"/>
                <w:szCs w:val="18"/>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r>
      <w:tr>
        <w:trPr>
          <w:trHeight w:val="230"/>
        </w:trPr>
        <w:tc>
          <w:tcPr>
            <w:tcW w:w="81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20" w:type="dxa"/>
            <w:vAlign w:val="bottom"/>
            <w:shd w:val="clear" w:color="auto" w:fill="D2EDFE"/>
          </w:tcPr>
          <w:p>
            <w:pPr>
              <w:spacing w:after="0"/>
              <w:rPr>
                <w:sz w:val="19"/>
                <w:szCs w:val="19"/>
                <w:color w:val="auto"/>
              </w:rPr>
            </w:pPr>
          </w:p>
        </w:tc>
        <w:tc>
          <w:tcPr>
            <w:tcW w:w="60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29"/>
        </w:trPr>
        <w:tc>
          <w:tcPr>
            <w:tcW w:w="81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20" w:type="dxa"/>
            <w:vAlign w:val="bottom"/>
            <w:shd w:val="clear" w:color="auto" w:fill="D2EDFE"/>
          </w:tcPr>
          <w:p>
            <w:pPr>
              <w:spacing w:after="0"/>
              <w:rPr>
                <w:sz w:val="19"/>
                <w:szCs w:val="19"/>
                <w:color w:val="auto"/>
              </w:rPr>
            </w:pPr>
          </w:p>
        </w:tc>
        <w:tc>
          <w:tcPr>
            <w:tcW w:w="60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707</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source of our operating cash flow is the collection of patient payments received prior to performing surgical procedures. For the three months ended March 31, 2025, our operating cash flow decreased by $2.5 million compared to the same period in 2024. The decrease is primarily attributed to weaker than expected revenue performance during the three months ended March 31, 2025 as compared to the prior year period. At March 31, 2025, we had a working capital deficit of $(11.5) million compared to $(11.5) million at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and 2024 was $1.9 million and $1.6 million, respectively. Investing activities in the three months ended March 31, 2025 relate primarily to final payments on our White Plains, NY location that opened in December 2024 and maintenance capital expenditure. Investing activities during the three months ended March 31, 2024 were attributable to the preparation for the opening of our 2024 de novo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three months ended March 31, 2025 was $1.6 million. During the three months ended March 31, 2025, we made principal payments on our debt of $1.1 million, payments for debt modification of $0.2 million and made payments of taxes withheld through vested equity-based compensation of $0.1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2024 was $1.1 million. For the three months ended March 31, 2024, we made principal payments on our debt of $0.5 million and made payments of taxes withheld through vested equity-based compensation of $0.4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Common Offering Program</w:t>
      </w: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March 14, 2025, we entered into a sales agreement (the “ATM Agreement”) with Leerink, as sales agent, in connection with an at-the-market offering program under which we may offer and sell, from time to time in our sole discretion, shares of our common stock having an aggregate offering price of up to $50.0 million at prices and on terms to be determined by market conditions at the time of offering. The $50.0 million of common stock that may be offered, issued and sold under the ATM Agreement is included in the $100.0 million of securities that may be offered, issued and sold by us under our Registration Statement on Form S-3 (File No. 333-285825). We and Leerink each have the right to suspend or terminate the ATM Agreement in each party’s sole discretion at any time.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quarter ended March 31, 2025, we sold the following quantities of our common stock pursuant to the ATM Agreement for total net proceeds of approximately $13 thousand: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2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3/26/2025</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3/27/2025</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48"/>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our total indebtedness was $73.5 million and $74.7 million, which includes unamortized deferred financing costs and issuance discount of $1.2 million and $1.0 million, and funds drawn on the revolving credit facility of $5.0 million and $5.0 million, as of March 31, 2025 and December 31, 2024,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7, 2022, the Company entered into a credit agreement with a syndicate of lenders (the "Credit Agreement"), originally maturing November 7, 2027. Pursuant to the Credit Agreement, there is (i) an $85.0 million original aggregate principal amount of term loans and (ii) a revolving loan facility in an aggregate principal amount of up to $5.0 million. On September 29, 2023, the Company voluntarily pre-paid $10.0 million of the principal balance of the term loans under the Credit Agreement using cash on hand.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2024, the Company amended the Credit Agreement to modify certain financial condition covenants and the applicable margins. As such, for the period of September 13, 2024 through June 30, 2025, the applicable per annum margin is 2.5% or 3.5% for base rate or SOFR, respectively, if the Company's total leverage ratio is equal to or greater than 2.0x. If the Company's total leverage ratio is equal to or greater than 1.0x and less than 2.0x, the applicable per annum margin is 2.0% or 3.0% for base rate or SOFR, respectively. If the Company's total leverage ratio is below 1.0x, the applicable per annum margin is 1.5% or 2.5% for base rate or SOFR, respectively. As of March 31, 2025, the interest rate was 7.82%.</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12, 2025, the Company entered the Third Amendment. Under the terms of the Third Amendment, the parties thereto agreed to modify certain financial condition covenants made by the Company under the term loan and revolving credit facility, such that (i) the Consolidated Fixed Charge Coverage Ratio (as defined in the Credit Agreement) of the Company and its subsidiaries as of the last day of the fiscal quarters ending March 31, 2025 and June 30, 2025 must be no less than 0.50x and 1.10x, respectively, and no less than 1.25x on the last day of the fiscal quarters ending September 30, 2025 and thereafter, instead of 1.10x as of March 31, 2025 and 1.25x as of June 30, 2025 and thereafter, as previously set forth in the Credit Agreement; (ii) the Consolidated Leverage Ratio (as defined in the Credit Agreement) of the Company and its subsidiaries as of the last day of the fiscal quarters ending March 31, 2025, June 30, 2025, September 30, 2025, December 31, 2025 and March 31, 2026, must not exceed 4:25x, 3.50x 3.25x, 3.25x, and 2.75x, respectively, and the Consolidated Leverage Ratio as of the last day of each fiscal quarter thereafter must not exceed 2.25x, instead of 3.25x as of March 31, 2025, 2.75x as of June 30, 2025, and 2.25x thereafter, as previously set forth in the Credit Agreement; (iii) the Company and its subsidiaries will be required to maintain minimum Liquidity (as defined in the Credit Agreement) of not less than (A) $3.0 million as of the last day of the month ending March 31, 2025, (B) $5.0 million as of the last day of the month ending April 30, 2025, and (C) $7.5 million as of the last day of the months ending May 31, 2025 and thereafter (or the last day of each fiscal quarter thereafter upon the satisfaction of certain financial tests described therein); and (iv) new liquidity and financial reporting requirements have been added.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revising the covenants listed above, the amendment revised or added new terms such that (i) for outstanding loans, beginning on or about July 1, 2025, the applicable per annum margin will be increased to 3.75% or 4.75% for base rate or SOFR, respectively, if the Company's total leverage ratio is equal to or greater than 3.00x, 3.50% or 4.50% for base rate or SOFR, respectively, if the Company's total leverage ratio is equal to or greater than 2.00x and less than 3.00x, and 3.25% or 4.25% for base rate or SOFR, respectively, if the Company's total leverage ratio is below 2.00x, (ii) the term loan and revolving credit facility will mature on May 11, 2027 (instead of November 7, 2027); (iii) Liquidity in excess of $3.0 million will be used to repay the outstanding funds drawn on the revolving credit facility on a monthly basis beginning April 30, 2025; (iv) revolver draws will be subject to compliance with the minimum Liquidity covenant; and (v) the Company will be required to reimburse SVB for certain fees and expenses relating to the engagement of a financial advisor, and (vi) 100% of first $10.0 million of any equity proceeds will be used to repay the term loan and revolving credit facility, subject to a carve-out of the first $3.0 million of equity proceeds and any equity proceeds received from Vesey Street Capital Partners, L.L.C., our private equity sponsor (“Sponsor”). In consideration of the Third Amendment, the Company paid a fee equal to 0.15% of the outstanding loans to consenting Lenders, and a $125,000 arrangement fee to SVB. On March 12, 2025, in connection with the Third Amendment, the Company, SVB and our Sponsor (through certain affiliated entities) entered into that certain Limited Guarantee by and among Vesey Street Capital Partners Healthcare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Fund, L.P., Vesey Street Capital Partners Healthcare Fund-A, L.P., SVB, and the Company (the "Limited Guarantee"), pursuant to which our Sponsor agreed to provide a $10.0 million limited guaranty of the Company’s obligations under the Credit Agreement. The Limited Guarantee is callable on June 15, 2025 (or upon the earlier occurrence of certain defaults described therein) if the Company has not prepaid the term loan (excluding regularly scheduled amortization) by $10.0 million as of such date. The Company will utilize proceeds from operations and potential equity raises to prepay the $10.0 million on the term loan. Under the terms of the Limited Guarantee, if our Sponsor is required to make any payment under the Limited Guarantee (other than as a result of a bankruptcy event), then our Sponsor will be deemed to have purchased shares of common stock of the Company having an aggregate value equal to the amount of such payment. The Company has agreed to issue a subordinated note to our Sponsor if a payment occurs under the Limited Guarantee, to the extent such payment does not result from the issuance of shares of common stock by the Company to our Sponsor.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IPO or until we are no longer an “emerging growth company,” whichever is earlier.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summary of significant accounting policies is disclosed in our Annual Report on Form 10-K dated March 14, 2025 filed with the SEC pursuant to Section 13 or 15d of the Exchange Act under the caption “Critical Accounting Policies and Estimates” in the Management’s Discussion and Analysis of Financial Condition and Results of Operations section. There have been no material changes in the nature of our critical accounting policies and estimates or the application of those policies from our Annual Report on Form 10-K dated March 14,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is a smaller reporting company as defined by Rule 12b-2 of the Exchange Act and is not required to provide the information required under this item.</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Evaluation of Disclosure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our management, under the supervision and with the participation of our principal executive officer and principal financial officer, evaluated the effectiveness of our disclosure controls and procedures pursuant to Exchange Act Rule 13a-15(e) and 15d-15(e). Based upon this evaluation,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concluded that our disclosure controls and procedures were effective at a reasonable assurance level as of March 31,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 during the quarter ended March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the Effectiveness of Controls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the Chief Executive Officer and the Chief Financial Officer, recognizes that any set of controls and procedures, no matter how well-designed and operated, can provide only reasonable, not absolute, assurance of achieving the desired control objectives.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controls. For these reasons,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ordinary course of business, we have become and may in the future become subject to pending and threatened legal actions and proceedings, including with respect to the quality of our services. All of the current legal actions and proceedings that we are a party to are of an ordinary or routine nature incidental to our operations, the resolution of which should not have a material adverse effect on our financial condition, results of operations or cash flows. These claims, to the extent they exceed our insurance deductibles, are covered by insurance, but there can be no assurance that our insurance coverage will be adequate to cover any such liability.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to the extent updated below or to the extent additional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discussed in our Annual Report on Form 10-K for the year ended December 31, 2024 dated March 14, 2025 and filed with the SEC pursuant to Section 13 or 15(d) of the Exchange Act.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2025, none of our directors or officers have adopted or terminated any "Rule 10b5-1 trading arrangement" or "non-Rule 10b5-1 trading arrangement" (each as defined in Item 408(a) of Regulation S-K).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8572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3.1*</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10.1*</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10.2*</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Amended and Restated Certificate of Incorporation</w:t>
      </w:r>
    </w:p>
    <w:p>
      <w:pPr>
        <w:spacing w:after="0" w:line="63" w:lineRule="exact"/>
        <w:rPr>
          <w:sz w:val="20"/>
          <w:szCs w:val="20"/>
          <w:color w:val="auto"/>
        </w:rPr>
      </w:pPr>
    </w:p>
    <w:p>
      <w:pPr>
        <w:ind w:right="2000"/>
        <w:spacing w:after="0" w:line="314" w:lineRule="auto"/>
        <w:rPr>
          <w:sz w:val="20"/>
          <w:szCs w:val="20"/>
          <w:color w:val="auto"/>
        </w:rPr>
      </w:pPr>
      <w:r>
        <w:rPr>
          <w:rFonts w:ascii="Times New Roman" w:cs="Times New Roman" w:eastAsia="Times New Roman" w:hAnsi="Times New Roman"/>
          <w:sz w:val="17"/>
          <w:szCs w:val="17"/>
          <w:u w:val="single" w:color="auto"/>
          <w:color w:val="auto"/>
        </w:rPr>
        <w:t>RSU Award Grant Notice and Award Agreement between AirSculpt Technologies, Inc. and Yogesh Jashnani PSU Award Grant Notice and Award Agreement between AirSculpt Technologies, Inc. and Yogesh Jashnani</w:t>
      </w:r>
    </w:p>
    <w:p>
      <w:pPr>
        <w:spacing w:after="0" w:line="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Certification of Principal Executive Officer Pursuant to Rules 13a-14(a) and 15d-14(a) under the Securities Exchange Act of 1934, as Adopted Pursuant to Section 302 of the Sarbanes-Oxley Act of 2002</w:t>
      </w:r>
    </w:p>
    <w:p>
      <w:pPr>
        <w:spacing w:after="0" w:line="1" w:lineRule="exact"/>
        <w:rPr>
          <w:sz w:val="20"/>
          <w:szCs w:val="20"/>
          <w:color w:val="auto"/>
        </w:rPr>
      </w:pPr>
    </w:p>
    <w:p>
      <w:pPr>
        <w:sectPr>
          <w:pgSz w:w="11900" w:h="16838" w:orient="portrait"/>
          <w:cols w:equalWidth="0" w:num="2">
            <w:col w:w="1240" w:space="180"/>
            <w:col w:w="9820"/>
          </w:cols>
          <w:pgMar w:left="320" w:top="513" w:right="339" w:bottom="1440" w:gutter="0" w:footer="0" w:header="0"/>
          <w:type w:val="continuous"/>
        </w:sectPr>
      </w:pPr>
    </w:p>
    <w:tbl>
      <w:tblPr>
        <w:tblLayout w:type="fixed"/>
        <w:tblInd w:w="300" w:type="dxa"/>
        <w:tblCellMar>
          <w:top w:w="0" w:type="dxa"/>
          <w:left w:w="0" w:type="dxa"/>
          <w:bottom w:w="0" w:type="dxa"/>
          <w:right w:w="0" w:type="dxa"/>
        </w:tblCellMar>
      </w:tblPr>
      <w:tr>
        <w:trPr>
          <w:trHeight w:val="20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31.2*</w:t>
            </w:r>
          </w:p>
        </w:tc>
        <w:tc>
          <w:tcPr>
            <w:tcW w:w="200" w:type="dxa"/>
            <w:vAlign w:val="bottom"/>
          </w:tcPr>
          <w:p>
            <w:pPr>
              <w:spacing w:after="0"/>
              <w:rPr>
                <w:sz w:val="17"/>
                <w:szCs w:val="17"/>
                <w:color w:val="auto"/>
              </w:rPr>
            </w:pPr>
          </w:p>
        </w:tc>
        <w:tc>
          <w:tcPr>
            <w:tcW w:w="9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40" w:type="dxa"/>
            <w:vAlign w:val="bottom"/>
            <w:tcBorders>
              <w:top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1"/>
                <w:szCs w:val="21"/>
                <w:color w:val="auto"/>
              </w:rPr>
            </w:pPr>
          </w:p>
        </w:tc>
        <w:tc>
          <w:tcPr>
            <w:tcW w:w="9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9"/>
              </w:rPr>
              <w:t>Oxley Act of 2002</w:t>
            </w:r>
          </w:p>
        </w:tc>
        <w:tc>
          <w:tcPr>
            <w:tcW w:w="8400" w:type="dxa"/>
            <w:vAlign w:val="bottom"/>
            <w:tcBorders>
              <w:top w:val="single" w:sz="8" w:color="auto"/>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1"/>
                <w:szCs w:val="21"/>
                <w:color w:val="auto"/>
              </w:rPr>
            </w:pPr>
          </w:p>
        </w:tc>
        <w:tc>
          <w:tcPr>
            <w:tcW w:w="9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9"/>
              </w:rPr>
              <w:t>Oxley Act of 2002</w:t>
            </w:r>
          </w:p>
        </w:tc>
        <w:tc>
          <w:tcPr>
            <w:tcW w:w="8420" w:type="dxa"/>
            <w:vAlign w:val="bottom"/>
            <w:tcBorders>
              <w:top w:val="single" w:sz="8" w:color="auto"/>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59"/>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101.INS</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920" w:type="dxa"/>
            <w:vAlign w:val="bottom"/>
          </w:tcPr>
          <w:p>
            <w:pPr>
              <w:spacing w:after="0"/>
              <w:rPr>
                <w:sz w:val="20"/>
                <w:szCs w:val="20"/>
                <w:color w:val="auto"/>
              </w:rPr>
            </w:pP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5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101.CAL*</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7"/>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101.DEF*</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6"/>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101.LAB*</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56"/>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104*</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9" w:lineRule="exact"/>
        <w:rPr>
          <w:sz w:val="20"/>
          <w:szCs w:val="20"/>
          <w:color w:val="auto"/>
        </w:rPr>
      </w:pPr>
    </w:p>
    <w:p>
      <w:pPr>
        <w:ind w:left="660" w:hanging="652"/>
        <w:spacing w:after="0" w:line="253" w:lineRule="auto"/>
        <w:tabs>
          <w:tab w:leader="none" w:pos="4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 except to the extent that the registrant specifically incorporates them by reference.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AIRSCULPT TECHNOLOGIES,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By:</w:t>
            </w:r>
          </w:p>
        </w:tc>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Dennis Dean</w:t>
            </w:r>
          </w:p>
        </w:tc>
      </w:tr>
      <w:tr>
        <w:trPr>
          <w:trHeight w:val="218"/>
        </w:trPr>
        <w:tc>
          <w:tcPr>
            <w:tcW w:w="23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Dennis Dean</w:t>
            </w:r>
          </w:p>
        </w:tc>
      </w:tr>
      <w:tr>
        <w:trPr>
          <w:trHeight w:val="229"/>
        </w:trPr>
        <w:tc>
          <w:tcPr>
            <w:tcW w:w="232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3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00"/>
        </w:trPr>
        <w:tc>
          <w:tcPr>
            <w:tcW w:w="2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By:</w:t>
            </w:r>
          </w:p>
        </w:tc>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Philip Bodie</w:t>
            </w:r>
          </w:p>
        </w:tc>
      </w:tr>
      <w:tr>
        <w:trPr>
          <w:trHeight w:val="218"/>
        </w:trPr>
        <w:tc>
          <w:tcPr>
            <w:tcW w:w="23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Bodie</w:t>
            </w:r>
          </w:p>
        </w:tc>
      </w:tr>
      <w:tr>
        <w:trPr>
          <w:trHeight w:val="230"/>
        </w:trPr>
        <w:tc>
          <w:tcPr>
            <w:tcW w:w="232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23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51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2025</w:t>
            </w:r>
          </w:p>
        </w:tc>
        <w:tc>
          <w:tcPr>
            <w:tcW w:w="5940" w:type="dxa"/>
            <w:vAlign w:val="bottom"/>
          </w:tcPr>
          <w:p>
            <w:pPr>
              <w:spacing w:after="0"/>
              <w:rPr>
                <w:sz w:val="24"/>
                <w:szCs w:val="24"/>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51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AirSculpt Technologies,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OFFICE AND AGENT</w:t>
      </w:r>
    </w:p>
    <w:p>
      <w:pPr>
        <w:spacing w:after="0" w:line="20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Corporation Trust Center, 1209 Orange Street, Wilmington, Delaware 19801, County of New Castle, and the name of its registered agent at such address is The Corporation Trust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as it now exists or may hereafter be amended and supplemented.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Corporation is authorized to issue two classes of stock to be designated, respectively,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total number of shares of capital stock which the Corporation shall have authority to issue is 500,000,000. The total number of shares of Common Stock that the Corporation is authorized to issue is 450,000,000, having a par value of $0.001 per share, and the total number of shares of Preferred Stock that the Corporation is authorized to issue is 50,000,000, having a par value of $0.001 per share.</w:t>
      </w:r>
    </w:p>
    <w:p>
      <w:pPr>
        <w:spacing w:after="0" w:line="18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designations and the powers, privileges and rights, and the qualifications, limitations or restrictions thereof in respect of each class of capital stock of the Corporation are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000"/>
        <w:spacing w:after="0" w:line="266" w:lineRule="auto"/>
        <w:tabs>
          <w:tab w:leader="none" w:pos="11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and outstanding from time to time.</w:t>
      </w:r>
    </w:p>
    <w:p>
      <w:pPr>
        <w:spacing w:after="0" w:line="175" w:lineRule="exact"/>
        <w:rPr>
          <w:rFonts w:ascii="Times New Roman" w:cs="Times New Roman" w:eastAsia="Times New Roman" w:hAnsi="Times New Roman"/>
          <w:sz w:val="18"/>
          <w:szCs w:val="18"/>
          <w:color w:val="auto"/>
        </w:rPr>
      </w:pPr>
    </w:p>
    <w:p>
      <w:pPr>
        <w:jc w:val="both"/>
        <w:ind w:firstLine="1000"/>
        <w:spacing w:after="0" w:line="256" w:lineRule="auto"/>
        <w:tabs>
          <w:tab w:leader="none" w:pos="11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herein or expressly required by law, each holder of Common Stock, as such, shall be entitled to vote on each matter submitted to a vote of stockholders and shall be entitled to one (1) vote for each share of Common Stock held of record by such holder as of the record date for determining stockholders entitled to vote on such matter. Except as otherwise required by law, holders of Common Stock, as such, shall not be entitled to vote on any amendment to this Amended and Restated Certificate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DM_US 212150496-1.116680.0011</w:t>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series, to vote thereon pursuant to this Amended and Restated Certificate (including any Certificate of Designation) or pursuant to the DGCL.</w:t>
      </w:r>
    </w:p>
    <w:p>
      <w:pPr>
        <w:spacing w:after="0" w:line="225" w:lineRule="exact"/>
        <w:rPr>
          <w:sz w:val="20"/>
          <w:szCs w:val="20"/>
          <w:color w:val="auto"/>
        </w:rPr>
      </w:pPr>
    </w:p>
    <w:p>
      <w:pPr>
        <w:jc w:val="both"/>
        <w:ind w:firstLine="992"/>
        <w:spacing w:after="0" w:line="266" w:lineRule="auto"/>
        <w:rPr>
          <w:sz w:val="20"/>
          <w:szCs w:val="20"/>
          <w:color w:val="auto"/>
        </w:rPr>
      </w:pPr>
      <w:r>
        <w:rPr>
          <w:rFonts w:ascii="Times New Roman" w:cs="Times New Roman" w:eastAsia="Times New Roman" w:hAnsi="Times New Roman"/>
          <w:sz w:val="18"/>
          <w:szCs w:val="18"/>
          <w:color w:val="auto"/>
        </w:rPr>
        <w:t>Subject to the rights of any holders of any outstanding series of Preferred Stock,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176" w:lineRule="exact"/>
        <w:rPr>
          <w:sz w:val="20"/>
          <w:szCs w:val="20"/>
          <w:color w:val="auto"/>
        </w:rPr>
      </w:pPr>
    </w:p>
    <w:p>
      <w:pPr>
        <w:jc w:val="both"/>
        <w:ind w:right="20" w:firstLine="1000"/>
        <w:spacing w:after="0" w:line="266" w:lineRule="auto"/>
        <w:tabs>
          <w:tab w:leader="none" w:pos="11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w:t>
      </w:r>
    </w:p>
    <w:p>
      <w:pPr>
        <w:spacing w:after="0" w:line="175" w:lineRule="exact"/>
        <w:rPr>
          <w:rFonts w:ascii="Times New Roman" w:cs="Times New Roman" w:eastAsia="Times New Roman" w:hAnsi="Times New Roman"/>
          <w:sz w:val="18"/>
          <w:szCs w:val="18"/>
          <w:color w:val="auto"/>
        </w:rPr>
      </w:pPr>
    </w:p>
    <w:p>
      <w:pPr>
        <w:jc w:val="both"/>
        <w:ind w:firstLine="1000"/>
        <w:spacing w:after="0" w:line="261" w:lineRule="auto"/>
        <w:tabs>
          <w:tab w:leader="none" w:pos="11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number of shares of Common Stock held by each such holder.</w:t>
      </w:r>
    </w:p>
    <w:p>
      <w:pPr>
        <w:spacing w:after="0" w:line="179" w:lineRule="exact"/>
        <w:rPr>
          <w:rFonts w:ascii="Times New Roman" w:cs="Times New Roman" w:eastAsia="Times New Roman" w:hAnsi="Times New Roman"/>
          <w:sz w:val="18"/>
          <w:szCs w:val="18"/>
          <w:color w:val="auto"/>
        </w:rPr>
      </w:pPr>
    </w:p>
    <w:p>
      <w:pPr>
        <w:ind w:left="660" w:hanging="21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w:t>
      </w:r>
    </w:p>
    <w:p>
      <w:pPr>
        <w:spacing w:after="0" w:line="162"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Amended and Restated Certificate (including any Certificate of Designation). Except as otherwise required by law, holders of any series of Preferred Stock shall be entitled only to such voting rights, if any, as shall expressly be granted thereto by this Amended and Restated Certificate (including any Certificate of Designation).</w:t>
      </w:r>
    </w:p>
    <w:p>
      <w:pPr>
        <w:spacing w:after="0" w:line="192"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Corporation it is further provided that:</w:t>
      </w:r>
    </w:p>
    <w:p>
      <w:pPr>
        <w:spacing w:after="0" w:line="225"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A. Subject to the special rights of the holders of one or more outstanding series of Preferred Stock to elect directors, the directors of the Corporation shall be classified with respect to the time for which they severally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3"/>
          <w:szCs w:val="13"/>
          <w:color w:val="auto"/>
        </w:rPr>
        <w:t>DM_US 212150496-1.116680.0011</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office into three classes, designated as Class I, Class II and Class III. The initial Class I directors shall serve for a term expiring at the first annual meeting of the stockholders following the date of this Amended and Restated Certificate; the initial Class II directors shall serve for a term expiring at the second annual meeting of the stockholders following the date of this Amended and Restated Certificate; and the initial Class III directors shall serve for a term expiring at the third annual meeting of the stockholders following the date of this Amended and Restated Certificate. At each annual meeting of the stockholders of the Corporation beginning with the first annual meeting of the stockholders following the date of this Amended and Restated Certificate, subject to the special rights of the holders of one or more outstanding series of Preferred Stock to elect directors, the successors of the class of directors whose term expires at that meeting shall be elected to hold office for a term expiring at the annual meeting of the stockholders held in the third year following the year of their election. Each director shall hold office until his or her successor is duly elected and qualified or until his or her earlier death, resignation, disqualification or removal. No decrease in the number of directors shall shorten the term of any incumbent director. The Board of Directors is authorized to assign members of the Board of Directors already in office to Class I, Class II and Class III, subject to the terms of the Stockholders Agreement, dated on or about the date hereof, by and among the Corporation and the other signatories thereto (so long as such agreement remains in effect) (as the same may be amended, supplemented, restated or otherwise modified from time to time,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B. Except as otherwise expressly provided by the DGCL or this Amended and Restated Certificate, the business and affairs of the Corporation shall be managed by or under the direction of the Board of Directors. The number of directors which shall constitute the whole Board of Directors shall be fixed exclusively by one or more resolutions adopted from time to time by the Board of Directors, subject to the terms of the Stockholders Agreement.</w:t>
      </w:r>
    </w:p>
    <w:p>
      <w:pPr>
        <w:spacing w:after="0" w:line="17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C. Subject to the special rights of the holders of one or more outstanding series of Preferred Stock to elect directors and subject to the terms of the Stockholders Agreement, the Board of Directors or any individual director may be removed from office at any time but only for cause and only by the affirmative vote of the holders of at least two-thirds (66 and 2/3%) of the voting power of all of the then outstanding shares of voting stock of the Corporation entitled to vote at an election of directors.</w:t>
      </w:r>
    </w:p>
    <w:p>
      <w:pPr>
        <w:spacing w:after="0" w:line="180"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D. Subject to the special rights of the holders of one or more outstanding series of Preferred Stock to elect directors and subject to the terms of the Stockholders Agreement,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appointed in accordance with the preceding sentence shall hold office until the expiration of the term of the class to which such director shall have been appointed or until his or her earlier death, resignation, retirement, disqualification, or removal.</w:t>
      </w:r>
    </w:p>
    <w:p>
      <w:pPr>
        <w:spacing w:after="0" w:line="18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Amended and Restated Certificate (including any Certificate of Designation). Notwithstanding anything to the contrary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the number of directors that may be elected by the holders of any such series of Preferred Stock shall be in addition to the number fixed pursuant to paragraph B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3"/>
          <w:szCs w:val="13"/>
          <w:color w:val="auto"/>
        </w:rPr>
        <w:t>DM_US 212150496-1.116680.0011</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F. In furtherance and not in limitation of the powers conferred by statute, the Board of Directors is expressly authorized to adopt, amend or repeal the Amended and Restated Bylaws of the Corporation (as amended and/or restated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In addition to any vote of the holders of any class or series of stock of the Corporation required by applicable law or by this Amended and Restated Certificate (including any Certificate of Designation in respect of one or more series of Preferred Stock) or the Bylaws of the Corporation, the adoption, amendment or repeal of the Bylaws by the stockholders of the Corporation shall require the affirmative vote of the holders of at least two-thirds (66 and 2/3%) of the voting power of all of the then outstanding shares of voting stock of the Corporation entitled to vote generally in an election of directors.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 The directors of the Corporation need not be elected by written ballot unless the Bylaws so provide.</w:t>
      </w:r>
    </w:p>
    <w:p>
      <w:pPr>
        <w:spacing w:after="0" w:line="225" w:lineRule="exact"/>
        <w:rPr>
          <w:sz w:val="20"/>
          <w:szCs w:val="20"/>
          <w:color w:val="auto"/>
        </w:rPr>
      </w:pPr>
    </w:p>
    <w:p>
      <w:pPr>
        <w:jc w:val="both"/>
        <w:ind w:firstLine="449"/>
        <w:spacing w:after="0" w:line="258" w:lineRule="auto"/>
        <w:tabs>
          <w:tab w:leader="none" w:pos="8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VSCP Investor (as defined in the Stockholders Agreement) is entitled to designate at least one VSCP Designee (as defined in the Stockholders Agreement), a quorum for a meeting of the Board shall require the attendance in person, telephonically, or in any other manner permitted by applicable law, of at least one VSCP Designee. For so long as Rollins (as defined in the Stockholders Agreement) is entitled to designate a Rollins Designee (as defined in the Stockholders Agreement), a quorum for a meeting of the Board shall require the attendance in person, telephonically, or in any other manner permitted by applicable law, of the Rollins Designee.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07"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A. Any action required or permitted to be taken by the stockholders of the Corporation must be effected at an annual or special meeting of the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w:t>
      </w:r>
    </w:p>
    <w:p>
      <w:pPr>
        <w:spacing w:after="0" w:line="19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B. Subject to the special rights of the holders of one or more series of Preferred Stock, special meetings of the stockholders of the Corporation may be called, for any purpose or purposes, at any time only by or at the direction of the Board of Directors or the Chairperson of the Board of Directors, and shall not be called by any other person or persons.</w:t>
      </w:r>
    </w:p>
    <w:p>
      <w:pPr>
        <w:spacing w:after="0" w:line="176"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C. Advance notice of stockholder nominations for the election of directors and of other business proposed to be brought by stockholders before any meeting of the stockholders of the Corporation shall be given in the manner provided in the Bylaws of the Corporation.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LIABILITY</w:t>
      </w:r>
    </w:p>
    <w:p>
      <w:pPr>
        <w:spacing w:after="0" w:line="207"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VII, or the adoption of any provision of the Amended and Restated Certificate inconsistent with this Article VII, shall not adversely affect any right or protection of a director or officer of the Corporation with respect to any act or omission occurring prior to such amendment, repeal, modification or adoption. If the DGCL is amended after approval by the stockholders of this Article VII to authorize corporate action further eliminating or limiting the personal liability of directors or officers, then the liability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3"/>
          <w:szCs w:val="13"/>
          <w:color w:val="auto"/>
        </w:rPr>
        <w:t>DM_US 212150496-1.116680.0011</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or officer of the Corporation shall be eliminated or limited to the fullest extent permitted by the DGCL as so amended.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COMPETITION AND CORPORATE OPPORTUNITIES</w:t>
      </w:r>
    </w:p>
    <w:p>
      <w:pPr>
        <w:spacing w:after="0" w:line="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In recognition and anticipation that (i) certain directors, officers, principals, partners, members, managers, employees, agents and/or other representatives of the VSCP Entities (“</w:t>
      </w:r>
      <w:r>
        <w:rPr>
          <w:rFonts w:ascii="Times New Roman" w:cs="Times New Roman" w:eastAsia="Times New Roman" w:hAnsi="Times New Roman"/>
          <w:sz w:val="18"/>
          <w:szCs w:val="18"/>
          <w:u w:val="single" w:color="auto"/>
          <w:color w:val="auto"/>
        </w:rPr>
        <w:t>VSCP Non-Employee Agents</w:t>
      </w:r>
      <w:r>
        <w:rPr>
          <w:rFonts w:ascii="Times New Roman" w:cs="Times New Roman" w:eastAsia="Times New Roman" w:hAnsi="Times New Roman"/>
          <w:sz w:val="18"/>
          <w:szCs w:val="18"/>
          <w:color w:val="auto"/>
        </w:rPr>
        <w:t xml:space="preserve">”) and their respective Affiliates and Affiliated Entities (each, as defined below) may serve as directors, officers or agents of the Corporation and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 the VSCP Entities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are set forth to regulate and define the conduct of certain affairs of the Corporation with respect to certain classes or categories of business opportunities as they may involve any of the VSCP Non-Employee Agents, the VSCP Entities or their respective Affiliates, and the powers, rights, duties and liabilities of the Corporation and its directors, officers and stockholders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-550545</wp:posOffset>
            </wp:positionV>
            <wp:extent cx="17145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None of (i) any VSCP Non-Employee Agent or his or her Affiliates or Affiliated Entities or (ii) the VSCP Entities or any of their respective Affiliates (the Persons (as defined below) above being referred to, collectively, as “</w:t>
      </w:r>
      <w:r>
        <w:rPr>
          <w:rFonts w:ascii="Times New Roman" w:cs="Times New Roman" w:eastAsia="Times New Roman" w:hAnsi="Times New Roman"/>
          <w:sz w:val="18"/>
          <w:szCs w:val="18"/>
          <w:u w:val="single" w:color="auto"/>
          <w:color w:val="auto"/>
        </w:rPr>
        <w:t>Identified Persons</w:t>
      </w:r>
      <w:r>
        <w:rPr>
          <w:rFonts w:ascii="Times New Roman" w:cs="Times New Roman" w:eastAsia="Times New Roman" w:hAnsi="Times New Roman"/>
          <w:sz w:val="18"/>
          <w:szCs w:val="18"/>
          <w:color w:val="auto"/>
          <w:highlight w:val="white"/>
        </w:rPr>
        <w:t>” and, individually, as an “Identified Person”) shall, to</w:t>
      </w:r>
      <w:r>
        <w:rPr>
          <w:rFonts w:ascii="Times New Roman" w:cs="Times New Roman" w:eastAsia="Times New Roman" w:hAnsi="Times New Roman"/>
          <w:sz w:val="18"/>
          <w:szCs w:val="18"/>
          <w:color w:val="auto"/>
        </w:rPr>
        <w:t xml:space="preserve">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that may be a corporate opportunity for an Identified Person and the Corporation or any of its Affiliates, except as provided in paragraph C of this Article IX. Subject to said paragraph C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in the event that any Identified Person acquires knowledge of a potential transaction or other business opportunity that may be a corporate opportunity for itself, herself or himself and the Corporation or any of its Affiliates, such Identified Person shall, to the fullest extent 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 or does not communicate information regarding such corporate opportunity to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5868035</wp:posOffset>
            </wp:positionH>
            <wp:positionV relativeFrom="paragraph">
              <wp:posOffset>-1809115</wp:posOffset>
            </wp:positionV>
            <wp:extent cx="7804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Notwithstanding the foregoing provision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the Corporation does not renounce its interest in any corporate opportunity offered to any VSCP Non-Employee Agent if such opportunity is expressly offered to such VSCP Non-Employee Agent solely in his or her capacity as a director, officer or agent of the Corporation, and the provisions of paragraph B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shall not apply to any such corporate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3"/>
          <w:szCs w:val="13"/>
          <w:color w:val="auto"/>
        </w:rPr>
        <w:t>DM_US 212150496-1.116680.0011</w:t>
      </w:r>
    </w:p>
    <w:p>
      <w:pPr>
        <w:sectPr>
          <w:pgSz w:w="11900" w:h="16838" w:orient="portrait"/>
          <w:cols w:equalWidth="0" w:num="1">
            <w:col w:w="11240"/>
          </w:cols>
          <w:pgMar w:left="320" w:top="1440" w:right="339" w:bottom="1440" w:gutter="0" w:footer="0" w:header="0"/>
        </w:sectPr>
      </w:pPr>
    </w:p>
    <w:bookmarkStart w:id="36" w:name="page37"/>
    <w:bookmarkEnd w:id="36"/>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addition, notwithstanding anything to the contrary set forth herein,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not release any Person who is or was an employee of the Corporation or any of its subsidiaries from any obligations or duties that such Person may have pursuant to any other agreement that such Person may have with the Corporation or any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-424815</wp:posOffset>
            </wp:positionV>
            <wp:extent cx="226314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63140" cy="128905"/>
                    </a:xfrm>
                    <a:prstGeom prst="rect">
                      <a:avLst/>
                    </a:prstGeom>
                    <a:noFill/>
                  </pic:spPr>
                </pic:pic>
              </a:graphicData>
            </a:graphic>
          </wp:anchor>
        </w:drawing>
      </w:r>
    </w:p>
    <w:p>
      <w:pPr>
        <w:spacing w:after="0" w:line="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In addition to and notwithstanding the foregoing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highlight w:val="white"/>
        </w:rPr>
        <w:t>, a potential corporate opportunity shall not be deemed to be a</w:t>
      </w:r>
      <w:r>
        <w:rPr>
          <w:rFonts w:ascii="Times New Roman" w:cs="Times New Roman" w:eastAsia="Times New Roman" w:hAnsi="Times New Roman"/>
          <w:sz w:val="18"/>
          <w:szCs w:val="18"/>
          <w:color w:val="auto"/>
        </w:rPr>
        <w:t xml:space="preserve">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 For purposes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highlight w:val="white"/>
        </w:rPr>
        <w:t>” shall mean (a) in respect of a VSCP Non-Employee Agent, any Person that, directly or indirectly,</w:t>
      </w:r>
      <w:r>
        <w:rPr>
          <w:rFonts w:ascii="Times New Roman" w:cs="Times New Roman" w:eastAsia="Times New Roman" w:hAnsi="Times New Roman"/>
          <w:sz w:val="18"/>
          <w:szCs w:val="18"/>
          <w:color w:val="auto"/>
        </w:rPr>
        <w:t xml:space="preserve"> is controlled by such VSCP Non-Employee Agent (other than the Corporation and any entity that is controlled by the Corporation), (b) in respect of any of the VSCP Entities, a Person that, directly or indirectly, is controlled by any of the VSCP Entities, controls any of the VSCP Entities or is under common control with any of the VSCP Entities and shall include any principal, member, director, partner, stockholder, officer, employee or other representative of any of the foregoing (other than the Corporation and any entity that is controlled by the Corporation), and (c) in respect of the Corporation, any Person that, directly or indirectly, is controlled by the Corporation; (ii) “</w:t>
      </w:r>
      <w:r>
        <w:rPr>
          <w:rFonts w:ascii="Times New Roman" w:cs="Times New Roman" w:eastAsia="Times New Roman" w:hAnsi="Times New Roman"/>
          <w:sz w:val="18"/>
          <w:szCs w:val="18"/>
          <w:u w:val="single" w:color="auto"/>
          <w:color w:val="auto"/>
        </w:rPr>
        <w:t>Affiliated Entity</w:t>
      </w:r>
      <w:r>
        <w:rPr>
          <w:rFonts w:ascii="Times New Roman" w:cs="Times New Roman" w:eastAsia="Times New Roman" w:hAnsi="Times New Roman"/>
          <w:sz w:val="18"/>
          <w:szCs w:val="18"/>
          <w:color w:val="auto"/>
        </w:rPr>
        <w:t>” shall mean (A) any Person of which a VSCP Non-Employee Agent serves as an officer, director, employee, agent or other representative (other than the Corporation and any entity that is controlled by the Corporation), (B) any direct or indirect partner, stockholder, member, manager or other representative of such Person or (C) any Affiliate of any of the foregoing; and (iii)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shall mean any individual, corporation, general or limited partnership, limited liability company, joint venture, trust, association or any other entity.</w:t>
      </w:r>
    </w:p>
    <w:p>
      <w:pPr>
        <w:spacing w:after="0" w:line="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 For the purposes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highlight w:val="white"/>
        </w:rPr>
        <w:t>,” “controlled by” and “under common control with,” means the</w:t>
      </w:r>
      <w:r>
        <w:rPr>
          <w:rFonts w:ascii="Times New Roman" w:cs="Times New Roman" w:eastAsia="Times New Roman" w:hAnsi="Times New Roman"/>
          <w:sz w:val="18"/>
          <w:szCs w:val="18"/>
          <w:color w:val="auto"/>
        </w:rPr>
        <w:t xml:space="preserv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the restrictions on business combinations set forth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this Amended and Restated Certificate, as an agent, bank, broker, nominee, custodian or trustee for one or more owners who do not individually or as a group have control of such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-854075</wp:posOffset>
            </wp:positionV>
            <wp:extent cx="22409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40915" cy="8255"/>
                    </a:xfrm>
                    <a:prstGeom prst="rect">
                      <a:avLst/>
                    </a:prstGeom>
                    <a:noFill/>
                  </pic:spPr>
                </pic:pic>
              </a:graphicData>
            </a:graphic>
          </wp:anchor>
        </w:drawing>
      </w:r>
    </w:p>
    <w:p>
      <w:pPr>
        <w:spacing w:after="0" w:line="6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G. To the fullest extent permitted by law, any Person purchasing or otherwise acquiring any interest in any shares of capital stock of the Corporation shall be deemed to have notice of and to have consented to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highlight w:val="white"/>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DGCL SECTION 203 AND BUSINESS COMBINATIONS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Corporation hereby expressly elects not to be governed by Section 203 of the DGCL.</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Notwithstanding the foregoing, the Corporation shall not engage in any business combination (as defined below), at any point in time at which the Corporation’s Common Stock is registered under Section 12(b) or 12(g) of the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with any interested stockholder (as defined below) for a period of three years following the time that such stockholder became an interested stockholder, unless:</w:t>
      </w:r>
    </w:p>
    <w:p>
      <w:pPr>
        <w:spacing w:after="0" w:line="68" w:lineRule="exact"/>
        <w:rPr>
          <w:sz w:val="20"/>
          <w:szCs w:val="20"/>
          <w:color w:val="auto"/>
        </w:rPr>
      </w:pPr>
    </w:p>
    <w:p>
      <w:pPr>
        <w:ind w:left="440" w:firstLine="657"/>
        <w:spacing w:after="0" w:line="282" w:lineRule="auto"/>
        <w:tabs>
          <w:tab w:leader="none" w:pos="14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approved either the business combination or the transaction which resulted in the stockholder becoming an interested stockholder, or</w:t>
      </w:r>
    </w:p>
    <w:p>
      <w:pPr>
        <w:spacing w:after="0" w:line="53" w:lineRule="exact"/>
        <w:rPr>
          <w:rFonts w:ascii="Times New Roman" w:cs="Times New Roman" w:eastAsia="Times New Roman" w:hAnsi="Times New Roman"/>
          <w:sz w:val="18"/>
          <w:szCs w:val="18"/>
          <w:color w:val="auto"/>
        </w:rPr>
      </w:pPr>
    </w:p>
    <w:p>
      <w:pPr>
        <w:jc w:val="both"/>
        <w:ind w:left="440" w:right="20" w:firstLine="657"/>
        <w:spacing w:after="0" w:line="266" w:lineRule="auto"/>
        <w:tabs>
          <w:tab w:leader="none" w:pos="142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3"/>
          <w:szCs w:val="13"/>
          <w:color w:val="auto"/>
        </w:rPr>
        <w:t>DM_US 212150496-1.116680.0011</w:t>
      </w:r>
    </w:p>
    <w:p>
      <w:pPr>
        <w:sectPr>
          <w:pgSz w:w="11900" w:h="16838" w:orient="portrait"/>
          <w:cols w:equalWidth="0" w:num="1">
            <w:col w:w="11240"/>
          </w:cols>
          <w:pgMar w:left="320" w:top="1440" w:right="339" w:bottom="1440" w:gutter="0" w:footer="0" w:header="0"/>
        </w:sectPr>
      </w:pPr>
    </w:p>
    <w:bookmarkStart w:id="37" w:name="page38"/>
    <w:bookmarkEnd w:id="37"/>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54" w:lineRule="exact"/>
        <w:rPr>
          <w:sz w:val="20"/>
          <w:szCs w:val="20"/>
          <w:color w:val="auto"/>
        </w:rPr>
      </w:pPr>
    </w:p>
    <w:p>
      <w:pPr>
        <w:jc w:val="both"/>
        <w:ind w:firstLine="657"/>
        <w:spacing w:after="0" w:line="266" w:lineRule="auto"/>
        <w:tabs>
          <w:tab w:leader="none" w:pos="85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and authorized at an annual or special meeting of stockholders, and not by written consent, by the affirmative vote of at least two-thirds (66 and 2/3%) of the voting power of all of the then outstanding shares of voting stock of the Corporation which is not owned by the interested stockholder.</w:t>
      </w:r>
    </w:p>
    <w:p>
      <w:pPr>
        <w:spacing w:after="0" w:line="67"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For purposes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highlight w:val="white"/>
        </w:rPr>
        <w:t>, references to:</w:t>
      </w:r>
    </w:p>
    <w:p>
      <w:pPr>
        <w:spacing w:after="0" w:line="117" w:lineRule="exact"/>
        <w:rPr>
          <w:rFonts w:ascii="Times New Roman" w:cs="Times New Roman" w:eastAsia="Times New Roman" w:hAnsi="Times New Roman"/>
          <w:sz w:val="18"/>
          <w:szCs w:val="18"/>
          <w:color w:val="auto"/>
        </w:rPr>
      </w:pPr>
    </w:p>
    <w:p>
      <w:pPr>
        <w:ind w:firstLine="657"/>
        <w:spacing w:after="0" w:line="282" w:lineRule="auto"/>
        <w:tabs>
          <w:tab w:leader="none" w:pos="104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person that directly, or indirectly through one or more intermediaries, controls, or is controlled by, or is under common control with, another person.</w:t>
      </w:r>
    </w:p>
    <w:p>
      <w:pPr>
        <w:spacing w:after="0" w:line="53" w:lineRule="exact"/>
        <w:rPr>
          <w:rFonts w:ascii="Times New Roman" w:cs="Times New Roman" w:eastAsia="Times New Roman" w:hAnsi="Times New Roman"/>
          <w:sz w:val="18"/>
          <w:szCs w:val="18"/>
          <w:color w:val="auto"/>
        </w:rPr>
      </w:pPr>
    </w:p>
    <w:p>
      <w:pPr>
        <w:jc w:val="both"/>
        <w:ind w:firstLine="657"/>
        <w:spacing w:after="0" w:line="261" w:lineRule="auto"/>
        <w:tabs>
          <w:tab w:leader="none" w:pos="1048"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highlight w:val="white"/>
        </w:rPr>
        <w:t>,” when used to indicate a relationship with any person, means: (i) any corporation, partnership, unincorporated association</w:t>
      </w:r>
      <w:r>
        <w:rPr>
          <w:rFonts w:ascii="Times New Roman" w:cs="Times New Roman" w:eastAsia="Times New Roman" w:hAnsi="Times New Roman"/>
          <w:sz w:val="18"/>
          <w:szCs w:val="18"/>
          <w:color w:val="auto"/>
        </w:rPr>
        <w:t xml:space="preserve"> or other entity of which such person is a director, officer or partner or is, directly or indirectly, the owner of 20% or more of any class of voting stock;</w:t>
      </w:r>
    </w:p>
    <w:p>
      <w:pPr>
        <w:ind w:firstLine="9"/>
        <w:spacing w:after="0" w:line="260" w:lineRule="auto"/>
        <w:tabs>
          <w:tab w:leader="none" w:pos="2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73" w:lineRule="exact"/>
        <w:rPr>
          <w:rFonts w:ascii="Times New Roman" w:cs="Times New Roman" w:eastAsia="Times New Roman" w:hAnsi="Times New Roman"/>
          <w:sz w:val="18"/>
          <w:szCs w:val="18"/>
          <w:color w:val="auto"/>
        </w:rPr>
      </w:pPr>
    </w:p>
    <w:p>
      <w:pPr>
        <w:ind w:left="840" w:hanging="183"/>
        <w:spacing w:after="0"/>
        <w:tabs>
          <w:tab w:leader="none" w:pos="84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highlight w:val="white"/>
        </w:rPr>
        <w:t>,” when used in reference to the Corporation and any interested stockholder of the Corporation, means:</w:t>
      </w:r>
    </w:p>
    <w:p>
      <w:pPr>
        <w:spacing w:after="0" w:line="117" w:lineRule="exact"/>
        <w:rPr>
          <w:rFonts w:ascii="Times New Roman" w:cs="Times New Roman" w:eastAsia="Times New Roman" w:hAnsi="Times New Roman"/>
          <w:sz w:val="18"/>
          <w:szCs w:val="18"/>
          <w:color w:val="auto"/>
        </w:rPr>
      </w:pPr>
    </w:p>
    <w:p>
      <w:pPr>
        <w:jc w:val="both"/>
        <w:ind w:left="560" w:firstLine="648"/>
        <w:spacing w:after="0" w:line="261" w:lineRule="auto"/>
        <w:tabs>
          <w:tab w:leader="none" w:pos="1545"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(B) of this Article X is not applicable to the surviving entity;</w:t>
      </w:r>
    </w:p>
    <w:p>
      <w:pPr>
        <w:spacing w:after="0" w:line="71" w:lineRule="exact"/>
        <w:rPr>
          <w:rFonts w:ascii="Times New Roman" w:cs="Times New Roman" w:eastAsia="Times New Roman" w:hAnsi="Times New Roman"/>
          <w:sz w:val="18"/>
          <w:szCs w:val="18"/>
          <w:color w:val="auto"/>
        </w:rPr>
      </w:pPr>
    </w:p>
    <w:p>
      <w:pPr>
        <w:jc w:val="both"/>
        <w:ind w:left="560" w:firstLine="648"/>
        <w:spacing w:after="0" w:line="258" w:lineRule="auto"/>
        <w:tabs>
          <w:tab w:leader="none" w:pos="1552"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75" w:lineRule="exact"/>
        <w:rPr>
          <w:rFonts w:ascii="Times New Roman" w:cs="Times New Roman" w:eastAsia="Times New Roman" w:hAnsi="Times New Roman"/>
          <w:sz w:val="18"/>
          <w:szCs w:val="18"/>
          <w:color w:val="auto"/>
        </w:rPr>
      </w:pPr>
    </w:p>
    <w:p>
      <w:pPr>
        <w:jc w:val="both"/>
        <w:ind w:left="560" w:firstLine="648"/>
        <w:spacing w:after="0" w:line="253" w:lineRule="auto"/>
        <w:tabs>
          <w:tab w:leader="none" w:pos="1645"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case under items (c) through (e)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83" w:lineRule="exact"/>
        <w:rPr>
          <w:rFonts w:ascii="Times New Roman" w:cs="Times New Roman" w:eastAsia="Times New Roman" w:hAnsi="Times New Roman"/>
          <w:sz w:val="18"/>
          <w:szCs w:val="18"/>
          <w:color w:val="auto"/>
        </w:rPr>
      </w:pPr>
    </w:p>
    <w:p>
      <w:pPr>
        <w:jc w:val="both"/>
        <w:ind w:left="560" w:firstLine="648"/>
        <w:spacing w:after="0" w:line="266" w:lineRule="auto"/>
        <w:tabs>
          <w:tab w:leader="none" w:pos="1549"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3"/>
          <w:szCs w:val="13"/>
          <w:color w:val="auto"/>
        </w:rPr>
        <w:t>DM_US 212150496-1.116680.0011</w:t>
      </w:r>
    </w:p>
    <w:p>
      <w:pPr>
        <w:sectPr>
          <w:pgSz w:w="11900" w:h="16838" w:orient="portrait"/>
          <w:cols w:equalWidth="0" w:num="1">
            <w:col w:w="10800"/>
          </w:cols>
          <w:pgMar w:left="760" w:top="1440" w:right="339" w:bottom="1440" w:gutter="0" w:footer="0" w:header="0"/>
        </w:sectPr>
      </w:pPr>
    </w:p>
    <w:bookmarkStart w:id="38" w:name="page39"/>
    <w:bookmarkEnd w:id="38"/>
    <w:p>
      <w:pPr>
        <w:spacing w:after="0" w:line="86"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stockholder, except as a result of immaterial changes due to fractional share adjustments or as a result of any purchase or redemption of any shares of stock not caused, directly or indirectly, by the interested stockholder; or</w:t>
      </w:r>
    </w:p>
    <w:p>
      <w:pPr>
        <w:spacing w:after="0" w:line="54" w:lineRule="exact"/>
        <w:rPr>
          <w:sz w:val="20"/>
          <w:szCs w:val="20"/>
          <w:color w:val="auto"/>
        </w:rPr>
      </w:pPr>
    </w:p>
    <w:p>
      <w:pPr>
        <w:jc w:val="both"/>
        <w:ind w:left="640" w:firstLine="648"/>
        <w:spacing w:after="0" w:line="261" w:lineRule="auto"/>
        <w:tabs>
          <w:tab w:leader="none" w:pos="166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w:t>
      </w:r>
    </w:p>
    <w:p>
      <w:pPr>
        <w:ind w:left="860" w:hanging="220"/>
        <w:spacing w:after="0"/>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above) provided by or through the Corporation or any direct or indirect majority-owned subsidiary.</w:t>
      </w:r>
    </w:p>
    <w:p>
      <w:pPr>
        <w:spacing w:after="0" w:line="99" w:lineRule="exact"/>
        <w:rPr>
          <w:sz w:val="20"/>
          <w:szCs w:val="20"/>
          <w:color w:val="auto"/>
        </w:rPr>
      </w:pPr>
    </w:p>
    <w:p>
      <w:pPr>
        <w:ind w:firstLine="640"/>
        <w:spacing w:after="0" w:line="282" w:lineRule="auto"/>
        <w:tabs>
          <w:tab w:leader="none" w:pos="10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highlight w:val="white"/>
        </w:rPr>
        <w:t>,” including the terms “controlling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xml:space="preserve">,” shall have the meaning set forth in paragraph F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firstLine="640"/>
        <w:spacing w:after="0" w:line="253" w:lineRule="auto"/>
        <w:tabs>
          <w:tab w:leader="none" w:pos="10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interested stockholder</w:t>
      </w:r>
      <w:r>
        <w:rPr>
          <w:rFonts w:ascii="Times New Roman" w:cs="Times New Roman" w:eastAsia="Times New Roman" w:hAnsi="Times New Roman"/>
          <w:sz w:val="18"/>
          <w:szCs w:val="18"/>
          <w:color w:val="auto"/>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but “interested stockholder” shall not include (a) VSCP, any VSCP Direct Transferee, any VSCP Indirect Transferee or any of their respective Affiliates or successors or any “group,” or any member of any such group, to which such persons are a party under Rule 13d-5 of the Exchange Act, (b) any person whose ownership of shares in excess of the 15% limitation set forth herein is the result of any action taken solely by the Corporation or (c) Rollins;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the case of clause (b)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79" w:lineRule="exact"/>
        <w:rPr>
          <w:rFonts w:ascii="Times New Roman" w:cs="Times New Roman" w:eastAsia="Times New Roman" w:hAnsi="Times New Roman"/>
          <w:sz w:val="18"/>
          <w:szCs w:val="18"/>
          <w:color w:val="auto"/>
        </w:rPr>
      </w:pPr>
    </w:p>
    <w:p>
      <w:pPr>
        <w:ind w:firstLine="640"/>
        <w:spacing w:after="0" w:line="282" w:lineRule="auto"/>
        <w:tabs>
          <w:tab w:leader="none" w:pos="8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own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owned</w:t>
      </w:r>
      <w:r>
        <w:rPr>
          <w:rFonts w:ascii="Times New Roman" w:cs="Times New Roman" w:eastAsia="Times New Roman" w:hAnsi="Times New Roman"/>
          <w:sz w:val="18"/>
          <w:szCs w:val="18"/>
          <w:color w:val="auto"/>
        </w:rPr>
        <w:t>,” when used with respect to any stock, means a person that individually or with or through any of its Affiliates or associates:</w:t>
      </w:r>
    </w:p>
    <w:p>
      <w:pPr>
        <w:spacing w:after="0" w:line="53" w:lineRule="exact"/>
        <w:rPr>
          <w:rFonts w:ascii="Times New Roman" w:cs="Times New Roman" w:eastAsia="Times New Roman" w:hAnsi="Times New Roman"/>
          <w:sz w:val="18"/>
          <w:szCs w:val="18"/>
          <w:color w:val="auto"/>
        </w:rPr>
      </w:pPr>
    </w:p>
    <w:p>
      <w:pPr>
        <w:ind w:left="1120" w:hanging="176"/>
        <w:spacing w:after="0"/>
        <w:tabs>
          <w:tab w:leader="none" w:pos="11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such stock, directly or indirectly; or</w:t>
      </w:r>
    </w:p>
    <w:p>
      <w:pPr>
        <w:spacing w:after="0" w:line="117" w:lineRule="exact"/>
        <w:rPr>
          <w:rFonts w:ascii="Times New Roman" w:cs="Times New Roman" w:eastAsia="Times New Roman" w:hAnsi="Times New Roman"/>
          <w:sz w:val="18"/>
          <w:szCs w:val="18"/>
          <w:color w:val="auto"/>
        </w:rPr>
      </w:pPr>
    </w:p>
    <w:p>
      <w:pPr>
        <w:jc w:val="both"/>
        <w:ind w:left="300" w:firstLine="644"/>
        <w:spacing w:after="0" w:line="255" w:lineRule="auto"/>
        <w:tabs>
          <w:tab w:leader="none" w:pos="113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spacing w:after="0" w:line="80" w:lineRule="exact"/>
        <w:rPr>
          <w:rFonts w:ascii="Times New Roman" w:cs="Times New Roman" w:eastAsia="Times New Roman" w:hAnsi="Times New Roman"/>
          <w:sz w:val="18"/>
          <w:szCs w:val="18"/>
          <w:color w:val="auto"/>
        </w:rPr>
      </w:pPr>
    </w:p>
    <w:p>
      <w:pPr>
        <w:jc w:val="both"/>
        <w:ind w:left="300" w:firstLine="644"/>
        <w:spacing w:after="0" w:line="266" w:lineRule="auto"/>
        <w:tabs>
          <w:tab w:leader="none" w:pos="11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67" w:lineRule="exact"/>
        <w:rPr>
          <w:rFonts w:ascii="Times New Roman" w:cs="Times New Roman" w:eastAsia="Times New Roman" w:hAnsi="Times New Roman"/>
          <w:sz w:val="18"/>
          <w:szCs w:val="18"/>
          <w:color w:val="auto"/>
        </w:rPr>
      </w:pPr>
    </w:p>
    <w:p>
      <w:pPr>
        <w:ind w:left="820" w:hanging="180"/>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highlight w:val="white"/>
        </w:rPr>
        <w:t>” means any individual, corporation, partnership, unincorporated association or other entity.</w:t>
      </w:r>
    </w:p>
    <w:p>
      <w:pPr>
        <w:spacing w:after="0" w:line="117" w:lineRule="exact"/>
        <w:rPr>
          <w:rFonts w:ascii="Times New Roman" w:cs="Times New Roman" w:eastAsia="Times New Roman" w:hAnsi="Times New Roman"/>
          <w:sz w:val="18"/>
          <w:szCs w:val="18"/>
          <w:color w:val="auto"/>
        </w:rPr>
      </w:pPr>
    </w:p>
    <w:p>
      <w:pPr>
        <w:ind w:left="820" w:hanging="180"/>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means, with respect to any corporation, capital stock and, with respect to any other entity, any equity interest.</w:t>
      </w:r>
    </w:p>
    <w:p>
      <w:pPr>
        <w:spacing w:after="0" w:line="117" w:lineRule="exact"/>
        <w:rPr>
          <w:rFonts w:ascii="Times New Roman" w:cs="Times New Roman" w:eastAsia="Times New Roman" w:hAnsi="Times New Roman"/>
          <w:sz w:val="18"/>
          <w:szCs w:val="18"/>
          <w:color w:val="auto"/>
        </w:rPr>
      </w:pPr>
    </w:p>
    <w:p>
      <w:pPr>
        <w:ind w:firstLine="640"/>
        <w:spacing w:after="0" w:line="282" w:lineRule="auto"/>
        <w:tabs>
          <w:tab w:leader="none" w:pos="8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highlight w:val="white"/>
        </w:rPr>
        <w:t>” means stock of any class or series entitled to vote generally in the election of directors and, with respect to any entity that is</w:t>
      </w:r>
      <w:r>
        <w:rPr>
          <w:rFonts w:ascii="Times New Roman" w:cs="Times New Roman" w:eastAsia="Times New Roman" w:hAnsi="Times New Roman"/>
          <w:sz w:val="18"/>
          <w:szCs w:val="18"/>
          <w:color w:val="auto"/>
        </w:rPr>
        <w:t xml:space="preserve"> not a corporation, any equity interest entitled to vote generally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-4848860</wp:posOffset>
            </wp:positionV>
            <wp:extent cx="5016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3"/>
          <w:szCs w:val="13"/>
          <w:color w:val="auto"/>
        </w:rPr>
        <w:t>DM_US 212150496-1.116680.0011</w:t>
      </w:r>
    </w:p>
    <w:p>
      <w:pPr>
        <w:sectPr>
          <w:pgSz w:w="11900" w:h="16838" w:orient="portrait"/>
          <w:cols w:equalWidth="0" w:num="1">
            <w:col w:w="10880"/>
          </w:cols>
          <w:pgMar w:left="680" w:top="1440" w:right="339" w:bottom="1440" w:gutter="0" w:footer="0" w:header="0"/>
        </w:sectPr>
      </w:pPr>
    </w:p>
    <w:bookmarkStart w:id="39" w:name="page40"/>
    <w:bookmarkEnd w:id="39"/>
    <w:p>
      <w:pPr>
        <w:spacing w:after="0" w:line="86" w:lineRule="exact"/>
        <w:rPr>
          <w:sz w:val="20"/>
          <w:szCs w:val="20"/>
          <w:color w:val="auto"/>
        </w:rPr>
      </w:pPr>
    </w:p>
    <w:p>
      <w:pPr>
        <w:ind w:left="360"/>
        <w:spacing w:after="0" w:line="282" w:lineRule="auto"/>
        <w:rPr>
          <w:sz w:val="20"/>
          <w:szCs w:val="20"/>
          <w:color w:val="auto"/>
        </w:rPr>
      </w:pPr>
      <w:r>
        <w:rPr>
          <w:rFonts w:ascii="Times New Roman" w:cs="Times New Roman" w:eastAsia="Times New Roman" w:hAnsi="Times New Roman"/>
          <w:sz w:val="18"/>
          <w:szCs w:val="18"/>
          <w:color w:val="auto"/>
        </w:rPr>
        <w:t>the election of the governing body of such entity. Every reference to a percentage of voting stock shall refer to such percentages of the votes of such voting stock.</w:t>
      </w:r>
    </w:p>
    <w:p>
      <w:pPr>
        <w:spacing w:after="0" w:line="54" w:lineRule="exact"/>
        <w:rPr>
          <w:sz w:val="20"/>
          <w:szCs w:val="20"/>
          <w:color w:val="auto"/>
        </w:rPr>
      </w:pPr>
    </w:p>
    <w:p>
      <w:pPr>
        <w:ind w:left="1260" w:hanging="260"/>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VSCP</w:t>
      </w:r>
      <w:r>
        <w:rPr>
          <w:rFonts w:ascii="Times New Roman" w:cs="Times New Roman" w:eastAsia="Times New Roman" w:hAnsi="Times New Roman"/>
          <w:sz w:val="18"/>
          <w:szCs w:val="18"/>
          <w:color w:val="auto"/>
        </w:rPr>
        <w:t>” means the VSCP Entities and their respective successors and assigns.</w:t>
      </w:r>
    </w:p>
    <w:p>
      <w:pPr>
        <w:spacing w:after="0" w:line="117" w:lineRule="exact"/>
        <w:rPr>
          <w:rFonts w:ascii="Times New Roman" w:cs="Times New Roman" w:eastAsia="Times New Roman" w:hAnsi="Times New Roman"/>
          <w:sz w:val="18"/>
          <w:szCs w:val="18"/>
          <w:color w:val="auto"/>
        </w:rPr>
      </w:pPr>
    </w:p>
    <w:p>
      <w:pPr>
        <w:jc w:val="both"/>
        <w:ind w:left="360" w:firstLine="640"/>
        <w:spacing w:after="0" w:line="266" w:lineRule="auto"/>
        <w:tabs>
          <w:tab w:leader="none" w:pos="12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VSCP Direct Transferee</w:t>
      </w:r>
      <w:r>
        <w:rPr>
          <w:rFonts w:ascii="Times New Roman" w:cs="Times New Roman" w:eastAsia="Times New Roman" w:hAnsi="Times New Roman"/>
          <w:sz w:val="18"/>
          <w:szCs w:val="18"/>
          <w:color w:val="auto"/>
        </w:rPr>
        <w:t>” means any person that acquires (other than in a registered public offering) directly from VSCP or any of its successors or any “group,” or any member of any such group, of which such persons are a party under Rule 13d-5 of the Exchange Act beneficial ownership of 15% or more of the then outstanding voting stock of the Corporation.</w:t>
      </w:r>
    </w:p>
    <w:p>
      <w:pPr>
        <w:spacing w:after="0" w:line="67" w:lineRule="exact"/>
        <w:rPr>
          <w:rFonts w:ascii="Times New Roman" w:cs="Times New Roman" w:eastAsia="Times New Roman" w:hAnsi="Times New Roman"/>
          <w:sz w:val="18"/>
          <w:szCs w:val="18"/>
          <w:color w:val="auto"/>
        </w:rPr>
      </w:pPr>
    </w:p>
    <w:p>
      <w:pPr>
        <w:ind w:left="360" w:firstLine="640"/>
        <w:spacing w:after="0" w:line="282" w:lineRule="auto"/>
        <w:tabs>
          <w:tab w:leader="none" w:pos="12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VSCP Entities</w:t>
      </w:r>
      <w:r>
        <w:rPr>
          <w:rFonts w:ascii="Times New Roman" w:cs="Times New Roman" w:eastAsia="Times New Roman" w:hAnsi="Times New Roman"/>
          <w:sz w:val="18"/>
          <w:szCs w:val="18"/>
          <w:color w:val="auto"/>
        </w:rPr>
        <w:t>” means investment funds affiliated with Vesey Street Capital Partners, L.L.C., a Delaware limited liability company, and their respective Affiliates.</w:t>
      </w:r>
    </w:p>
    <w:p>
      <w:pPr>
        <w:spacing w:after="0" w:line="53" w:lineRule="exact"/>
        <w:rPr>
          <w:rFonts w:ascii="Times New Roman" w:cs="Times New Roman" w:eastAsia="Times New Roman" w:hAnsi="Times New Roman"/>
          <w:sz w:val="18"/>
          <w:szCs w:val="18"/>
          <w:color w:val="auto"/>
        </w:rPr>
      </w:pPr>
    </w:p>
    <w:p>
      <w:pPr>
        <w:ind w:left="360" w:firstLine="640"/>
        <w:spacing w:after="0" w:line="282" w:lineRule="auto"/>
        <w:tabs>
          <w:tab w:leader="none" w:pos="129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VSCP Indirect Transferee</w:t>
      </w:r>
      <w:r>
        <w:rPr>
          <w:rFonts w:ascii="Times New Roman" w:cs="Times New Roman" w:eastAsia="Times New Roman" w:hAnsi="Times New Roman"/>
          <w:sz w:val="18"/>
          <w:szCs w:val="18"/>
          <w:color w:val="auto"/>
          <w:highlight w:val="white"/>
        </w:rPr>
        <w:t>” means any person that acquires (other than in a registered public offering) directly from any VSCP Direct</w:t>
      </w:r>
      <w:r>
        <w:rPr>
          <w:rFonts w:ascii="Times New Roman" w:cs="Times New Roman" w:eastAsia="Times New Roman" w:hAnsi="Times New Roman"/>
          <w:sz w:val="18"/>
          <w:szCs w:val="18"/>
          <w:color w:val="auto"/>
        </w:rPr>
        <w:t xml:space="preserve"> Transferee or any other VSCP Indirect Transferee beneficial ownership of 15% or more of the then outstanding voting stock of the Corporation.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07"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(a) the Court of Chancery (the “</w:t>
      </w:r>
      <w:r>
        <w:rPr>
          <w:rFonts w:ascii="Times New Roman" w:cs="Times New Roman" w:eastAsia="Times New Roman" w:hAnsi="Times New Roman"/>
          <w:sz w:val="18"/>
          <w:szCs w:val="18"/>
          <w:u w:val="single" w:color="auto"/>
          <w:color w:val="auto"/>
        </w:rPr>
        <w:t>Chancery Court</w:t>
      </w:r>
      <w:r>
        <w:rPr>
          <w:rFonts w:ascii="Times New Roman" w:cs="Times New Roman" w:eastAsia="Times New Roman" w:hAnsi="Times New Roman"/>
          <w:sz w:val="18"/>
          <w:szCs w:val="18"/>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brought on behalf of the Corporation, (ii) any Proceeding asserting a claim of breach of a fiduciary duty owed by any director, officer, other employee or stockholder of the Corporation to the Corporation or to the Corporation’s stockholders, (iii) any Proceeding arising out of or pursuant to any provision of the DGCL, this Amended and Restated Certificate or the Bylaws (in each case, as may be amended from time to time) or as to which the DGCL confers jurisdiction to the Court of Chancery of the State of Delaware, (iv) any Proceeding seeking to interpret, apply, enforce or determine the validity of this Amended and Restated Certificate or the Bylaws and (v) any Proceeding asserting a claim against the Corporation or any director, officer, other employee or stockholder of the Corporation governed by the internal affairs doctrine; and (b) subject to the preceding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to the fullest extent permitted by applicable law, the federal district courts of the United States of America shall be the exclusive forum for the resolution of any complaint asserting a cause or causes of action arising under the Securities Act of 1933, as amended, including, without limitation, all causes of action asserted against any defendant to such complaint. If any Proceeding the subject matter of which is within the scope of clause (a) of the immediately preceding sentence is filed in a court other than the courts in the State of Delaware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xml:space="preserve">”), such stockholder shall be deemed to have consented to (x) the personal jurisdiction of the state and federal courts in the State of Delaware in connection with any Proceeding brought in any such court to enforce the provisions of clause (a) of the immediately preceding sentence and (y) having service of process made upon such stockholder in any such Proceeding by service upon such stockholder’s counsel in the Foreign Action as agent for such stockholder. If any Proceeding the subject matter of which is within the scope of clause (b)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is filed in a court other than the federal district courts of the United States of America (a “</w:t>
      </w:r>
      <w:r>
        <w:rPr>
          <w:rFonts w:ascii="Times New Roman" w:cs="Times New Roman" w:eastAsia="Times New Roman" w:hAnsi="Times New Roman"/>
          <w:sz w:val="18"/>
          <w:szCs w:val="18"/>
          <w:u w:val="single" w:color="auto"/>
          <w:color w:val="auto"/>
        </w:rPr>
        <w:t>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 Act Action</w:t>
      </w:r>
      <w:r>
        <w:rPr>
          <w:rFonts w:ascii="Times New Roman" w:cs="Times New Roman" w:eastAsia="Times New Roman" w:hAnsi="Times New Roman"/>
          <w:sz w:val="18"/>
          <w:szCs w:val="18"/>
          <w:color w:val="auto"/>
        </w:rPr>
        <w:t>”) in the name of any stockholder, such stockholder shall be deemed to have consented to (i) the personal jurisdiction of the federal district courts of the United States of America in connection with any Proceeding brought in any such court to enforce clause (b) (a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Enforcement Action</w:t>
      </w:r>
      <w:r>
        <w:rPr>
          <w:rFonts w:ascii="Times New Roman" w:cs="Times New Roman" w:eastAsia="Times New Roman" w:hAnsi="Times New Roman"/>
          <w:sz w:val="18"/>
          <w:szCs w:val="18"/>
          <w:color w:val="auto"/>
        </w:rPr>
        <w:t>”), and (ii) having service of process made upon such stockholder in any such Securities Act Enforcement Action by service upon such stockholder’s counsel in the Foreign Securities Act Action as agent for such stockholder.</w:t>
      </w:r>
    </w:p>
    <w:p>
      <w:pPr>
        <w:spacing w:after="0" w:line="18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is intended to benefit and may be enforced by the Corporation, its officers and directors, the underwriters to any offering giving rise to any Proceeding, and any other professional or entity whose profession gives authority to a statement made by that person or entity and who has prepared or certified any part of the documents underlying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3"/>
          <w:szCs w:val="13"/>
          <w:color w:val="auto"/>
        </w:rPr>
        <w:t>DM_US 212150496-1.116680.0011</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Any person or entity holding, owning, purchasing or otherwise acquiring any interest in any security of the Corporation shall be deemed to have notice of and consented to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If any provision or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be held to be invalid, illegal or unenforceable as applied to any circumstance for any reason whatsoever, (i) the validity, legality and enforceability of such provisions in any other circumstance and of the remaining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(including, without limitation, each portion of any paragraph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containing any such provision held to be invalid, illegal or unenforceable that is not itself held to be invalid, illegal or unenforceable) shall not in any way be affected or impaired thereby and (ii) the application of such provision to other persons or entities and circumstances shall not in any way be affected or impaired thereby.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7"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A. Notwithstanding anything contained in this Amended and Restated Certificate to the contrary, in addition to any vote required by applicable law, the following provisions in this Amended and Restated Certificate may be amended, altered, repealed or rescinded, in whole or in part, or any provision inconsistent therewith or herewith may be adopted, only by the affirmative vote of the holders of at least two-thirds (66 and 2/3%) of the total voting power of all the then outstanding shares of stock of the Corporation entitled to vote thereon, voting together as a single class: Part B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B. If any provision or provisions of this Amended and Restated Certificate shall be held to be invalid, illegal or unenforceable as applied to any circumstance for any reason whatsoever: (i) the validity, legality and enforceability of such provisions in any other circumstance and of the remaining provisions of this Amended and Restated Certificate (including, without limitation, each portion of any paragraph of this Amended and Restated Certificate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Amended and Restated Certificate (including, without limitation, each such portion of any paragraph of this Amended and Restated Certificate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3"/>
          <w:szCs w:val="13"/>
          <w:color w:val="auto"/>
        </w:rPr>
        <w:t>DM_US 212150496-1.116680.0011</w:t>
      </w:r>
    </w:p>
    <w:p>
      <w:pPr>
        <w:sectPr>
          <w:pgSz w:w="11900" w:h="16838" w:orient="portrait"/>
          <w:cols w:equalWidth="0" w:num="1">
            <w:col w:w="11240"/>
          </w:cols>
          <w:pgMar w:left="320" w:top="144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AIRSCULPT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RSU AWARD GRANT NOTICE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AirSculpt Technologies,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awarded to you (the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number of restricted stock units specified, and on the terms set forth, below in consideration of your services (the “</w:t>
      </w:r>
      <w:r>
        <w:rPr>
          <w:rFonts w:ascii="Times New Roman" w:cs="Times New Roman" w:eastAsia="Times New Roman" w:hAnsi="Times New Roman"/>
          <w:sz w:val="20"/>
          <w:szCs w:val="20"/>
          <w:b w:val="1"/>
          <w:bCs w:val="1"/>
          <w:i w:val="1"/>
          <w:iCs w:val="1"/>
          <w:color w:val="auto"/>
        </w:rPr>
        <w:t>RSU Award</w:t>
      </w:r>
      <w:r>
        <w:rPr>
          <w:rFonts w:ascii="Times New Roman" w:cs="Times New Roman" w:eastAsia="Times New Roman" w:hAnsi="Times New Roman"/>
          <w:sz w:val="20"/>
          <w:szCs w:val="20"/>
          <w:color w:val="auto"/>
        </w:rPr>
        <w:t>”). Your RSU Award is subject to all of the terms and conditions as set forth herein and in the AirSculpt Technologies, Inc. 2021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and the Award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which are attached hereto and incorporated herein in their entirety. Capitalized terms not explicitly defined herein but defined in the Plan or the Agreement shall have the meanings set forth in the Plan or the Agreement.</w:t>
      </w:r>
    </w:p>
    <w:p>
      <w:pPr>
        <w:sectPr>
          <w:pgSz w:w="11900" w:h="16838" w:orient="portrait"/>
          <w:cols w:equalWidth="0" w:num="1">
            <w:col w:w="11240"/>
          </w:cols>
          <w:pgMar w:left="320" w:top="114" w:right="339" w:bottom="1440" w:gutter="0" w:footer="0" w:header="0"/>
        </w:sectPr>
      </w:pPr>
    </w:p>
    <w:p>
      <w:pPr>
        <w:spacing w:after="0" w:line="2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Participant:</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Date of Grant:</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Vesting Commencement Date:</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Number of Restricted Stock Units: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Vesting Schedule: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57"/>
        <w:spacing w:after="0"/>
        <w:rPr>
          <w:sz w:val="20"/>
          <w:szCs w:val="20"/>
          <w:color w:val="auto"/>
        </w:rPr>
      </w:pPr>
      <w:r>
        <w:rPr>
          <w:rFonts w:ascii="Times New Roman" w:cs="Times New Roman" w:eastAsia="Times New Roman" w:hAnsi="Times New Roman"/>
          <w:sz w:val="20"/>
          <w:szCs w:val="20"/>
          <w:color w:val="auto"/>
        </w:rPr>
        <w:t>Yogesh Jashnani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31115</wp:posOffset>
            </wp:positionV>
            <wp:extent cx="38830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61" w:lineRule="exact"/>
        <w:rPr>
          <w:sz w:val="20"/>
          <w:szCs w:val="20"/>
          <w:color w:val="auto"/>
        </w:rPr>
      </w:pPr>
    </w:p>
    <w:p>
      <w:pPr>
        <w:ind w:left="57"/>
        <w:spacing w:after="0"/>
        <w:rPr>
          <w:sz w:val="20"/>
          <w:szCs w:val="20"/>
          <w:color w:val="auto"/>
        </w:rPr>
      </w:pPr>
      <w:r>
        <w:rPr>
          <w:rFonts w:ascii="Times New Roman" w:cs="Times New Roman" w:eastAsia="Times New Roman" w:hAnsi="Times New Roman"/>
          <w:sz w:val="20"/>
          <w:szCs w:val="20"/>
          <w:color w:val="auto"/>
        </w:rPr>
        <w:t>January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91440</wp:posOffset>
            </wp:positionV>
            <wp:extent cx="38830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155" w:lineRule="exact"/>
        <w:rPr>
          <w:sz w:val="20"/>
          <w:szCs w:val="20"/>
          <w:color w:val="auto"/>
        </w:rPr>
      </w:pPr>
    </w:p>
    <w:p>
      <w:pPr>
        <w:ind w:left="57"/>
        <w:spacing w:after="0"/>
        <w:rPr>
          <w:sz w:val="20"/>
          <w:szCs w:val="20"/>
          <w:color w:val="auto"/>
        </w:rPr>
      </w:pPr>
      <w:r>
        <w:rPr>
          <w:rFonts w:ascii="Times New Roman" w:cs="Times New Roman" w:eastAsia="Times New Roman" w:hAnsi="Times New Roman"/>
          <w:sz w:val="20"/>
          <w:szCs w:val="20"/>
          <w:color w:val="auto"/>
        </w:rPr>
        <w:t>January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91440</wp:posOffset>
            </wp:positionV>
            <wp:extent cx="38830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155" w:lineRule="exact"/>
        <w:rPr>
          <w:sz w:val="20"/>
          <w:szCs w:val="20"/>
          <w:color w:val="auto"/>
        </w:rPr>
      </w:pPr>
    </w:p>
    <w:p>
      <w:pPr>
        <w:ind w:left="57"/>
        <w:spacing w:after="0"/>
        <w:rPr>
          <w:sz w:val="20"/>
          <w:szCs w:val="20"/>
          <w:color w:val="auto"/>
        </w:rPr>
      </w:pPr>
      <w:r>
        <w:rPr>
          <w:rFonts w:ascii="Times New Roman" w:cs="Times New Roman" w:eastAsia="Times New Roman" w:hAnsi="Times New Roman"/>
          <w:sz w:val="20"/>
          <w:szCs w:val="20"/>
          <w:color w:val="auto"/>
        </w:rPr>
        <w:t>165,290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91440</wp:posOffset>
            </wp:positionV>
            <wp:extent cx="38830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142" w:lineRule="exact"/>
        <w:rPr>
          <w:sz w:val="20"/>
          <w:szCs w:val="20"/>
          <w:color w:val="auto"/>
        </w:rPr>
      </w:pPr>
    </w:p>
    <w:p>
      <w:pPr>
        <w:ind w:left="317" w:right="1100" w:hanging="317"/>
        <w:spacing w:after="0" w:line="254" w:lineRule="auto"/>
        <w:tabs>
          <w:tab w:leader="none" w:pos="305"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One-third (1/3) of the Restricted Stock Units will vest on the first anniversary of the Vesting Commencement Date;</w:t>
      </w:r>
    </w:p>
    <w:p>
      <w:pPr>
        <w:spacing w:after="0" w:line="1" w:lineRule="exact"/>
        <w:rPr>
          <w:rFonts w:ascii="Times New Roman" w:cs="Times New Roman" w:eastAsia="Times New Roman" w:hAnsi="Times New Roman"/>
          <w:sz w:val="20"/>
          <w:szCs w:val="20"/>
          <w:color w:val="auto"/>
        </w:rPr>
      </w:pPr>
    </w:p>
    <w:p>
      <w:pPr>
        <w:ind w:left="317" w:right="860" w:hanging="317"/>
        <w:spacing w:after="0" w:line="246" w:lineRule="auto"/>
        <w:tabs>
          <w:tab w:leader="none" w:pos="305"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One-third (1/3) of the Restricted Stock Units will vest on the second anniversary of the Vesting Commencement Date; and</w:t>
      </w:r>
    </w:p>
    <w:p>
      <w:pPr>
        <w:spacing w:after="0" w:line="1" w:lineRule="exact"/>
        <w:rPr>
          <w:rFonts w:ascii="Times New Roman" w:cs="Times New Roman" w:eastAsia="Times New Roman" w:hAnsi="Times New Roman"/>
          <w:sz w:val="20"/>
          <w:szCs w:val="20"/>
          <w:color w:val="auto"/>
        </w:rPr>
      </w:pPr>
    </w:p>
    <w:p>
      <w:pPr>
        <w:ind w:left="317" w:right="1040" w:hanging="317"/>
        <w:spacing w:after="0" w:line="267" w:lineRule="auto"/>
        <w:tabs>
          <w:tab w:leader="none" w:pos="305"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One-third (1/3) of the Restricted Stock Units will vest on the third anniversary of the 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74295</wp:posOffset>
            </wp:positionV>
            <wp:extent cx="38830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3" w:space="720"/>
            <w:col w:w="6577"/>
          </w:cols>
          <w:pgMar w:left="320" w:top="114" w:right="339" w:bottom="1440" w:gutter="0" w:footer="0" w:header="0"/>
          <w:type w:val="continuous"/>
        </w:sectPr>
      </w:pP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Notwithstanding the foregoing, vesting shall terminate immediately upon the Participant’s termination of employment with the Company and all then unvested Restricted Stock Units shall terminate immediately, automatically and without consideration on the date of such termination, subject to the Accelerated Vesting provision below; provided, however, notwithstanding the foregoing, the Board in its sole discretion may determine to continue the vesting of then unvested Restricted Stock Units during any period in which the Participant’s Continuous Service with the Company continues notwithstanding the Participant’s termination of employment.</w:t>
      </w:r>
    </w:p>
    <w:p>
      <w:pPr>
        <w:spacing w:after="0" w:line="1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Accelerated Vesting: </w:t>
      </w:r>
      <w:r>
        <w:rPr>
          <w:rFonts w:ascii="Times New Roman" w:cs="Times New Roman" w:eastAsia="Times New Roman" w:hAnsi="Times New Roman"/>
          <w:sz w:val="20"/>
          <w:szCs w:val="20"/>
          <w:color w:val="auto"/>
        </w:rPr>
        <w:t>In the event that the Participant’s employment is terminated (a) either (i) by the Company without Cause, or (ii)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with Good Reason, more than three (3) months prior to or twelve (12) months following a Change in Control, or (b) due to the Participant’s death or Disability, then, in each case, subject to Section 5 of the RSU Award Agreement, all Restricted Stock Units granted hereunder that would have vested during the twelve (12) month period immediately following the date of termination of the Participant’s employment shall accelerate and vest on the date of termination of the Participant’s employment. In the event that the Participant’s employment is terminated (a) by the Company without Cause, or (b) by the Participant with Good Reason, within three (3) months prior to or twelve (12) months following a Change in Control, then, in each case, subject to Section 5 of the RSU Award Agreement, all Restricted Stock Units granted hereunder shall accelerate and vest upon the later of (i) the date of the Participant’s termination of employment; provided, however, that in the event that the Participant’s termination of employment occurs within three (3) months prior to a Change in Control, the</w:t>
      </w:r>
    </w:p>
    <w:p>
      <w:pPr>
        <w:sectPr>
          <w:pgSz w:w="11900" w:h="16838" w:orient="portrait"/>
          <w:cols w:equalWidth="0" w:num="1">
            <w:col w:w="11240"/>
          </w:cols>
          <w:pgMar w:left="320" w:top="114" w:right="339" w:bottom="1440" w:gutter="0" w:footer="0" w:header="0"/>
          <w:type w:val="continuous"/>
        </w:sectPr>
      </w:pPr>
    </w:p>
    <w:bookmarkStart w:id="42" w:name="page43"/>
    <w:bookmarkEnd w:id="42"/>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RSUs granted hereunder shall vest in accordance with the foregoing sentence upon such termination of employment and vest in accordance with this sentence upon the consummation of the Change in Control. For purposes of the RSU Award Agreement, “Good Reason” shall have the meaning ascribed to such term in the Participant’s employment agreement with the Company dated as of December 6, 2024, as may be amended from time to time.</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Issuance Schedule: </w:t>
      </w:r>
      <w:r>
        <w:rPr>
          <w:rFonts w:ascii="Times New Roman" w:cs="Times New Roman" w:eastAsia="Times New Roman" w:hAnsi="Times New Roman"/>
          <w:sz w:val="20"/>
          <w:szCs w:val="20"/>
          <w:color w:val="auto"/>
        </w:rPr>
        <w:t>One share of Common Stock will be issued at the time set forth in Sections 5 and 6 of the Agreement for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Stock Unit which vests.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Participant Acknowledgments: </w:t>
      </w:r>
      <w:r>
        <w:rPr>
          <w:rFonts w:ascii="Times New Roman" w:cs="Times New Roman" w:eastAsia="Times New Roman" w:hAnsi="Times New Roman"/>
          <w:sz w:val="20"/>
          <w:szCs w:val="20"/>
          <w:color w:val="auto"/>
        </w:rPr>
        <w:t>By your signature below or by electronic acceptance or authentication in a form authorized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you understand and agree that:</w:t>
      </w:r>
    </w:p>
    <w:p>
      <w:pPr>
        <w:spacing w:after="0" w:line="149" w:lineRule="exact"/>
        <w:rPr>
          <w:sz w:val="20"/>
          <w:szCs w:val="20"/>
          <w:color w:val="auto"/>
        </w:rPr>
      </w:pPr>
    </w:p>
    <w:p>
      <w:pPr>
        <w:jc w:val="both"/>
        <w:ind w:left="660" w:hanging="328"/>
        <w:spacing w:after="0" w:line="260"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 Award is governed by this RSU Award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20"/>
          <w:szCs w:val="20"/>
          <w:b w:val="1"/>
          <w:bCs w:val="1"/>
          <w:i w:val="1"/>
          <w:iCs w:val="1"/>
          <w:color w:val="auto"/>
        </w:rPr>
        <w:t>RSU Award Agreement</w:t>
      </w:r>
      <w:r>
        <w:rPr>
          <w:rFonts w:ascii="Times New Roman" w:cs="Times New Roman" w:eastAsia="Times New Roman" w:hAnsi="Times New Roman"/>
          <w:sz w:val="20"/>
          <w:szCs w:val="20"/>
          <w:color w:val="auto"/>
        </w:rPr>
        <w:t>”) may not be modified, amended or revised except in a writing signed by you and a duly authorized officer of the Company.</w:t>
      </w:r>
    </w:p>
    <w:p>
      <w:pPr>
        <w:spacing w:after="0" w:line="195"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208"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ectPr>
          <w:pgSz w:w="11900" w:h="16838" w:orient="portrait"/>
          <w:cols w:equalWidth="0" w:num="1">
            <w:col w:w="11240"/>
          </w:cols>
          <w:pgMar w:left="320" w:top="1440" w:right="339" w:bottom="1440" w:gutter="0" w:footer="0" w:header="0"/>
        </w:sectPr>
      </w:pPr>
    </w:p>
    <w:bookmarkStart w:id="43" w:name="page44"/>
    <w:bookmarkEnd w:id="43"/>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AIRSCULPT TECHNOLOGIES, INC.</w:t>
            </w:r>
          </w:p>
        </w:tc>
        <w:tc>
          <w:tcPr>
            <w:tcW w:w="360" w:type="dxa"/>
            <w:vAlign w:val="bottom"/>
          </w:tcPr>
          <w:p>
            <w:pPr>
              <w:spacing w:after="0"/>
              <w:rPr>
                <w:sz w:val="22"/>
                <w:szCs w:val="22"/>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PARTICIPANT:</w:t>
            </w:r>
          </w:p>
        </w:tc>
      </w:tr>
      <w:tr>
        <w:trPr>
          <w:trHeight w:val="56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Dennis Dean</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Yogesh Jashnani</w:t>
            </w:r>
          </w:p>
        </w:tc>
      </w:tr>
      <w:tr>
        <w:trPr>
          <w:trHeight w:val="21"/>
        </w:trPr>
        <w:tc>
          <w:tcPr>
            <w:tcW w:w="86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r>
      <w:tr>
        <w:trPr>
          <w:trHeight w:val="269"/>
        </w:trPr>
        <w:tc>
          <w:tcPr>
            <w:tcW w:w="860" w:type="dxa"/>
            <w:vAlign w:val="bottom"/>
          </w:tcPr>
          <w:p>
            <w:pPr>
              <w:spacing w:after="0"/>
              <w:rPr>
                <w:sz w:val="23"/>
                <w:szCs w:val="23"/>
                <w:color w:val="auto"/>
              </w:rPr>
            </w:pPr>
          </w:p>
        </w:tc>
        <w:tc>
          <w:tcPr>
            <w:tcW w:w="452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Signature</w:t>
            </w: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54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Signature</w:t>
            </w:r>
          </w:p>
        </w:tc>
      </w:tr>
      <w:tr>
        <w:trPr>
          <w:trHeight w:val="29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c>
          <w:tcPr>
            <w:tcW w:w="36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w:t>
            </w:r>
          </w:p>
        </w:tc>
        <w:tc>
          <w:tcPr>
            <w:tcW w:w="4540" w:type="dxa"/>
            <w:vAlign w:val="bottom"/>
          </w:tcPr>
          <w:p>
            <w:pPr>
              <w:jc w:val="right"/>
              <w:ind w:right="3621"/>
              <w:spacing w:after="0"/>
              <w:rPr>
                <w:sz w:val="20"/>
                <w:szCs w:val="20"/>
                <w:color w:val="auto"/>
              </w:rPr>
            </w:pPr>
            <w:r>
              <w:rPr>
                <w:rFonts w:ascii="Times New Roman" w:cs="Times New Roman" w:eastAsia="Times New Roman" w:hAnsi="Times New Roman"/>
                <w:sz w:val="20"/>
                <w:szCs w:val="20"/>
                <w:color w:val="auto"/>
                <w:w w:val="98"/>
              </w:rPr>
              <w:t>3/15/2025</w:t>
            </w:r>
          </w:p>
        </w:tc>
      </w:tr>
      <w:tr>
        <w:trPr>
          <w:trHeight w:val="21"/>
        </w:trPr>
        <w:tc>
          <w:tcPr>
            <w:tcW w:w="86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r>
      <w:tr>
        <w:trPr>
          <w:trHeight w:val="52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3/15/2025</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1"/>
        </w:trPr>
        <w:tc>
          <w:tcPr>
            <w:tcW w:w="86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bl>
    <w:p>
      <w:pPr>
        <w:sectPr>
          <w:pgSz w:w="11900" w:h="16838" w:orient="portrait"/>
          <w:cols w:equalWidth="0" w:num="1">
            <w:col w:w="11180"/>
          </w:cols>
          <w:pgMar w:left="380" w:top="144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2"/>
          <w:szCs w:val="22"/>
          <w:b w:val="1"/>
          <w:bCs w:val="1"/>
          <w:color w:val="auto"/>
        </w:rPr>
        <w:t>AIRSCULPT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reflected by your RSU Award Grant Notice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AirSculpt Technologies,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you a RSU Award under the AirSculpt Technologies, Inc. 2021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xml:space="preserve">”),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for the number of restricted stock units as indicated in your Grant Notice (the “</w:t>
      </w:r>
      <w:r>
        <w:rPr>
          <w:rFonts w:ascii="Times New Roman" w:cs="Times New Roman" w:eastAsia="Times New Roman" w:hAnsi="Times New Roman"/>
          <w:sz w:val="20"/>
          <w:szCs w:val="20"/>
          <w:b w:val="1"/>
          <w:bCs w:val="1"/>
          <w:i w:val="1"/>
          <w:iCs w:val="1"/>
          <w:color w:val="auto"/>
        </w:rPr>
        <w:t>RSU Award</w:t>
      </w:r>
      <w:r>
        <w:rPr>
          <w:rFonts w:ascii="Times New Roman" w:cs="Times New Roman" w:eastAsia="Times New Roman" w:hAnsi="Times New Roman"/>
          <w:sz w:val="20"/>
          <w:szCs w:val="20"/>
          <w:color w:val="auto"/>
        </w:rPr>
        <w:t>”). The terms of your RSU Award as specified in this Award Agreement for your RSU Award (this “Agreement”) and the Grant Notice constitute your “</w:t>
      </w:r>
      <w:r>
        <w:rPr>
          <w:rFonts w:ascii="Times New Roman" w:cs="Times New Roman" w:eastAsia="Times New Roman" w:hAnsi="Times New Roman"/>
          <w:sz w:val="20"/>
          <w:szCs w:val="20"/>
          <w:b w:val="1"/>
          <w:bCs w:val="1"/>
          <w:i w:val="1"/>
          <w:iCs w:val="1"/>
          <w:color w:val="auto"/>
        </w:rPr>
        <w:t>RSU Award Agreement</w:t>
      </w:r>
      <w:r>
        <w:rPr>
          <w:rFonts w:ascii="Times New Roman" w:cs="Times New Roman" w:eastAsia="Times New Roman" w:hAnsi="Times New Roman"/>
          <w:sz w:val="20"/>
          <w:szCs w:val="20"/>
          <w:color w:val="auto"/>
        </w:rPr>
        <w:t>”. Defined terms not explicitly defined in this Agreement but defined in the Grant Notice or the Plan shall have the same definitions as in the Grant Notice or Plan, as applicable.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general terms applicable to your RSU Award are as follows:</w:t>
      </w:r>
    </w:p>
    <w:p>
      <w:pPr>
        <w:spacing w:after="0" w:line="225" w:lineRule="exact"/>
        <w:rPr>
          <w:sz w:val="20"/>
          <w:szCs w:val="20"/>
          <w:color w:val="auto"/>
        </w:rPr>
      </w:pPr>
    </w:p>
    <w:p>
      <w:pPr>
        <w:ind w:left="340" w:hanging="8"/>
        <w:spacing w:after="0" w:line="273" w:lineRule="auto"/>
        <w:tabs>
          <w:tab w:leader="none" w:pos="66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GOVERNING PLAN DOCUMENT. </w:t>
      </w:r>
      <w:r>
        <w:rPr>
          <w:rFonts w:ascii="Times New Roman" w:cs="Times New Roman" w:eastAsia="Times New Roman" w:hAnsi="Times New Roman"/>
          <w:sz w:val="20"/>
          <w:szCs w:val="20"/>
          <w:color w:val="auto"/>
        </w:rPr>
        <w:t>Your RSU Award is subject to all the provisions of the Plan, including but not limited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in:</w:t>
      </w:r>
    </w:p>
    <w:p>
      <w:pPr>
        <w:spacing w:after="0" w:line="196" w:lineRule="exact"/>
        <w:rPr>
          <w:rFonts w:ascii="Times New Roman" w:cs="Times New Roman" w:eastAsia="Times New Roman" w:hAnsi="Times New Roman"/>
          <w:sz w:val="20"/>
          <w:szCs w:val="20"/>
          <w:color w:val="auto"/>
        </w:rPr>
      </w:pPr>
    </w:p>
    <w:p>
      <w:pPr>
        <w:ind w:left="980"/>
        <w:spacing w:after="0" w:line="283" w:lineRule="auto"/>
        <w:tabs>
          <w:tab w:leader="none" w:pos="1294"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 of the Plan regarding the impact of a Capitalization Adjustment, dissolution, liquidation, or Corporate Transaction on your RSU Award;</w:t>
      </w:r>
    </w:p>
    <w:p>
      <w:pPr>
        <w:spacing w:after="0" w:line="173" w:lineRule="exact"/>
        <w:rPr>
          <w:rFonts w:ascii="Times New Roman" w:cs="Times New Roman" w:eastAsia="Times New Roman" w:hAnsi="Times New Roman"/>
          <w:sz w:val="20"/>
          <w:szCs w:val="20"/>
          <w:color w:val="auto"/>
        </w:rPr>
      </w:pPr>
    </w:p>
    <w:p>
      <w:pPr>
        <w:ind w:left="980"/>
        <w:spacing w:after="0" w:line="283" w:lineRule="auto"/>
        <w:tabs>
          <w:tab w:leader="none" w:pos="1292"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9(e) of the Plan regarding the Company’s retained rights to terminate your Continuous Service notwithstanding the grant of the RSU Award; and</w:t>
      </w:r>
    </w:p>
    <w:p>
      <w:pPr>
        <w:spacing w:after="0" w:line="17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8 of the Plan regarding the tax consequences of your RSU Award.</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77" w:lineRule="exact"/>
        <w:rPr>
          <w:sz w:val="20"/>
          <w:szCs w:val="20"/>
          <w:color w:val="auto"/>
        </w:rPr>
      </w:pPr>
    </w:p>
    <w:p>
      <w:pPr>
        <w:jc w:val="both"/>
        <w:ind w:left="660" w:hanging="328"/>
        <w:spacing w:after="0" w:line="252" w:lineRule="auto"/>
        <w:tabs>
          <w:tab w:leader="none" w:pos="6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GRANT OF THE RSU AWARD. </w:t>
      </w:r>
      <w:r>
        <w:rPr>
          <w:rFonts w:ascii="Times New Roman" w:cs="Times New Roman" w:eastAsia="Times New Roman" w:hAnsi="Times New Roman"/>
          <w:sz w:val="20"/>
          <w:szCs w:val="20"/>
          <w:color w:val="auto"/>
        </w:rPr>
        <w:t>This RSU Award represents your right to be issued on a future date the number of shares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Common Stock that is equal to the number of restricted stock units 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Units</w:t>
      </w:r>
      <w:r>
        <w:rPr>
          <w:rFonts w:ascii="Times New Roman" w:cs="Times New Roman" w:eastAsia="Times New Roman" w:hAnsi="Times New Roman"/>
          <w:sz w:val="20"/>
          <w:szCs w:val="20"/>
          <w:color w:val="auto"/>
        </w:rPr>
        <w:t>”). Any additional Restricted Stock Units that become subject to the RSU Award pursuant to Capitalization Adjustments as set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213" w:lineRule="exact"/>
        <w:rPr>
          <w:rFonts w:ascii="Times New Roman" w:cs="Times New Roman" w:eastAsia="Times New Roman" w:hAnsi="Times New Roman"/>
          <w:sz w:val="20"/>
          <w:szCs w:val="20"/>
          <w:color w:val="auto"/>
        </w:rPr>
      </w:pPr>
    </w:p>
    <w:p>
      <w:pPr>
        <w:jc w:val="both"/>
        <w:ind w:left="660" w:hanging="328"/>
        <w:spacing w:after="0" w:line="260" w:lineRule="auto"/>
        <w:tabs>
          <w:tab w:leader="none" w:pos="6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DIVIDEND EQUIVALENTS. </w:t>
      </w:r>
      <w:r>
        <w:rPr>
          <w:rFonts w:ascii="Times New Roman" w:cs="Times New Roman" w:eastAsia="Times New Roman" w:hAnsi="Times New Roman"/>
          <w:sz w:val="20"/>
          <w:szCs w:val="20"/>
          <w:color w:val="auto"/>
        </w:rPr>
        <w:t>If cash dividends or other cash distributions are paid in respect of the shares of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underlying unvested Restricted Stock Units, then a dividend equivalent equal to the amount paid in respect of one share of Common Stock shall accumulate and be paid with respect to each unvested Restricted Stock Unit at time of settlement; provided that any dividend equivalent rights granted shall be subject to the same vesting terms as the related Restricted Stock Units.</w:t>
      </w:r>
    </w:p>
    <w:p>
      <w:pPr>
        <w:spacing w:after="0" w:line="191" w:lineRule="exact"/>
        <w:rPr>
          <w:rFonts w:ascii="Times New Roman" w:cs="Times New Roman" w:eastAsia="Times New Roman" w:hAnsi="Times New Roman"/>
          <w:sz w:val="20"/>
          <w:szCs w:val="20"/>
          <w:color w:val="auto"/>
        </w:rPr>
      </w:pPr>
    </w:p>
    <w:p>
      <w:pPr>
        <w:ind w:left="660" w:hanging="328"/>
        <w:spacing w:after="0" w:line="287" w:lineRule="auto"/>
        <w:tabs>
          <w:tab w:leader="none" w:pos="6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WITHHOLDING OBLIGATIONS. </w:t>
      </w:r>
      <w:r>
        <w:rPr>
          <w:rFonts w:ascii="Times New Roman" w:cs="Times New Roman" w:eastAsia="Times New Roman" w:hAnsi="Times New Roman"/>
          <w:sz w:val="20"/>
          <w:szCs w:val="20"/>
          <w:color w:val="auto"/>
        </w:rPr>
        <w:t>As further provided in Section 8 of the Plan, you hereby authorize withholding from payroll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any other amounts payable to you, and otherwise agree to</w:t>
      </w:r>
    </w:p>
    <w:p>
      <w:pPr>
        <w:sectPr>
          <w:pgSz w:w="11900" w:h="16838" w:orient="portrait"/>
          <w:cols w:equalWidth="0" w:num="1">
            <w:col w:w="11240"/>
          </w:cols>
          <w:pgMar w:left="320" w:top="1418" w:right="339" w:bottom="1440" w:gutter="0" w:footer="0" w:header="0"/>
        </w:sectPr>
      </w:pPr>
    </w:p>
    <w:bookmarkStart w:id="45" w:name="page46"/>
    <w:bookmarkEnd w:id="45"/>
    <w:p>
      <w:pPr>
        <w:jc w:val="both"/>
        <w:ind w:left="328"/>
        <w:spacing w:after="0" w:line="253" w:lineRule="auto"/>
        <w:rPr>
          <w:sz w:val="20"/>
          <w:szCs w:val="20"/>
          <w:color w:val="auto"/>
        </w:rPr>
      </w:pPr>
      <w:r>
        <w:rPr>
          <w:rFonts w:ascii="Times New Roman" w:cs="Times New Roman" w:eastAsia="Times New Roman" w:hAnsi="Times New Roman"/>
          <w:sz w:val="20"/>
          <w:szCs w:val="20"/>
          <w:color w:val="auto"/>
        </w:rPr>
        <w:t>make adequate provision for, any sums required to satisfy the federal, state, local and foreign tax withholding obligations, if any, which arise in connection with your RSU Award (the “</w:t>
      </w:r>
      <w:r>
        <w:rPr>
          <w:rFonts w:ascii="Times New Roman" w:cs="Times New Roman" w:eastAsia="Times New Roman" w:hAnsi="Times New Roman"/>
          <w:sz w:val="20"/>
          <w:szCs w:val="20"/>
          <w:b w:val="1"/>
          <w:bCs w:val="1"/>
          <w:i w:val="1"/>
          <w:iCs w:val="1"/>
          <w:color w:val="auto"/>
        </w:rPr>
        <w:t>Withholding Obligation</w:t>
      </w:r>
      <w:r>
        <w:rPr>
          <w:rFonts w:ascii="Times New Roman" w:cs="Times New Roman" w:eastAsia="Times New Roman" w:hAnsi="Times New Roman"/>
          <w:sz w:val="20"/>
          <w:szCs w:val="20"/>
          <w:color w:val="auto"/>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202" w:lineRule="exact"/>
        <w:rPr>
          <w:sz w:val="20"/>
          <w:szCs w:val="20"/>
          <w:color w:val="auto"/>
        </w:rPr>
      </w:pPr>
    </w:p>
    <w:p>
      <w:pPr>
        <w:jc w:val="both"/>
        <w:ind w:left="328" w:hanging="328"/>
        <w:spacing w:after="0" w:line="251" w:lineRule="auto"/>
        <w:tabs>
          <w:tab w:leader="none" w:pos="32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RELEASE AGREEMENT</w:t>
      </w:r>
      <w:r>
        <w:rPr>
          <w:rFonts w:ascii="Times New Roman" w:cs="Times New Roman" w:eastAsia="Times New Roman" w:hAnsi="Times New Roman"/>
          <w:sz w:val="20"/>
          <w:szCs w:val="20"/>
          <w:color w:val="auto"/>
        </w:rPr>
        <w:t>. Any obligation of the Company to deliver to you shares of Common Stock in respect of Restricted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Units that have vested due to the Accelerated Vesting provision of the Grant Notice, as a result of your termination of employment, is conditioned upon you delivering to the Company and not revoking a general release of all claims in the form attached to your employment agreement with the Company (the “</w:t>
      </w:r>
      <w:r>
        <w:rPr>
          <w:rFonts w:ascii="Times New Roman" w:cs="Times New Roman" w:eastAsia="Times New Roman" w:hAnsi="Times New Roman"/>
          <w:sz w:val="20"/>
          <w:szCs w:val="20"/>
          <w:b w:val="1"/>
          <w:bCs w:val="1"/>
          <w:i w:val="1"/>
          <w:iCs w:val="1"/>
          <w:color w:val="auto"/>
        </w:rPr>
        <w:t>Release Agreement</w:t>
      </w:r>
      <w:r>
        <w:rPr>
          <w:rFonts w:ascii="Times New Roman" w:cs="Times New Roman" w:eastAsia="Times New Roman" w:hAnsi="Times New Roman"/>
          <w:sz w:val="20"/>
          <w:szCs w:val="20"/>
          <w:color w:val="auto"/>
        </w:rPr>
        <w:t>”), within 60 days following your termination of employment (the “</w:t>
      </w:r>
      <w:r>
        <w:rPr>
          <w:rFonts w:ascii="Times New Roman" w:cs="Times New Roman" w:eastAsia="Times New Roman" w:hAnsi="Times New Roman"/>
          <w:sz w:val="20"/>
          <w:szCs w:val="20"/>
          <w:b w:val="1"/>
          <w:bCs w:val="1"/>
          <w:i w:val="1"/>
          <w:iCs w:val="1"/>
          <w:color w:val="auto"/>
        </w:rPr>
        <w:t>Release Period</w:t>
      </w:r>
      <w:r>
        <w:rPr>
          <w:rFonts w:ascii="Times New Roman" w:cs="Times New Roman" w:eastAsia="Times New Roman" w:hAnsi="Times New Roman"/>
          <w:sz w:val="20"/>
          <w:szCs w:val="20"/>
          <w:color w:val="auto"/>
        </w:rPr>
        <w:t>”). Following the date on which the Release Agreement becomes fully effective and irrevocable but no later than seventy (70) days following the date of termination of your employment, the Company shall deliver to you a number of shares of Common Stock equal to the aggregate number of Restricted Stock Units that have vested pursuant to the Accelerated Vesting provision of the Grant Notice; provided, that if the Release Period spans two (2) calendar years, the shares of Common Stock shall be delivered to you in the later calendar year. If the Release Agreement does not become fully effective and irrevocable prior to the expiration of the Release Period, all Restricted Stock Units will be forfeited immediately, automatically and without consideration as of the date of your termination of employment.</w:t>
      </w:r>
    </w:p>
    <w:p>
      <w:pPr>
        <w:spacing w:after="0" w:line="216" w:lineRule="exact"/>
        <w:rPr>
          <w:rFonts w:ascii="Times New Roman" w:cs="Times New Roman" w:eastAsia="Times New Roman" w:hAnsi="Times New Roman"/>
          <w:sz w:val="20"/>
          <w:szCs w:val="20"/>
          <w:color w:val="auto"/>
        </w:rPr>
      </w:pPr>
    </w:p>
    <w:p>
      <w:pPr>
        <w:ind w:left="328" w:hanging="328"/>
        <w:spacing w:after="0"/>
        <w:tabs>
          <w:tab w:leader="none" w:pos="32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DATE OF ISSUANCE.</w:t>
      </w:r>
    </w:p>
    <w:p>
      <w:pPr>
        <w:spacing w:after="0" w:line="246" w:lineRule="exact"/>
        <w:rPr>
          <w:rFonts w:ascii="Times New Roman" w:cs="Times New Roman" w:eastAsia="Times New Roman" w:hAnsi="Times New Roman"/>
          <w:sz w:val="20"/>
          <w:szCs w:val="20"/>
          <w:color w:val="auto"/>
        </w:rPr>
      </w:pPr>
    </w:p>
    <w:p>
      <w:pPr>
        <w:jc w:val="both"/>
        <w:ind w:left="648"/>
        <w:spacing w:after="0" w:line="253" w:lineRule="auto"/>
        <w:tabs>
          <w:tab w:leader="none" w:pos="962"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or in Section 5 above). Each issuance date determined by this paragraph is referred to as an “</w:t>
      </w:r>
      <w:r>
        <w:rPr>
          <w:rFonts w:ascii="Times New Roman" w:cs="Times New Roman" w:eastAsia="Times New Roman" w:hAnsi="Times New Roman"/>
          <w:sz w:val="20"/>
          <w:szCs w:val="20"/>
          <w:b w:val="1"/>
          <w:bCs w:val="1"/>
          <w:i w:val="1"/>
          <w:iCs w:val="1"/>
          <w:color w:val="auto"/>
        </w:rPr>
        <w:t>Original Issuance Date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648" w:right="20"/>
        <w:spacing w:after="0" w:line="269" w:lineRule="auto"/>
        <w:tabs>
          <w:tab w:leader="none" w:pos="96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Original Issuance Date falls on a date that is not a business day, delivery shall instead occur on the next following business day. In addition, </w:t>
      </w:r>
      <w:r>
        <w:rPr>
          <w:rFonts w:ascii="Times New Roman" w:cs="Times New Roman" w:eastAsia="Times New Roman" w:hAnsi="Times New Roman"/>
          <w:sz w:val="20"/>
          <w:szCs w:val="20"/>
          <w:u w:val="single" w:color="auto"/>
          <w:color w:val="auto"/>
        </w:rPr>
        <w:t>if</w:t>
      </w:r>
      <w:r>
        <w:rPr>
          <w:rFonts w:ascii="Times New Roman" w:cs="Times New Roman" w:eastAsia="Times New Roman" w:hAnsi="Times New Roman"/>
          <w:sz w:val="20"/>
          <w:szCs w:val="20"/>
          <w:color w:val="auto"/>
        </w:rPr>
        <w:t>:</w:t>
      </w:r>
    </w:p>
    <w:p>
      <w:pPr>
        <w:spacing w:after="0" w:line="199" w:lineRule="exact"/>
        <w:rPr>
          <w:rFonts w:ascii="Times New Roman" w:cs="Times New Roman" w:eastAsia="Times New Roman" w:hAnsi="Times New Roman"/>
          <w:sz w:val="20"/>
          <w:szCs w:val="20"/>
          <w:color w:val="auto"/>
        </w:rPr>
      </w:pPr>
    </w:p>
    <w:p>
      <w:pPr>
        <w:jc w:val="both"/>
        <w:ind w:left="1628" w:hanging="170"/>
        <w:spacing w:after="0" w:line="253" w:lineRule="auto"/>
        <w:tabs>
          <w:tab w:leader="none" w:pos="2274" w:val="left"/>
        </w:tabs>
        <w:numPr>
          <w:ilvl w:val="2"/>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20"/>
          <w:szCs w:val="20"/>
          <w:b w:val="1"/>
          <w:bCs w:val="1"/>
          <w:i w:val="1"/>
          <w:iCs w:val="1"/>
          <w:color w:val="auto"/>
        </w:rPr>
        <w:t>10b5-1 Arrangement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w:t>
      </w:r>
    </w:p>
    <w:p>
      <w:pPr>
        <w:sectPr>
          <w:pgSz w:w="11900" w:h="16838" w:orient="portrait"/>
          <w:cols w:equalWidth="0" w:num="1">
            <w:col w:w="10908"/>
          </w:cols>
          <w:pgMar w:left="652" w:top="1413" w:right="339" w:bottom="1440" w:gutter="0" w:footer="0" w:header="0"/>
        </w:sectPr>
      </w:pPr>
    </w:p>
    <w:bookmarkStart w:id="46" w:name="page47"/>
    <w:bookmarkEnd w:id="46"/>
    <w:p>
      <w:pPr>
        <w:jc w:val="both"/>
        <w:ind w:left="1628" w:hanging="170"/>
        <w:spacing w:after="0" w:line="253" w:lineRule="auto"/>
        <w:tabs>
          <w:tab w:leader="none" w:pos="227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219" w:lineRule="exact"/>
        <w:rPr>
          <w:sz w:val="20"/>
          <w:szCs w:val="20"/>
          <w:color w:val="auto"/>
        </w:rPr>
      </w:pPr>
    </w:p>
    <w:p>
      <w:pPr>
        <w:jc w:val="both"/>
        <w:ind w:left="968"/>
        <w:spacing w:after="0" w:line="251" w:lineRule="auto"/>
        <w:rPr>
          <w:sz w:val="20"/>
          <w:szCs w:val="20"/>
          <w:color w:val="auto"/>
        </w:rPr>
      </w:pPr>
      <w:r>
        <w:rPr>
          <w:rFonts w:ascii="Times New Roman" w:cs="Times New Roman" w:eastAsia="Times New Roman" w:hAnsi="Times New Roman"/>
          <w:sz w:val="20"/>
          <w:szCs w:val="20"/>
          <w:u w:val="single" w:color="auto"/>
          <w:color w:val="auto"/>
        </w:rPr>
        <w:t>then</w:t>
      </w:r>
      <w:r>
        <w:rPr>
          <w:rFonts w:ascii="Times New Roman" w:cs="Times New Roman" w:eastAsia="Times New Roman" w:hAnsi="Times New Roman"/>
          <w:sz w:val="20"/>
          <w:szCs w:val="20"/>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20"/>
          <w:szCs w:val="20"/>
          <w:u w:val="single" w:color="auto"/>
          <w:color w:val="auto"/>
        </w:rPr>
        <w:t>if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and only if</w:t>
      </w:r>
      <w:r>
        <w:rPr>
          <w:rFonts w:ascii="Times New Roman" w:cs="Times New Roman" w:eastAsia="Times New Roman" w:hAnsi="Times New Roman"/>
          <w:sz w:val="20"/>
          <w:szCs w:val="20"/>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95" w:lineRule="exact"/>
        <w:rPr>
          <w:sz w:val="20"/>
          <w:szCs w:val="20"/>
          <w:color w:val="auto"/>
        </w:rPr>
      </w:pPr>
    </w:p>
    <w:p>
      <w:pPr>
        <w:ind w:left="968" w:hanging="320"/>
        <w:spacing w:after="0"/>
        <w:tabs>
          <w:tab w:leader="none" w:pos="968"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 RSU Award is a Non-Exempt Award, the provisions of Section 11 of the Plan shall apply.</w:t>
      </w:r>
    </w:p>
    <w:p>
      <w:pPr>
        <w:spacing w:after="0" w:line="238" w:lineRule="exact"/>
        <w:rPr>
          <w:rFonts w:ascii="Times New Roman" w:cs="Times New Roman" w:eastAsia="Times New Roman" w:hAnsi="Times New Roman"/>
          <w:sz w:val="20"/>
          <w:szCs w:val="20"/>
          <w:color w:val="auto"/>
        </w:rPr>
      </w:pPr>
    </w:p>
    <w:p>
      <w:pPr>
        <w:jc w:val="both"/>
        <w:ind w:left="328" w:hanging="328"/>
        <w:spacing w:after="0" w:line="250" w:lineRule="auto"/>
        <w:tabs>
          <w:tab w:leader="none" w:pos="32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LOCK-UP-PERIOD</w:t>
      </w:r>
      <w:r>
        <w:rPr>
          <w:rFonts w:ascii="Times New Roman" w:cs="Times New Roman" w:eastAsia="Times New Roman" w:hAnsi="Times New Roman"/>
          <w:sz w:val="20"/>
          <w:szCs w:val="20"/>
          <w:color w:val="auto"/>
        </w:rPr>
        <w:t>. By accepting your RSU Award, you agree that you will not sell, dispose of, transfer, make any short sale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20"/>
          <w:szCs w:val="20"/>
          <w:b w:val="1"/>
          <w:bCs w:val="1"/>
          <w:i w:val="1"/>
          <w:iCs w:val="1"/>
          <w:color w:val="auto"/>
        </w:rPr>
        <w:t>Lock-Up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6. The underwriters of the Company’s stock are intended third party beneficiaries of this Section 6 and will have the right, power and authority to enforce the provisions hereof as though they were a party hereto.</w:t>
      </w:r>
    </w:p>
    <w:p>
      <w:pPr>
        <w:spacing w:after="0" w:line="220" w:lineRule="exact"/>
        <w:rPr>
          <w:rFonts w:ascii="Times New Roman" w:cs="Times New Roman" w:eastAsia="Times New Roman" w:hAnsi="Times New Roman"/>
          <w:sz w:val="20"/>
          <w:szCs w:val="20"/>
          <w:color w:val="auto"/>
        </w:rPr>
      </w:pPr>
    </w:p>
    <w:p>
      <w:pPr>
        <w:ind w:left="328" w:hanging="328"/>
        <w:spacing w:after="0" w:line="287" w:lineRule="auto"/>
        <w:tabs>
          <w:tab w:leader="none" w:pos="32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TRANSFERABILITY. </w:t>
      </w:r>
      <w:r>
        <w:rPr>
          <w:rFonts w:ascii="Times New Roman" w:cs="Times New Roman" w:eastAsia="Times New Roman" w:hAnsi="Times New Roman"/>
          <w:sz w:val="20"/>
          <w:szCs w:val="20"/>
          <w:color w:val="auto"/>
        </w:rPr>
        <w:t>Except as otherwise provided in the Plan, your RSU Award is not transferable, except by will or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laws of descent and distribution.</w:t>
      </w:r>
    </w:p>
    <w:p>
      <w:pPr>
        <w:spacing w:after="0" w:line="165" w:lineRule="exact"/>
        <w:rPr>
          <w:rFonts w:ascii="Times New Roman" w:cs="Times New Roman" w:eastAsia="Times New Roman" w:hAnsi="Times New Roman"/>
          <w:sz w:val="20"/>
          <w:szCs w:val="20"/>
          <w:color w:val="auto"/>
        </w:rPr>
      </w:pPr>
    </w:p>
    <w:p>
      <w:pPr>
        <w:jc w:val="both"/>
        <w:ind w:left="328" w:hanging="328"/>
        <w:spacing w:after="0" w:line="263" w:lineRule="auto"/>
        <w:tabs>
          <w:tab w:leader="none" w:pos="32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CORPORATE TRANSACTION. </w:t>
      </w:r>
      <w:r>
        <w:rPr>
          <w:rFonts w:ascii="Times New Roman" w:cs="Times New Roman" w:eastAsia="Times New Roman" w:hAnsi="Times New Roman"/>
          <w:sz w:val="20"/>
          <w:szCs w:val="20"/>
          <w:color w:val="auto"/>
        </w:rPr>
        <w:t>Your RSU Award is subject to the terms of any agreement governing a Corporate Transaction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involving the Company, including, without limitation, a provision for the appointment of a stockholder representative that is authorized to act on your behalf with respect to any escrow, indemnities and any contingent consideration.</w:t>
      </w:r>
    </w:p>
    <w:p>
      <w:pPr>
        <w:sectPr>
          <w:pgSz w:w="11900" w:h="16838" w:orient="portrait"/>
          <w:cols w:equalWidth="0" w:num="1">
            <w:col w:w="10908"/>
          </w:cols>
          <w:pgMar w:left="652" w:top="1413" w:right="339" w:bottom="1440" w:gutter="0" w:footer="0" w:header="0"/>
        </w:sectPr>
      </w:pPr>
    </w:p>
    <w:bookmarkStart w:id="47" w:name="page48"/>
    <w:bookmarkEnd w:id="47"/>
    <w:p>
      <w:pPr>
        <w:jc w:val="both"/>
        <w:ind w:left="328" w:hanging="328"/>
        <w:spacing w:after="0" w:line="278" w:lineRule="auto"/>
        <w:tabs>
          <w:tab w:leader="none" w:pos="319"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 LIABILITIES FOR TAXES</w:t>
      </w:r>
      <w:r>
        <w:rPr>
          <w:rFonts w:ascii="Times New Roman" w:cs="Times New Roman" w:eastAsia="Times New Roman" w:hAnsi="Times New Roman"/>
          <w:sz w:val="19"/>
          <w:szCs w:val="19"/>
          <w:color w:val="auto"/>
        </w:rPr>
        <w:t>. As a condition to accepting the RSU Award, you hereby (a) agree to not make any claim against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175" w:lineRule="exact"/>
        <w:rPr>
          <w:rFonts w:ascii="Times New Roman" w:cs="Times New Roman" w:eastAsia="Times New Roman" w:hAnsi="Times New Roman"/>
          <w:sz w:val="19"/>
          <w:szCs w:val="19"/>
          <w:color w:val="auto"/>
        </w:rPr>
      </w:pPr>
    </w:p>
    <w:p>
      <w:pPr>
        <w:jc w:val="both"/>
        <w:ind w:left="328" w:hanging="328"/>
        <w:spacing w:after="0" w:line="258" w:lineRule="auto"/>
        <w:tabs>
          <w:tab w:leader="none" w:pos="311"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If any part of this Agreement or the Plan is declared by any court or governmental authority to be unlawful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94" w:lineRule="exact"/>
        <w:rPr>
          <w:rFonts w:ascii="Times New Roman" w:cs="Times New Roman" w:eastAsia="Times New Roman" w:hAnsi="Times New Roman"/>
          <w:sz w:val="20"/>
          <w:szCs w:val="20"/>
          <w:color w:val="auto"/>
        </w:rPr>
      </w:pPr>
    </w:p>
    <w:p>
      <w:pPr>
        <w:jc w:val="both"/>
        <w:ind w:left="328" w:hanging="328"/>
        <w:spacing w:after="0" w:line="270" w:lineRule="auto"/>
        <w:tabs>
          <w:tab w:leader="none" w:pos="31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OTHER DOCUMENTS. </w:t>
      </w:r>
      <w:r>
        <w:rPr>
          <w:rFonts w:ascii="Times New Roman" w:cs="Times New Roman" w:eastAsia="Times New Roman" w:hAnsi="Times New Roman"/>
          <w:sz w:val="20"/>
          <w:szCs w:val="20"/>
          <w:color w:val="auto"/>
        </w:rPr>
        <w:t>You hereby acknowledge receipt of or the right to receive a document providing the information required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Rule 428(b)(1) promulgated under the Securities Act, which includes the Prospectus. In addition, you acknowledge receipt of the Company’s Trading Policy.</w:t>
      </w:r>
    </w:p>
    <w:p>
      <w:pPr>
        <w:spacing w:after="0" w:line="182" w:lineRule="exact"/>
        <w:rPr>
          <w:rFonts w:ascii="Times New Roman" w:cs="Times New Roman" w:eastAsia="Times New Roman" w:hAnsi="Times New Roman"/>
          <w:sz w:val="20"/>
          <w:szCs w:val="20"/>
          <w:color w:val="auto"/>
        </w:rPr>
      </w:pPr>
    </w:p>
    <w:p>
      <w:pPr>
        <w:ind w:left="328" w:hanging="328"/>
        <w:spacing w:after="0" w:line="287" w:lineRule="auto"/>
        <w:tabs>
          <w:tab w:leader="none" w:pos="31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QUESTIONS. </w:t>
      </w:r>
      <w:r>
        <w:rPr>
          <w:rFonts w:ascii="Times New Roman" w:cs="Times New Roman" w:eastAsia="Times New Roman" w:hAnsi="Times New Roman"/>
          <w:sz w:val="20"/>
          <w:szCs w:val="20"/>
          <w:color w:val="auto"/>
        </w:rPr>
        <w:t>If you have questions regarding these or any other terms and conditions applicable to your RSU Award, including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summary of the applicable federal income tax consequences please see the Prospectus.</w:t>
      </w:r>
    </w:p>
    <w:p>
      <w:pPr>
        <w:sectPr>
          <w:pgSz w:w="11900" w:h="16838" w:orient="portrait"/>
          <w:cols w:equalWidth="0" w:num="1">
            <w:col w:w="10908"/>
          </w:cols>
          <w:pgMar w:left="652" w:top="1409" w:right="339" w:bottom="1440" w:gutter="0" w:footer="0" w:header="0"/>
        </w:sectPr>
      </w:pPr>
    </w:p>
    <w:bookmarkStart w:id="48" w:name="page49"/>
    <w:bookmarkEnd w:id="48"/>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2021 EQUITY INCENTIVE PLAN</w:t>
      </w:r>
    </w:p>
    <w:p>
      <w:pPr>
        <w:sectPr>
          <w:pgSz w:w="11900" w:h="16838" w:orient="portrait"/>
          <w:cols w:equalWidth="0" w:num="1">
            <w:col w:w="9019"/>
          </w:cols>
          <w:pgMar w:left="1440" w:top="1440" w:right="1440"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AIRSCULPT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PSU AWARD GRANT NOTICE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AirSculpt Technologies,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awarded to you (the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number of performance stock units specified and on the terms set forth below in consideration of your services (the “</w:t>
      </w:r>
      <w:r>
        <w:rPr>
          <w:rFonts w:ascii="Times New Roman" w:cs="Times New Roman" w:eastAsia="Times New Roman" w:hAnsi="Times New Roman"/>
          <w:sz w:val="20"/>
          <w:szCs w:val="20"/>
          <w:b w:val="1"/>
          <w:bCs w:val="1"/>
          <w:i w:val="1"/>
          <w:iCs w:val="1"/>
          <w:color w:val="auto"/>
        </w:rPr>
        <w:t>PSU Award</w:t>
      </w:r>
      <w:r>
        <w:rPr>
          <w:rFonts w:ascii="Times New Roman" w:cs="Times New Roman" w:eastAsia="Times New Roman" w:hAnsi="Times New Roman"/>
          <w:sz w:val="20"/>
          <w:szCs w:val="20"/>
          <w:color w:val="auto"/>
        </w:rPr>
        <w:t>”). Your PSU Award is subject to all of the terms and conditions as set forth herein and in the AirSculpt Technologies, Inc. 2021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and the Award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which are attached hereto and incorporated herein in their entirety. Capitalized terms not explicitly defined herein but defined in the Plan or the Agreement shall have the meanings set forth in the Plan or the Agreement.</w:t>
      </w:r>
    </w:p>
    <w:p>
      <w:pPr>
        <w:sectPr>
          <w:pgSz w:w="11900" w:h="16838" w:orient="portrait"/>
          <w:cols w:equalWidth="0" w:num="1">
            <w:col w:w="11240"/>
          </w:cols>
          <w:pgMar w:left="320" w:top="114" w:right="339" w:bottom="1440" w:gutter="0" w:footer="0" w:header="0"/>
        </w:sectPr>
      </w:pPr>
    </w:p>
    <w:p>
      <w:pPr>
        <w:spacing w:after="0" w:line="2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Participant:</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Date of Grant:</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Target Number of</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Performance Stock Units: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Performance Period</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Performance Goal(s):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Yogesh Jashnani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31115</wp:posOffset>
            </wp:positionV>
            <wp:extent cx="38830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6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January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91440</wp:posOffset>
            </wp:positionV>
            <wp:extent cx="38830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220,386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108585</wp:posOffset>
            </wp:positionV>
            <wp:extent cx="38830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1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January 1, 2025 through December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91440</wp:posOffset>
            </wp:positionV>
            <wp:extent cx="38830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138" w:lineRule="exact"/>
        <w:rPr>
          <w:sz w:val="20"/>
          <w:szCs w:val="20"/>
          <w:color w:val="auto"/>
        </w:rPr>
      </w:pPr>
    </w:p>
    <w:p>
      <w:pPr>
        <w:jc w:val="both"/>
        <w:ind w:left="10" w:right="460"/>
        <w:spacing w:after="0" w:line="263" w:lineRule="auto"/>
        <w:rPr>
          <w:sz w:val="20"/>
          <w:szCs w:val="20"/>
          <w:color w:val="auto"/>
        </w:rPr>
      </w:pPr>
      <w:r>
        <w:rPr>
          <w:rFonts w:ascii="Times New Roman" w:cs="Times New Roman" w:eastAsia="Times New Roman" w:hAnsi="Times New Roman"/>
          <w:sz w:val="20"/>
          <w:szCs w:val="20"/>
          <w:color w:val="auto"/>
        </w:rPr>
        <w:t>The Performance Stock Units (“</w:t>
      </w:r>
      <w:r>
        <w:rPr>
          <w:rFonts w:ascii="Times New Roman" w:cs="Times New Roman" w:eastAsia="Times New Roman" w:hAnsi="Times New Roman"/>
          <w:sz w:val="20"/>
          <w:szCs w:val="20"/>
          <w:b w:val="1"/>
          <w:bCs w:val="1"/>
          <w:i w:val="1"/>
          <w:iCs w:val="1"/>
          <w:color w:val="auto"/>
        </w:rPr>
        <w:t>PSUs</w:t>
      </w:r>
      <w:r>
        <w:rPr>
          <w:rFonts w:ascii="Times New Roman" w:cs="Times New Roman" w:eastAsia="Times New Roman" w:hAnsi="Times New Roman"/>
          <w:sz w:val="20"/>
          <w:szCs w:val="20"/>
          <w:color w:val="auto"/>
        </w:rPr>
        <w:t>”) shall vest on the first date during the Performance Period that the 60-Day VWAP equals or exceeds the following stock price performance goals:</w:t>
      </w:r>
    </w:p>
    <w:p>
      <w:pPr>
        <w:spacing w:after="0" w:line="58" w:lineRule="exact"/>
        <w:rPr>
          <w:sz w:val="20"/>
          <w:szCs w:val="20"/>
          <w:color w:val="auto"/>
        </w:rPr>
      </w:pPr>
    </w:p>
    <w:p>
      <w:pPr>
        <w:jc w:val="both"/>
        <w:ind w:left="610" w:right="460" w:hanging="333"/>
        <w:spacing w:after="0" w:line="268" w:lineRule="auto"/>
        <w:tabs>
          <w:tab w:leader="none" w:pos="59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Twenty-five percent (25%) of the PSUs shall vest if the Company’s 60-Day VWAP equals or exceeds one hundred twenty-five percent (125%) of the Baseline Stock Price;</w:t>
      </w:r>
    </w:p>
    <w:p>
      <w:pPr>
        <w:spacing w:after="0" w:line="188" w:lineRule="exact"/>
        <w:rPr>
          <w:rFonts w:ascii="Times New Roman" w:cs="Times New Roman" w:eastAsia="Times New Roman" w:hAnsi="Times New Roman"/>
          <w:sz w:val="20"/>
          <w:szCs w:val="20"/>
          <w:color w:val="auto"/>
        </w:rPr>
      </w:pPr>
    </w:p>
    <w:p>
      <w:pPr>
        <w:jc w:val="both"/>
        <w:ind w:left="610" w:right="460" w:hanging="333"/>
        <w:spacing w:after="0" w:line="261" w:lineRule="auto"/>
        <w:tabs>
          <w:tab w:leader="none" w:pos="59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Twenty-five percent (25%) of the PSUs shall vest if the Company’s 60-Day VWAP equals or exceeds one hundred seventy-five percent (175%) of the Baseline Stock Price;</w:t>
      </w:r>
    </w:p>
    <w:p>
      <w:pPr>
        <w:spacing w:after="0" w:line="208" w:lineRule="exact"/>
        <w:rPr>
          <w:rFonts w:ascii="Times New Roman" w:cs="Times New Roman" w:eastAsia="Times New Roman" w:hAnsi="Times New Roman"/>
          <w:sz w:val="20"/>
          <w:szCs w:val="20"/>
          <w:color w:val="auto"/>
        </w:rPr>
      </w:pPr>
    </w:p>
    <w:p>
      <w:pPr>
        <w:jc w:val="both"/>
        <w:ind w:left="610" w:right="460" w:hanging="333"/>
        <w:spacing w:after="0" w:line="261" w:lineRule="auto"/>
        <w:tabs>
          <w:tab w:leader="none" w:pos="59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Twenty-five percent (25%) of the PSUs shall vest if the Company’s 60-Day VWAP equals or exceeds two hundred percent (200%) of the Baseline Stock Price; and</w:t>
      </w:r>
    </w:p>
    <w:p>
      <w:pPr>
        <w:spacing w:after="0" w:line="208" w:lineRule="exact"/>
        <w:rPr>
          <w:rFonts w:ascii="Times New Roman" w:cs="Times New Roman" w:eastAsia="Times New Roman" w:hAnsi="Times New Roman"/>
          <w:sz w:val="20"/>
          <w:szCs w:val="20"/>
          <w:color w:val="auto"/>
        </w:rPr>
      </w:pPr>
    </w:p>
    <w:p>
      <w:pPr>
        <w:jc w:val="both"/>
        <w:ind w:left="610" w:right="460" w:hanging="333"/>
        <w:spacing w:after="0" w:line="261" w:lineRule="auto"/>
        <w:tabs>
          <w:tab w:leader="none" w:pos="59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Twenty-five percent (25%) of the PSUs shall vest if the Company’s 60-Day VWAP equals or exceeds two hundred twenty-five percent (225%) of the Baseline Stock Price.</w:t>
      </w:r>
    </w:p>
    <w:p>
      <w:pPr>
        <w:spacing w:after="0" w:line="164" w:lineRule="exact"/>
        <w:rPr>
          <w:sz w:val="20"/>
          <w:szCs w:val="20"/>
          <w:color w:val="auto"/>
        </w:rPr>
      </w:pPr>
    </w:p>
    <w:p>
      <w:pPr>
        <w:jc w:val="both"/>
        <w:ind w:left="10" w:right="460"/>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60-Day VWAP</w:t>
      </w:r>
      <w:r>
        <w:rPr>
          <w:rFonts w:ascii="Times New Roman" w:cs="Times New Roman" w:eastAsia="Times New Roman" w:hAnsi="Times New Roman"/>
          <w:sz w:val="20"/>
          <w:szCs w:val="20"/>
          <w:color w:val="auto"/>
        </w:rPr>
        <w:t>” shall have the meaning ascribed to such term in your employment agreement with the Company dated as of December 6, 2024, as may be amended from time to time (the “</w:t>
      </w:r>
      <w:r>
        <w:rPr>
          <w:rFonts w:ascii="Times New Roman" w:cs="Times New Roman" w:eastAsia="Times New Roman" w:hAnsi="Times New Roman"/>
          <w:sz w:val="20"/>
          <w:szCs w:val="20"/>
          <w:b w:val="1"/>
          <w:bCs w:val="1"/>
          <w:i w:val="1"/>
          <w:iCs w:val="1"/>
          <w:color w:val="auto"/>
        </w:rPr>
        <w:t>Employment Agreement</w:t>
      </w:r>
      <w:r>
        <w:rPr>
          <w:rFonts w:ascii="Times New Roman" w:cs="Times New Roman" w:eastAsia="Times New Roman" w:hAnsi="Times New Roman"/>
          <w:sz w:val="20"/>
          <w:szCs w:val="20"/>
          <w:color w:val="auto"/>
        </w:rPr>
        <w:t>”).</w:t>
      </w:r>
    </w:p>
    <w:p>
      <w:pPr>
        <w:spacing w:after="0" w:line="51" w:lineRule="exact"/>
        <w:rPr>
          <w:sz w:val="20"/>
          <w:szCs w:val="20"/>
          <w:color w:val="auto"/>
        </w:rPr>
      </w:pPr>
    </w:p>
    <w:p>
      <w:pPr>
        <w:jc w:val="both"/>
        <w:ind w:left="10" w:right="460"/>
        <w:spacing w:after="0" w:line="271" w:lineRule="auto"/>
        <w:rPr>
          <w:sz w:val="20"/>
          <w:szCs w:val="20"/>
          <w:color w:val="auto"/>
        </w:rPr>
      </w:pPr>
      <w:r>
        <w:rPr>
          <w:rFonts w:ascii="Times New Roman" w:cs="Times New Roman" w:eastAsia="Times New Roman" w:hAnsi="Times New Roman"/>
          <w:sz w:val="19"/>
          <w:szCs w:val="19"/>
          <w:color w:val="auto"/>
        </w:rPr>
        <w:t>Further, in the event that the Company declares an extraordinary dividend (which would qualify as a “corporate transaction” as provided in Treas. Reg.</w:t>
      </w:r>
    </w:p>
    <w:p>
      <w:pPr>
        <w:spacing w:after="0" w:line="1" w:lineRule="exact"/>
        <w:rPr>
          <w:sz w:val="20"/>
          <w:szCs w:val="20"/>
          <w:color w:val="auto"/>
        </w:rPr>
      </w:pPr>
    </w:p>
    <w:p>
      <w:pPr>
        <w:jc w:val="both"/>
        <w:ind w:left="10" w:right="440" w:hanging="10"/>
        <w:spacing w:after="0" w:line="256" w:lineRule="auto"/>
        <w:tabs>
          <w:tab w:leader="none" w:pos="23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1.424-1(a)(3)(ii)), the per share amount of such dividend shall be incorporated into the 60-Day VWAP calculation for purposes of determining the achievement of the Performance Goals above.</w:t>
      </w:r>
    </w:p>
    <w:p>
      <w:pPr>
        <w:spacing w:after="0" w:line="62" w:lineRule="exact"/>
        <w:rPr>
          <w:sz w:val="20"/>
          <w:szCs w:val="20"/>
          <w:color w:val="auto"/>
        </w:rPr>
      </w:pPr>
    </w:p>
    <w:p>
      <w:pPr>
        <w:ind w:left="10" w:right="46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Baseline Stock Price</w:t>
      </w:r>
      <w:r>
        <w:rPr>
          <w:rFonts w:ascii="Times New Roman" w:cs="Times New Roman" w:eastAsia="Times New Roman" w:hAnsi="Times New Roman"/>
          <w:sz w:val="20"/>
          <w:szCs w:val="20"/>
          <w:color w:val="auto"/>
        </w:rPr>
        <w:t>” shall have the meaning ascribed to such term in the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62230</wp:posOffset>
            </wp:positionV>
            <wp:extent cx="38830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83025" cy="8890"/>
                    </a:xfrm>
                    <a:prstGeom prst="rect">
                      <a:avLst/>
                    </a:prstGeom>
                    <a:noFill/>
                  </pic:spPr>
                </pic:pic>
              </a:graphicData>
            </a:graphic>
          </wp:anchor>
        </w:drawing>
      </w:r>
    </w:p>
    <w:p>
      <w:pPr>
        <w:sectPr>
          <w:pgSz w:w="11900" w:h="16838" w:orient="portrait"/>
          <w:cols w:equalWidth="0" w:num="2">
            <w:col w:w="3990" w:space="720"/>
            <w:col w:w="6530"/>
          </w:cols>
          <w:pgMar w:left="320" w:top="114" w:right="339" w:bottom="1440" w:gutter="0" w:footer="0" w:header="0"/>
          <w:type w:val="continuous"/>
        </w:sectPr>
      </w:pPr>
    </w:p>
    <w:bookmarkStart w:id="50" w:name="page51"/>
    <w:bookmarkEnd w:id="50"/>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the foregoing, vesting shall terminate immediately upon your termination of employment with the Company and all then unvested or unsettled PSUs shall terminate immediately, automatically and without consideration on the date of such termination, subject to the Qualifying Terminations provision below;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notwithstanding the foregoing, the Board in its sole discretion may determine that any then unvested or unsettled PSUs which remain outstanding and eligible to vest or settle based on achievement of the Performance Goals during any period in which your Continuous Service with the Company continues notwithstanding your termination of employment.</w:t>
      </w:r>
    </w:p>
    <w:p>
      <w:pPr>
        <w:spacing w:after="0" w:line="1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Any PSUs that are not vested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with respect to which the Performance Goals have not been achieved) prior to or at the end of the Performance Period, shall terminate immediately, automatically and without consideration on the last day of the Performance Period.</w:t>
      </w:r>
    </w:p>
    <w:p>
      <w:pPr>
        <w:spacing w:after="0" w:line="1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Qualifying Terminations: </w:t>
      </w:r>
      <w:r>
        <w:rPr>
          <w:rFonts w:ascii="Times New Roman" w:cs="Times New Roman" w:eastAsia="Times New Roman" w:hAnsi="Times New Roman"/>
          <w:sz w:val="20"/>
          <w:szCs w:val="20"/>
          <w:color w:val="auto"/>
        </w:rPr>
        <w:t>In the event that the Participant’s employment is terminated (a) either (i) by the Company without Cause, or (ii)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Participant with Good Reason, more than three (3) months prior to or twelve (12) months following a Change in Control, or (b) due to the Participant’s death or Disability, then, in each case, subject to Section 5 of the RSU Award Agreement, the PSUs shall remain outstanding and eligible to vest in accordance with the Agreement on a pro-rated basis (based on a fraction the numerator of which is the number of days during which the Participant was employed by the Company during the Performance Period and the denominator of which is the total number of days in the Performance Period).</w:t>
      </w:r>
    </w:p>
    <w:p>
      <w:pPr>
        <w:spacing w:after="0" w:line="12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For the avoidance of doubt, upon the expiration of such twelve (12) or twenty-four (24) month period, as applicable, the PSUs shall terminate immediately, automatically and without consideration at the end of such period.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the PSU Award Agreement,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shall have the meaning ascribed to such term in the Employment Agreement.</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Upon a Change in Control that occurs during the Performance Period, all PSUs shall vest based on the achievement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Performance Goals above using the per share consideration paid by the buyer in lieu of the 60-Day VWAP for purposes of such determination. Any remaining unvested PSUs shall convert to time-vesting restricted stock units, and such time-vesting restricted stock units shall vest in their entirety on the last day of the Performance Period, subject to the Participant’s Continuous Service with the Company through such last day of the Performance Period. In the event that the Participant’s employment is terminated (a) by the Company without Cause, or (b) by the Participant with Good Reason, within three (3) months prior to or twelve (12) months following a Change in Control, then, in each case, subject to Section 5 of the RSU Award Agreement, all of the Participant’s PSUs that were converted to time-vesting restricted stock units pursuant to this Change in Control provision shall vest and be settled in full in accordance with the Issuance Schedule provision below; provided, however, that in the event that the Participant’s termination of employment occurs within three (3) months prior to a Change in Control, all of the Participant’s PSUs granted hereunder shall vest in accordance with the foregoing sentence upon such termination of employment, and all of the Participant’s PSUs that were converted to time-vesting restricted stock units pursuant to such foregoing sentence shall vest in accordance with this sentence upon the consummation of the Change in Control.</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Issuance Schedule: </w:t>
      </w:r>
      <w:r>
        <w:rPr>
          <w:rFonts w:ascii="Times New Roman" w:cs="Times New Roman" w:eastAsia="Times New Roman" w:hAnsi="Times New Roman"/>
          <w:sz w:val="20"/>
          <w:szCs w:val="20"/>
          <w:color w:val="auto"/>
        </w:rPr>
        <w:t>One share of Common Stock will be issued at the time set forth in Sections 5 and 6 of the Agreement for each PSU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vests.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Participant Acknowledgments: </w:t>
      </w:r>
      <w:r>
        <w:rPr>
          <w:rFonts w:ascii="Times New Roman" w:cs="Times New Roman" w:eastAsia="Times New Roman" w:hAnsi="Times New Roman"/>
          <w:sz w:val="20"/>
          <w:szCs w:val="20"/>
          <w:color w:val="auto"/>
        </w:rPr>
        <w:t>By your signature below or by electronic acceptance or authentication in a form authorized by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you understand and agree that:</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31" w:lineRule="exact"/>
        <w:rPr>
          <w:sz w:val="20"/>
          <w:szCs w:val="20"/>
          <w:color w:val="auto"/>
        </w:rPr>
      </w:pPr>
    </w:p>
    <w:p>
      <w:pPr>
        <w:jc w:val="both"/>
        <w:ind w:left="600" w:hanging="328"/>
        <w:spacing w:after="0" w:line="260" w:lineRule="auto"/>
        <w:tabs>
          <w:tab w:leader="none" w:pos="58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PSU Award is governed by this PSU Award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20"/>
          <w:szCs w:val="20"/>
          <w:b w:val="1"/>
          <w:bCs w:val="1"/>
          <w:i w:val="1"/>
          <w:iCs w:val="1"/>
          <w:color w:val="auto"/>
        </w:rPr>
        <w:t>PSU Award Agreement</w:t>
      </w:r>
      <w:r>
        <w:rPr>
          <w:rFonts w:ascii="Times New Roman" w:cs="Times New Roman" w:eastAsia="Times New Roman" w:hAnsi="Times New Roman"/>
          <w:sz w:val="20"/>
          <w:szCs w:val="20"/>
          <w:color w:val="auto"/>
        </w:rPr>
        <w:t>”) may not be modified, amended or revised except in a writing signed by you and a duly authorized officer of the Company.</w:t>
      </w:r>
    </w:p>
    <w:p>
      <w:pPr>
        <w:spacing w:after="0" w:line="195" w:lineRule="exact"/>
        <w:rPr>
          <w:rFonts w:ascii="Times New Roman" w:cs="Times New Roman" w:eastAsia="Times New Roman" w:hAnsi="Times New Roman"/>
          <w:sz w:val="20"/>
          <w:szCs w:val="20"/>
          <w:color w:val="auto"/>
        </w:rPr>
      </w:pPr>
    </w:p>
    <w:p>
      <w:pPr>
        <w:jc w:val="both"/>
        <w:ind w:left="600" w:hanging="328"/>
        <w:spacing w:after="0" w:line="268" w:lineRule="auto"/>
        <w:tabs>
          <w:tab w:leader="none" w:pos="58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read and are familiar with the provisions of the Plan, the PSU Award Agreement and the Prospectus. In the event of any conflict between the provisions in the PSU Award Agreement, or the Prospectus and the terms of the Plan, the terms of the Plan shall control.</w:t>
      </w:r>
    </w:p>
    <w:p>
      <w:pPr>
        <w:spacing w:after="0" w:line="188" w:lineRule="exact"/>
        <w:rPr>
          <w:rFonts w:ascii="Times New Roman" w:cs="Times New Roman" w:eastAsia="Times New Roman" w:hAnsi="Times New Roman"/>
          <w:sz w:val="20"/>
          <w:szCs w:val="20"/>
          <w:color w:val="auto"/>
        </w:rPr>
      </w:pPr>
    </w:p>
    <w:p>
      <w:pPr>
        <w:jc w:val="both"/>
        <w:ind w:left="600" w:hanging="328"/>
        <w:spacing w:after="0" w:line="257" w:lineRule="auto"/>
        <w:tabs>
          <w:tab w:leader="none" w:pos="58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PSU Award.</w:t>
      </w:r>
    </w:p>
    <w:p>
      <w:pPr>
        <w:spacing w:after="0" w:line="199" w:lineRule="exact"/>
        <w:rPr>
          <w:rFonts w:ascii="Times New Roman" w:cs="Times New Roman" w:eastAsia="Times New Roman" w:hAnsi="Times New Roman"/>
          <w:sz w:val="20"/>
          <w:szCs w:val="20"/>
          <w:color w:val="auto"/>
        </w:rPr>
      </w:pPr>
    </w:p>
    <w:p>
      <w:pPr>
        <w:ind w:left="600" w:hanging="328"/>
        <w:spacing w:after="0" w:line="283" w:lineRule="auto"/>
        <w:tabs>
          <w:tab w:leader="none" w:pos="58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PSU Award under the PSU Award Agreement is in full satisfaction of the Company’s obligations to you with respect to the “VWAP PSUs” (as defined in the Employment Agreement) provided under Section 4.5 of the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AIRSCULPT TECHNOLOGIES, INC.</w:t>
            </w:r>
          </w:p>
        </w:tc>
        <w:tc>
          <w:tcPr>
            <w:tcW w:w="360" w:type="dxa"/>
            <w:vAlign w:val="bottom"/>
          </w:tcPr>
          <w:p>
            <w:pPr>
              <w:spacing w:after="0"/>
              <w:rPr>
                <w:sz w:val="22"/>
                <w:szCs w:val="22"/>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PARTICIPANT:</w:t>
            </w:r>
          </w:p>
        </w:tc>
      </w:tr>
      <w:tr>
        <w:trPr>
          <w:trHeight w:val="56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Dennis Dean</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Yogesh Jashnani</w:t>
            </w:r>
          </w:p>
        </w:tc>
      </w:tr>
      <w:tr>
        <w:trPr>
          <w:trHeight w:val="21"/>
        </w:trPr>
        <w:tc>
          <w:tcPr>
            <w:tcW w:w="86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r>
      <w:tr>
        <w:trPr>
          <w:trHeight w:val="269"/>
        </w:trPr>
        <w:tc>
          <w:tcPr>
            <w:tcW w:w="860" w:type="dxa"/>
            <w:vAlign w:val="bottom"/>
          </w:tcPr>
          <w:p>
            <w:pPr>
              <w:spacing w:after="0"/>
              <w:rPr>
                <w:sz w:val="23"/>
                <w:szCs w:val="23"/>
                <w:color w:val="auto"/>
              </w:rPr>
            </w:pPr>
          </w:p>
        </w:tc>
        <w:tc>
          <w:tcPr>
            <w:tcW w:w="452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Signature</w:t>
            </w: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540" w:type="dxa"/>
            <w:vAlign w:val="bottom"/>
          </w:tcPr>
          <w:p>
            <w:pPr>
              <w:jc w:val="right"/>
              <w:ind w:right="1801"/>
              <w:spacing w:after="0"/>
              <w:rPr>
                <w:sz w:val="20"/>
                <w:szCs w:val="20"/>
                <w:color w:val="auto"/>
              </w:rPr>
            </w:pPr>
            <w:r>
              <w:rPr>
                <w:rFonts w:ascii="Times New Roman" w:cs="Times New Roman" w:eastAsia="Times New Roman" w:hAnsi="Times New Roman"/>
                <w:sz w:val="20"/>
                <w:szCs w:val="20"/>
                <w:color w:val="auto"/>
              </w:rPr>
              <w:t>Signature</w:t>
            </w:r>
          </w:p>
        </w:tc>
      </w:tr>
      <w:tr>
        <w:trPr>
          <w:trHeight w:val="29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c>
          <w:tcPr>
            <w:tcW w:w="36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w:t>
            </w:r>
          </w:p>
        </w:tc>
        <w:tc>
          <w:tcPr>
            <w:tcW w:w="4540" w:type="dxa"/>
            <w:vAlign w:val="bottom"/>
          </w:tcPr>
          <w:p>
            <w:pPr>
              <w:jc w:val="right"/>
              <w:ind w:right="3621"/>
              <w:spacing w:after="0"/>
              <w:rPr>
                <w:sz w:val="20"/>
                <w:szCs w:val="20"/>
                <w:color w:val="auto"/>
              </w:rPr>
            </w:pPr>
            <w:r>
              <w:rPr>
                <w:rFonts w:ascii="Times New Roman" w:cs="Times New Roman" w:eastAsia="Times New Roman" w:hAnsi="Times New Roman"/>
                <w:sz w:val="20"/>
                <w:szCs w:val="20"/>
                <w:color w:val="auto"/>
                <w:w w:val="98"/>
              </w:rPr>
              <w:t>3/15/2025</w:t>
            </w:r>
          </w:p>
        </w:tc>
      </w:tr>
      <w:tr>
        <w:trPr>
          <w:trHeight w:val="21"/>
        </w:trPr>
        <w:tc>
          <w:tcPr>
            <w:tcW w:w="86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r>
      <w:tr>
        <w:trPr>
          <w:trHeight w:val="52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3/15/2025</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1"/>
        </w:trPr>
        <w:tc>
          <w:tcPr>
            <w:tcW w:w="86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bl>
    <w:p>
      <w:pPr>
        <w:sectPr>
          <w:pgSz w:w="11900" w:h="16838" w:orient="portrait"/>
          <w:cols w:equalWidth="0" w:num="1">
            <w:col w:w="11180"/>
          </w:cols>
          <w:pgMar w:left="380" w:top="144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2"/>
          <w:szCs w:val="22"/>
          <w:b w:val="1"/>
          <w:bCs w:val="1"/>
          <w:color w:val="auto"/>
        </w:rPr>
        <w:t>AIRSCULPT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reflected by your PSU Award Grant Notice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AirSculpt Technologies,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you a PSU Award under the AirSculpt Technologies, Inc. 2021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xml:space="preserve">”),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for the number of performance stock units as indicated in your Grant Notice (the “</w:t>
      </w:r>
      <w:r>
        <w:rPr>
          <w:rFonts w:ascii="Times New Roman" w:cs="Times New Roman" w:eastAsia="Times New Roman" w:hAnsi="Times New Roman"/>
          <w:sz w:val="20"/>
          <w:szCs w:val="20"/>
          <w:b w:val="1"/>
          <w:bCs w:val="1"/>
          <w:i w:val="1"/>
          <w:iCs w:val="1"/>
          <w:color w:val="auto"/>
        </w:rPr>
        <w:t>PSU Award</w:t>
      </w:r>
      <w:r>
        <w:rPr>
          <w:rFonts w:ascii="Times New Roman" w:cs="Times New Roman" w:eastAsia="Times New Roman" w:hAnsi="Times New Roman"/>
          <w:sz w:val="20"/>
          <w:szCs w:val="20"/>
          <w:color w:val="auto"/>
        </w:rPr>
        <w:t>”). The terms of your PSU Award as specified in this Award Agreement for your PSU Award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and the Grant Notice constitute your “</w:t>
      </w:r>
      <w:r>
        <w:rPr>
          <w:rFonts w:ascii="Times New Roman" w:cs="Times New Roman" w:eastAsia="Times New Roman" w:hAnsi="Times New Roman"/>
          <w:sz w:val="20"/>
          <w:szCs w:val="20"/>
          <w:b w:val="1"/>
          <w:bCs w:val="1"/>
          <w:i w:val="1"/>
          <w:iCs w:val="1"/>
          <w:color w:val="auto"/>
        </w:rPr>
        <w:t>PSU Award Agreement</w:t>
      </w:r>
      <w:r>
        <w:rPr>
          <w:rFonts w:ascii="Times New Roman" w:cs="Times New Roman" w:eastAsia="Times New Roman" w:hAnsi="Times New Roman"/>
          <w:sz w:val="20"/>
          <w:szCs w:val="20"/>
          <w:color w:val="auto"/>
        </w:rPr>
        <w:t>”. Defined terms not explicitly defined in this Agreement but defined in the Grant Notice or the Plan shall have the same definitions as in the Grant Notice or Plan, as applicable.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general terms applicable to your PSU Award are as follows:</w:t>
      </w:r>
    </w:p>
    <w:p>
      <w:pPr>
        <w:spacing w:after="0" w:line="225" w:lineRule="exact"/>
        <w:rPr>
          <w:sz w:val="20"/>
          <w:szCs w:val="20"/>
          <w:color w:val="auto"/>
        </w:rPr>
      </w:pPr>
    </w:p>
    <w:p>
      <w:pPr>
        <w:ind w:left="340" w:hanging="8"/>
        <w:spacing w:after="0" w:line="273" w:lineRule="auto"/>
        <w:tabs>
          <w:tab w:leader="none" w:pos="66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GOVERNING PLAN DOCUMENT. </w:t>
      </w:r>
      <w:r>
        <w:rPr>
          <w:rFonts w:ascii="Times New Roman" w:cs="Times New Roman" w:eastAsia="Times New Roman" w:hAnsi="Times New Roman"/>
          <w:sz w:val="20"/>
          <w:szCs w:val="20"/>
          <w:color w:val="auto"/>
        </w:rPr>
        <w:t>Your PSU Award is subject to all the provisions of the Plan, including but not limited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in:</w:t>
      </w:r>
    </w:p>
    <w:p>
      <w:pPr>
        <w:spacing w:after="0" w:line="196" w:lineRule="exact"/>
        <w:rPr>
          <w:rFonts w:ascii="Times New Roman" w:cs="Times New Roman" w:eastAsia="Times New Roman" w:hAnsi="Times New Roman"/>
          <w:sz w:val="20"/>
          <w:szCs w:val="20"/>
          <w:color w:val="auto"/>
        </w:rPr>
      </w:pPr>
    </w:p>
    <w:p>
      <w:pPr>
        <w:ind w:left="980"/>
        <w:spacing w:after="0" w:line="283" w:lineRule="auto"/>
        <w:tabs>
          <w:tab w:leader="none" w:pos="1294"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 of the Plan regarding the impact of a Capitalization Adjustment, dissolution, liquidation, or Corporate Transaction on your PSU Award;</w:t>
      </w:r>
    </w:p>
    <w:p>
      <w:pPr>
        <w:spacing w:after="0" w:line="173" w:lineRule="exact"/>
        <w:rPr>
          <w:rFonts w:ascii="Times New Roman" w:cs="Times New Roman" w:eastAsia="Times New Roman" w:hAnsi="Times New Roman"/>
          <w:sz w:val="20"/>
          <w:szCs w:val="20"/>
          <w:color w:val="auto"/>
        </w:rPr>
      </w:pPr>
    </w:p>
    <w:p>
      <w:pPr>
        <w:ind w:left="980"/>
        <w:spacing w:after="0" w:line="283" w:lineRule="auto"/>
        <w:tabs>
          <w:tab w:leader="none" w:pos="1292"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9(e) of the Plan regarding the Company’s retained rights to terminate your Continuous Service notwithstanding the grant of the PSU Award; and</w:t>
      </w:r>
    </w:p>
    <w:p>
      <w:pPr>
        <w:spacing w:after="0" w:line="17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8 of the Plan regarding the tax consequences of your PSU Award.</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Your PSU Award is further subject to all interpretations, amendments, rules and regulations, which may from time to time be promulgated and adopted pursuant to the Plan. In the event of any conflict between the PSU Award Agreement and the provisions of the Plan, the provisions of the Plan shall control.</w:t>
      </w:r>
    </w:p>
    <w:p>
      <w:pPr>
        <w:spacing w:after="0" w:line="177" w:lineRule="exact"/>
        <w:rPr>
          <w:sz w:val="20"/>
          <w:szCs w:val="20"/>
          <w:color w:val="auto"/>
        </w:rPr>
      </w:pPr>
    </w:p>
    <w:p>
      <w:pPr>
        <w:jc w:val="both"/>
        <w:ind w:left="660" w:hanging="328"/>
        <w:spacing w:after="0" w:line="252" w:lineRule="auto"/>
        <w:tabs>
          <w:tab w:leader="none" w:pos="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GRANT OF THE PSU AWARD. </w:t>
      </w:r>
      <w:r>
        <w:rPr>
          <w:rFonts w:ascii="Times New Roman" w:cs="Times New Roman" w:eastAsia="Times New Roman" w:hAnsi="Times New Roman"/>
          <w:sz w:val="20"/>
          <w:szCs w:val="20"/>
          <w:color w:val="auto"/>
        </w:rPr>
        <w:t>This PSU Award represents your right to be issued on a future date the number of shares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Common Stock that is equal to the number of performance stock units indicated in the Grant Notice as modified to reflect any Capitalization Adjustment and subject to your satisfaction of the Performance Goals (the “</w:t>
      </w:r>
      <w:r>
        <w:rPr>
          <w:rFonts w:ascii="Times New Roman" w:cs="Times New Roman" w:eastAsia="Times New Roman" w:hAnsi="Times New Roman"/>
          <w:sz w:val="20"/>
          <w:szCs w:val="20"/>
          <w:b w:val="1"/>
          <w:bCs w:val="1"/>
          <w:i w:val="1"/>
          <w:iCs w:val="1"/>
          <w:color w:val="auto"/>
        </w:rPr>
        <w:t>Performance Stock Units</w:t>
      </w:r>
      <w:r>
        <w:rPr>
          <w:rFonts w:ascii="Times New Roman" w:cs="Times New Roman" w:eastAsia="Times New Roman" w:hAnsi="Times New Roman"/>
          <w:sz w:val="20"/>
          <w:szCs w:val="20"/>
          <w:color w:val="auto"/>
        </w:rPr>
        <w:t>”). Any additional Performance Stock Units that become subject to the PSU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Performance Stock Units covered by your PSU Award.</w:t>
      </w:r>
    </w:p>
    <w:p>
      <w:pPr>
        <w:spacing w:after="0" w:line="213" w:lineRule="exact"/>
        <w:rPr>
          <w:rFonts w:ascii="Times New Roman" w:cs="Times New Roman" w:eastAsia="Times New Roman" w:hAnsi="Times New Roman"/>
          <w:sz w:val="20"/>
          <w:szCs w:val="20"/>
          <w:color w:val="auto"/>
        </w:rPr>
      </w:pPr>
    </w:p>
    <w:p>
      <w:pPr>
        <w:jc w:val="both"/>
        <w:ind w:left="660" w:hanging="328"/>
        <w:spacing w:after="0" w:line="260" w:lineRule="auto"/>
        <w:tabs>
          <w:tab w:leader="none" w:pos="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DIVIDEND EQUIVALENTS. </w:t>
      </w:r>
      <w:r>
        <w:rPr>
          <w:rFonts w:ascii="Times New Roman" w:cs="Times New Roman" w:eastAsia="Times New Roman" w:hAnsi="Times New Roman"/>
          <w:sz w:val="20"/>
          <w:szCs w:val="20"/>
          <w:color w:val="auto"/>
        </w:rPr>
        <w:t>If cash dividends or other cash distributions are paid in respect of the shares of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underlying unvested Performance Stock Units, then a dividend equivalent equal to the amount paid in respect of one share of Common Stock shall accumulate and be paid with respect to each unvested Performance Stock Unit at time of settlement; provided that any dividend equivalent rights granted shall be subject to the same vesting terms as the related Performance Stock Units.</w:t>
      </w:r>
    </w:p>
    <w:p>
      <w:pPr>
        <w:spacing w:after="0" w:line="191" w:lineRule="exact"/>
        <w:rPr>
          <w:rFonts w:ascii="Times New Roman" w:cs="Times New Roman" w:eastAsia="Times New Roman" w:hAnsi="Times New Roman"/>
          <w:sz w:val="20"/>
          <w:szCs w:val="20"/>
          <w:color w:val="auto"/>
        </w:rPr>
      </w:pPr>
    </w:p>
    <w:p>
      <w:pPr>
        <w:ind w:left="660" w:hanging="328"/>
        <w:spacing w:after="0" w:line="287" w:lineRule="auto"/>
        <w:tabs>
          <w:tab w:leader="none" w:pos="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WITHHOLDING OBLIGATIONS. </w:t>
      </w:r>
      <w:r>
        <w:rPr>
          <w:rFonts w:ascii="Times New Roman" w:cs="Times New Roman" w:eastAsia="Times New Roman" w:hAnsi="Times New Roman"/>
          <w:sz w:val="20"/>
          <w:szCs w:val="20"/>
          <w:color w:val="auto"/>
        </w:rPr>
        <w:t>As further provided in Section 8 of the Plan, you hereby authorize withholding from payroll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any other amounts payable to you, and otherwise agree to</w:t>
      </w:r>
    </w:p>
    <w:p>
      <w:pPr>
        <w:sectPr>
          <w:pgSz w:w="11900" w:h="16838" w:orient="portrait"/>
          <w:cols w:equalWidth="0" w:num="1">
            <w:col w:w="11240"/>
          </w:cols>
          <w:pgMar w:left="320" w:top="1418" w:right="339" w:bottom="1440" w:gutter="0" w:footer="0" w:header="0"/>
        </w:sectPr>
      </w:pPr>
    </w:p>
    <w:bookmarkStart w:id="53" w:name="page54"/>
    <w:bookmarkEnd w:id="53"/>
    <w:p>
      <w:pPr>
        <w:jc w:val="both"/>
        <w:ind w:left="328"/>
        <w:spacing w:after="0" w:line="250" w:lineRule="auto"/>
        <w:rPr>
          <w:sz w:val="20"/>
          <w:szCs w:val="20"/>
          <w:color w:val="auto"/>
        </w:rPr>
      </w:pPr>
      <w:r>
        <w:rPr>
          <w:rFonts w:ascii="Times New Roman" w:cs="Times New Roman" w:eastAsia="Times New Roman" w:hAnsi="Times New Roman"/>
          <w:sz w:val="20"/>
          <w:szCs w:val="20"/>
          <w:color w:val="auto"/>
        </w:rPr>
        <w:t>make adequate provision for, any sums required to satisfy the federal, state, local and foreign tax withholding obligations, if any, which arise in connection with your PSU Award (the “</w:t>
      </w:r>
      <w:r>
        <w:rPr>
          <w:rFonts w:ascii="Times New Roman" w:cs="Times New Roman" w:eastAsia="Times New Roman" w:hAnsi="Times New Roman"/>
          <w:sz w:val="20"/>
          <w:szCs w:val="20"/>
          <w:b w:val="1"/>
          <w:bCs w:val="1"/>
          <w:i w:val="1"/>
          <w:iCs w:val="1"/>
          <w:color w:val="auto"/>
        </w:rPr>
        <w:t>Withholding Obligation</w:t>
      </w:r>
      <w:r>
        <w:rPr>
          <w:rFonts w:ascii="Times New Roman" w:cs="Times New Roman" w:eastAsia="Times New Roman" w:hAnsi="Times New Roman"/>
          <w:sz w:val="20"/>
          <w:szCs w:val="20"/>
          <w:color w:val="auto"/>
        </w:rPr>
        <w:t xml:space="preserve">”) in accordance with the withholding procedures established by the Company. For avoidance of doubt, via this Agreement, the Company hereby authorizes you to elect to satisfy all Withholding Obligation with respect to this PSU Award via share withholding;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Withholding Obligation may not be satisfied through share withholding upon settlement of any Performance Stock Units upon a material breach of the Loan Covenant, as described in the “Other Vesting Acceleration” provisions of the Grant Notice, if such share withholding would result in a further breach of the Loan Covenant. Unless the Withholding Obligation is satisfied, the Company shall have no obligation to deliver to you any Common Stock in respect of the PSU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223" w:lineRule="exact"/>
        <w:rPr>
          <w:sz w:val="20"/>
          <w:szCs w:val="20"/>
          <w:color w:val="auto"/>
        </w:rPr>
      </w:pPr>
    </w:p>
    <w:p>
      <w:pPr>
        <w:jc w:val="both"/>
        <w:ind w:left="328" w:hanging="328"/>
        <w:spacing w:after="0" w:line="252" w:lineRule="auto"/>
        <w:tabs>
          <w:tab w:leader="none" w:pos="32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RELEASE AGREEMENT</w:t>
      </w:r>
      <w:r>
        <w:rPr>
          <w:rFonts w:ascii="Times New Roman" w:cs="Times New Roman" w:eastAsia="Times New Roman" w:hAnsi="Times New Roman"/>
          <w:sz w:val="20"/>
          <w:szCs w:val="20"/>
          <w:color w:val="auto"/>
        </w:rPr>
        <w:t>. Any obligation of the Company to deliver to you shares of Common Stock in respect of 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Units that have vested due to the Qualifying Terminations provision of the Grant Notice, as a result of your termination of employment (or Continuous Service) or achievement of Performance Goal(s) after your termination of employment (or Continuous Service), is conditioned upon you delivering to the Company and not revoking a general release of all claims in the form attached to your employment agreement with the Company (the “</w:t>
      </w:r>
      <w:r>
        <w:rPr>
          <w:rFonts w:ascii="Times New Roman" w:cs="Times New Roman" w:eastAsia="Times New Roman" w:hAnsi="Times New Roman"/>
          <w:sz w:val="20"/>
          <w:szCs w:val="20"/>
          <w:b w:val="1"/>
          <w:bCs w:val="1"/>
          <w:i w:val="1"/>
          <w:iCs w:val="1"/>
          <w:color w:val="auto"/>
        </w:rPr>
        <w:t>Release Agreement</w:t>
      </w:r>
      <w:r>
        <w:rPr>
          <w:rFonts w:ascii="Times New Roman" w:cs="Times New Roman" w:eastAsia="Times New Roman" w:hAnsi="Times New Roman"/>
          <w:sz w:val="20"/>
          <w:szCs w:val="20"/>
          <w:color w:val="auto"/>
        </w:rPr>
        <w:t>”), within 60 days following your termination of employment (the “</w:t>
      </w:r>
      <w:r>
        <w:rPr>
          <w:rFonts w:ascii="Times New Roman" w:cs="Times New Roman" w:eastAsia="Times New Roman" w:hAnsi="Times New Roman"/>
          <w:sz w:val="20"/>
          <w:szCs w:val="20"/>
          <w:b w:val="1"/>
          <w:bCs w:val="1"/>
          <w:i w:val="1"/>
          <w:iCs w:val="1"/>
          <w:color w:val="auto"/>
        </w:rPr>
        <w:t>Release Period</w:t>
      </w:r>
      <w:r>
        <w:rPr>
          <w:rFonts w:ascii="Times New Roman" w:cs="Times New Roman" w:eastAsia="Times New Roman" w:hAnsi="Times New Roman"/>
          <w:sz w:val="20"/>
          <w:szCs w:val="20"/>
          <w:color w:val="auto"/>
        </w:rPr>
        <w:t>”). If the Release Agreement does not become fully effective and irrevocable prior to the expiration of the Release Period, all Performance Stock Units will be forfeited immediately, automatically and without consideration as of the date of your termination of employment (or, as applicable, Continuous Service).</w:t>
      </w:r>
    </w:p>
    <w:p>
      <w:pPr>
        <w:spacing w:after="0" w:line="201" w:lineRule="exact"/>
        <w:rPr>
          <w:rFonts w:ascii="Times New Roman" w:cs="Times New Roman" w:eastAsia="Times New Roman" w:hAnsi="Times New Roman"/>
          <w:sz w:val="20"/>
          <w:szCs w:val="20"/>
          <w:color w:val="auto"/>
        </w:rPr>
      </w:pPr>
    </w:p>
    <w:p>
      <w:pPr>
        <w:ind w:left="328" w:hanging="328"/>
        <w:spacing w:after="0"/>
        <w:tabs>
          <w:tab w:leader="none" w:pos="32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DATE OF ISSUANCE.</w:t>
      </w:r>
    </w:p>
    <w:p>
      <w:pPr>
        <w:spacing w:after="0" w:line="260" w:lineRule="exact"/>
        <w:rPr>
          <w:rFonts w:ascii="Times New Roman" w:cs="Times New Roman" w:eastAsia="Times New Roman" w:hAnsi="Times New Roman"/>
          <w:sz w:val="20"/>
          <w:szCs w:val="20"/>
          <w:color w:val="auto"/>
        </w:rPr>
      </w:pPr>
    </w:p>
    <w:p>
      <w:pPr>
        <w:jc w:val="both"/>
        <w:ind w:left="648"/>
        <w:spacing w:after="0" w:line="244" w:lineRule="auto"/>
        <w:tabs>
          <w:tab w:leader="none" w:pos="962"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shares in respect of the Performance Stock Units is intended to comply with Treasury Regulations Section 1.409A-1(b)(4) and will be construed and administered in such a manner. Subject to the satisfaction of the Withholding Obligation, if any, in the event that the Performance Goal(s) provided in the Grant Notice have been achieved and one or more Performance Stock Units vests, the Company shall issue to you one (1) share of Common Stock for each Performance Stock Unit that vests in the first calendar quarter of the calendar year immediately following the end of the Performance Period (and no later than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(subject to any adjustment under Section 3 above, and subject to any different provisions in the Grant Notice or in Section 5 above), subject to your continued employment with the Company on the Original Issuance Date (subject to the Qualifying Terminations provision of the Grant Notice). Each issuance date determined by this paragraph is referred to as an “</w:t>
      </w:r>
      <w:r>
        <w:rPr>
          <w:rFonts w:ascii="Times New Roman" w:cs="Times New Roman" w:eastAsia="Times New Roman" w:hAnsi="Times New Roman"/>
          <w:sz w:val="20"/>
          <w:szCs w:val="20"/>
          <w:b w:val="1"/>
          <w:bCs w:val="1"/>
          <w:i w:val="1"/>
          <w:iCs w:val="1"/>
          <w:color w:val="auto"/>
        </w:rPr>
        <w:t>Original Issuance Date</w:t>
      </w:r>
      <w:r>
        <w:rPr>
          <w:rFonts w:ascii="Times New Roman" w:cs="Times New Roman" w:eastAsia="Times New Roman" w:hAnsi="Times New Roman"/>
          <w:sz w:val="20"/>
          <w:szCs w:val="20"/>
          <w:color w:val="auto"/>
        </w:rPr>
        <w:t>.”</w:t>
      </w:r>
    </w:p>
    <w:p>
      <w:pPr>
        <w:spacing w:after="0" w:line="213" w:lineRule="exact"/>
        <w:rPr>
          <w:rFonts w:ascii="Times New Roman" w:cs="Times New Roman" w:eastAsia="Times New Roman" w:hAnsi="Times New Roman"/>
          <w:sz w:val="20"/>
          <w:szCs w:val="20"/>
          <w:color w:val="auto"/>
        </w:rPr>
      </w:pPr>
    </w:p>
    <w:p>
      <w:pPr>
        <w:ind w:left="648" w:right="20"/>
        <w:spacing w:after="0" w:line="283" w:lineRule="auto"/>
        <w:tabs>
          <w:tab w:leader="none" w:pos="96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Original Issuance Date falls on a date that is not a business day, delivery shall instead occur on the next following business day. In addition, </w:t>
      </w:r>
      <w:r>
        <w:rPr>
          <w:rFonts w:ascii="Times New Roman" w:cs="Times New Roman" w:eastAsia="Times New Roman" w:hAnsi="Times New Roman"/>
          <w:sz w:val="20"/>
          <w:szCs w:val="20"/>
          <w:u w:val="single" w:color="auto"/>
          <w:color w:val="auto"/>
        </w:rPr>
        <w:t>if</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jc w:val="both"/>
        <w:ind w:left="1628" w:hanging="170"/>
        <w:spacing w:after="0" w:line="268" w:lineRule="auto"/>
        <w:tabs>
          <w:tab w:leader="none" w:pos="2274" w:val="left"/>
        </w:tabs>
        <w:numPr>
          <w:ilvl w:val="2"/>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Original Issuance Date does not occur (1) during an “open window period” applicable to you, as determined by the Company in accordance with the Company’s then-effective policy on trading in Company securities, or (2) on a</w:t>
      </w:r>
    </w:p>
    <w:p>
      <w:pPr>
        <w:sectPr>
          <w:pgSz w:w="11900" w:h="16838" w:orient="portrait"/>
          <w:cols w:equalWidth="0" w:num="1">
            <w:col w:w="10908"/>
          </w:cols>
          <w:pgMar w:left="652" w:top="1413" w:right="339" w:bottom="1440" w:gutter="0" w:footer="0" w:header="0"/>
        </w:sectPr>
      </w:pPr>
    </w:p>
    <w:bookmarkStart w:id="54" w:name="page55"/>
    <w:bookmarkEnd w:id="54"/>
    <w:p>
      <w:pPr>
        <w:jc w:val="both"/>
        <w:ind w:left="1628"/>
        <w:spacing w:after="0" w:line="258" w:lineRule="auto"/>
        <w:rPr>
          <w:sz w:val="20"/>
          <w:szCs w:val="20"/>
          <w:color w:val="auto"/>
        </w:rPr>
      </w:pPr>
      <w:r>
        <w:rPr>
          <w:rFonts w:ascii="Times New Roman" w:cs="Times New Roman" w:eastAsia="Times New Roman" w:hAnsi="Times New Roman"/>
          <w:sz w:val="20"/>
          <w:szCs w:val="20"/>
          <w:color w:val="auto"/>
        </w:rPr>
        <w:t>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20"/>
          <w:szCs w:val="20"/>
          <w:b w:val="1"/>
          <w:bCs w:val="1"/>
          <w:i w:val="1"/>
          <w:iCs w:val="1"/>
          <w:color w:val="auto"/>
        </w:rPr>
        <w:t>10b5-1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Arrangement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and</w:t>
      </w:r>
    </w:p>
    <w:p>
      <w:pPr>
        <w:spacing w:after="0" w:line="199" w:lineRule="exact"/>
        <w:rPr>
          <w:sz w:val="20"/>
          <w:szCs w:val="20"/>
          <w:color w:val="auto"/>
        </w:rPr>
      </w:pPr>
    </w:p>
    <w:p>
      <w:pPr>
        <w:jc w:val="both"/>
        <w:ind w:left="1628" w:hanging="170"/>
        <w:spacing w:after="0" w:line="257" w:lineRule="auto"/>
        <w:tabs>
          <w:tab w:leader="none" w:pos="227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200" w:lineRule="exact"/>
        <w:rPr>
          <w:sz w:val="20"/>
          <w:szCs w:val="20"/>
          <w:color w:val="auto"/>
        </w:rPr>
      </w:pPr>
    </w:p>
    <w:p>
      <w:pPr>
        <w:jc w:val="both"/>
        <w:ind w:left="968"/>
        <w:spacing w:after="0" w:line="253" w:lineRule="auto"/>
        <w:rPr>
          <w:sz w:val="20"/>
          <w:szCs w:val="20"/>
          <w:color w:val="auto"/>
        </w:rPr>
      </w:pPr>
      <w:r>
        <w:rPr>
          <w:rFonts w:ascii="Times New Roman" w:cs="Times New Roman" w:eastAsia="Times New Roman" w:hAnsi="Times New Roman"/>
          <w:sz w:val="20"/>
          <w:szCs w:val="20"/>
          <w:u w:val="single" w:color="auto"/>
          <w:color w:val="auto"/>
        </w:rPr>
        <w:t>then</w:t>
      </w:r>
      <w:r>
        <w:rPr>
          <w:rFonts w:ascii="Times New Roman" w:cs="Times New Roman" w:eastAsia="Times New Roman" w:hAnsi="Times New Roman"/>
          <w:sz w:val="20"/>
          <w:szCs w:val="20"/>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20"/>
          <w:szCs w:val="20"/>
          <w:u w:val="single" w:color="auto"/>
          <w:color w:val="auto"/>
        </w:rPr>
        <w:t>if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and only if</w:t>
      </w:r>
      <w:r>
        <w:rPr>
          <w:rFonts w:ascii="Times New Roman" w:cs="Times New Roman" w:eastAsia="Times New Roman" w:hAnsi="Times New Roman"/>
          <w:sz w:val="20"/>
          <w:szCs w:val="20"/>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80" w:lineRule="exact"/>
        <w:rPr>
          <w:sz w:val="20"/>
          <w:szCs w:val="20"/>
          <w:color w:val="auto"/>
        </w:rPr>
      </w:pPr>
    </w:p>
    <w:p>
      <w:pPr>
        <w:ind w:left="968" w:hanging="320"/>
        <w:spacing w:after="0"/>
        <w:tabs>
          <w:tab w:leader="none" w:pos="96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 PSU Award is a Non-Exempt Award, the provisions of Section 11 of the Plan shall apply.</w:t>
      </w:r>
    </w:p>
    <w:p>
      <w:pPr>
        <w:spacing w:after="0" w:line="252" w:lineRule="exact"/>
        <w:rPr>
          <w:rFonts w:ascii="Times New Roman" w:cs="Times New Roman" w:eastAsia="Times New Roman" w:hAnsi="Times New Roman"/>
          <w:sz w:val="20"/>
          <w:szCs w:val="20"/>
          <w:color w:val="auto"/>
        </w:rPr>
      </w:pPr>
    </w:p>
    <w:p>
      <w:pPr>
        <w:jc w:val="both"/>
        <w:ind w:left="328" w:hanging="328"/>
        <w:spacing w:after="0" w:line="250" w:lineRule="auto"/>
        <w:tabs>
          <w:tab w:leader="none" w:pos="32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LOCK-UP-PERIOD</w:t>
      </w:r>
      <w:r>
        <w:rPr>
          <w:rFonts w:ascii="Times New Roman" w:cs="Times New Roman" w:eastAsia="Times New Roman" w:hAnsi="Times New Roman"/>
          <w:sz w:val="20"/>
          <w:szCs w:val="20"/>
          <w:color w:val="auto"/>
        </w:rPr>
        <w:t>. By accepting your PSU Award, you agree that you will not sell, dispose of, transfer, make any short sale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20"/>
          <w:szCs w:val="20"/>
          <w:b w:val="1"/>
          <w:bCs w:val="1"/>
          <w:i w:val="1"/>
          <w:iCs w:val="1"/>
          <w:color w:val="auto"/>
        </w:rPr>
        <w:t>Lock-Up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6. The underwriters of the Company’s stock are intended third party beneficiaries of this Section 6 and will have the right, power and authority to enforce the provisions hereof as though they were a party hereto.</w:t>
      </w:r>
    </w:p>
    <w:p>
      <w:pPr>
        <w:spacing w:after="0" w:line="206" w:lineRule="exact"/>
        <w:rPr>
          <w:rFonts w:ascii="Times New Roman" w:cs="Times New Roman" w:eastAsia="Times New Roman" w:hAnsi="Times New Roman"/>
          <w:sz w:val="20"/>
          <w:szCs w:val="20"/>
          <w:color w:val="auto"/>
        </w:rPr>
      </w:pPr>
    </w:p>
    <w:p>
      <w:pPr>
        <w:ind w:left="328" w:hanging="328"/>
        <w:spacing w:after="0" w:line="287" w:lineRule="auto"/>
        <w:tabs>
          <w:tab w:leader="none" w:pos="32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TRANSFERABILITY. </w:t>
      </w:r>
      <w:r>
        <w:rPr>
          <w:rFonts w:ascii="Times New Roman" w:cs="Times New Roman" w:eastAsia="Times New Roman" w:hAnsi="Times New Roman"/>
          <w:sz w:val="20"/>
          <w:szCs w:val="20"/>
          <w:color w:val="auto"/>
        </w:rPr>
        <w:t>Except as otherwise provided in the Plan, your PSU Award is not transferable, except by will or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laws of descent and distribution.</w:t>
      </w:r>
    </w:p>
    <w:p>
      <w:pPr>
        <w:sectPr>
          <w:pgSz w:w="11900" w:h="16838" w:orient="portrait"/>
          <w:cols w:equalWidth="0" w:num="1">
            <w:col w:w="10908"/>
          </w:cols>
          <w:pgMar w:left="652" w:top="1413" w:right="339" w:bottom="1440" w:gutter="0" w:footer="0" w:header="0"/>
        </w:sectPr>
      </w:pPr>
    </w:p>
    <w:bookmarkStart w:id="55" w:name="page56"/>
    <w:bookmarkEnd w:id="55"/>
    <w:p>
      <w:pPr>
        <w:spacing w:after="0" w:line="212" w:lineRule="exact"/>
        <w:rPr>
          <w:sz w:val="20"/>
          <w:szCs w:val="20"/>
          <w:color w:val="auto"/>
        </w:rPr>
      </w:pPr>
    </w:p>
    <w:p>
      <w:pPr>
        <w:jc w:val="both"/>
        <w:ind w:left="328" w:hanging="328"/>
        <w:spacing w:after="0" w:line="263" w:lineRule="auto"/>
        <w:tabs>
          <w:tab w:leader="none" w:pos="32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CORPORATE TRANSACTION. </w:t>
      </w:r>
      <w:r>
        <w:rPr>
          <w:rFonts w:ascii="Times New Roman" w:cs="Times New Roman" w:eastAsia="Times New Roman" w:hAnsi="Times New Roman"/>
          <w:sz w:val="20"/>
          <w:szCs w:val="20"/>
          <w:color w:val="auto"/>
        </w:rPr>
        <w:t>Your PSU Award is subject to the terms of any agreement governing a Corporate Transaction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involving the Company, including, without limitation, a provision for the appointment of a stockholder representative that is authorized to act on your behalf with respect to any escrow, indemnities and any contingent consideration.</w:t>
      </w:r>
    </w:p>
    <w:p>
      <w:pPr>
        <w:spacing w:after="0" w:line="202" w:lineRule="exact"/>
        <w:rPr>
          <w:rFonts w:ascii="Times New Roman" w:cs="Times New Roman" w:eastAsia="Times New Roman" w:hAnsi="Times New Roman"/>
          <w:sz w:val="20"/>
          <w:szCs w:val="20"/>
          <w:color w:val="auto"/>
        </w:rPr>
      </w:pPr>
    </w:p>
    <w:p>
      <w:pPr>
        <w:jc w:val="both"/>
        <w:ind w:left="328" w:hanging="328"/>
        <w:spacing w:after="0" w:line="278" w:lineRule="auto"/>
        <w:tabs>
          <w:tab w:leader="none" w:pos="319"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 LIABILITIES FOR TAXES</w:t>
      </w:r>
      <w:r>
        <w:rPr>
          <w:rFonts w:ascii="Times New Roman" w:cs="Times New Roman" w:eastAsia="Times New Roman" w:hAnsi="Times New Roman"/>
          <w:sz w:val="19"/>
          <w:szCs w:val="19"/>
          <w:color w:val="auto"/>
        </w:rPr>
        <w:t>. As a condition to accepting the PSU Award, you hereby (a) agree to not make any claim against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or any of its Officers, Directors, Employees or Affiliates related to tax liabilities arising from the PSU Award or other Company compensation and (b) acknowledge that you were advised to consult with your own personal tax, financial and other legal advisors regarding the tax consequences of the PSU Award and have either done so or knowingly and voluntarily declined to do so.</w:t>
      </w:r>
    </w:p>
    <w:p>
      <w:pPr>
        <w:spacing w:after="0" w:line="175" w:lineRule="exact"/>
        <w:rPr>
          <w:rFonts w:ascii="Times New Roman" w:cs="Times New Roman" w:eastAsia="Times New Roman" w:hAnsi="Times New Roman"/>
          <w:sz w:val="19"/>
          <w:szCs w:val="19"/>
          <w:color w:val="auto"/>
        </w:rPr>
      </w:pPr>
    </w:p>
    <w:p>
      <w:pPr>
        <w:jc w:val="both"/>
        <w:ind w:left="328" w:hanging="328"/>
        <w:spacing w:after="0" w:line="258" w:lineRule="auto"/>
        <w:tabs>
          <w:tab w:leader="none" w:pos="31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If any part of this Agreement or the Plan is declared by any court or governmental authority to be unlawful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94" w:lineRule="exact"/>
        <w:rPr>
          <w:rFonts w:ascii="Times New Roman" w:cs="Times New Roman" w:eastAsia="Times New Roman" w:hAnsi="Times New Roman"/>
          <w:sz w:val="20"/>
          <w:szCs w:val="20"/>
          <w:color w:val="auto"/>
        </w:rPr>
      </w:pPr>
    </w:p>
    <w:p>
      <w:pPr>
        <w:jc w:val="both"/>
        <w:ind w:left="328" w:hanging="328"/>
        <w:spacing w:after="0" w:line="263" w:lineRule="auto"/>
        <w:tabs>
          <w:tab w:leader="none" w:pos="31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OTHER DOCUMENTS. </w:t>
      </w:r>
      <w:r>
        <w:rPr>
          <w:rFonts w:ascii="Times New Roman" w:cs="Times New Roman" w:eastAsia="Times New Roman" w:hAnsi="Times New Roman"/>
          <w:sz w:val="20"/>
          <w:szCs w:val="20"/>
          <w:color w:val="auto"/>
        </w:rPr>
        <w:t>You hereby acknowledge receipt of or the right to receive a document providing the information required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Rule 428(b)(1) promulgated under the Securities Act, which includes the Prospectus. In addition, you acknowledge receipt of the Company’s Trading Policy.</w:t>
      </w:r>
    </w:p>
    <w:p>
      <w:pPr>
        <w:spacing w:after="0" w:line="202" w:lineRule="exact"/>
        <w:rPr>
          <w:rFonts w:ascii="Times New Roman" w:cs="Times New Roman" w:eastAsia="Times New Roman" w:hAnsi="Times New Roman"/>
          <w:sz w:val="20"/>
          <w:szCs w:val="20"/>
          <w:color w:val="auto"/>
        </w:rPr>
      </w:pPr>
    </w:p>
    <w:p>
      <w:pPr>
        <w:ind w:left="328" w:hanging="328"/>
        <w:spacing w:after="0" w:line="287" w:lineRule="auto"/>
        <w:tabs>
          <w:tab w:leader="none" w:pos="31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QUESTIONS. </w:t>
      </w:r>
      <w:r>
        <w:rPr>
          <w:rFonts w:ascii="Times New Roman" w:cs="Times New Roman" w:eastAsia="Times New Roman" w:hAnsi="Times New Roman"/>
          <w:sz w:val="20"/>
          <w:szCs w:val="20"/>
          <w:color w:val="auto"/>
        </w:rPr>
        <w:t>If you have questions regarding these or any other terms and conditions applicable to your PSU Award, including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summary of the applicable federal income tax consequences please see the Prospectus.</w:t>
      </w:r>
    </w:p>
    <w:p>
      <w:pPr>
        <w:sectPr>
          <w:pgSz w:w="11900" w:h="16838" w:orient="portrait"/>
          <w:cols w:equalWidth="0" w:num="1">
            <w:col w:w="10908"/>
          </w:cols>
          <w:pgMar w:left="652" w:top="1440" w:right="339" w:bottom="1440" w:gutter="0" w:footer="0" w:header="0"/>
        </w:sectPr>
      </w:pPr>
    </w:p>
    <w:bookmarkStart w:id="56" w:name="page57"/>
    <w:bookmarkEnd w:id="56"/>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2021 EQUITY INCENTIVE PLAN</w:t>
      </w:r>
    </w:p>
    <w:p>
      <w:pPr>
        <w:sectPr>
          <w:pgSz w:w="11900" w:h="16838" w:orient="portrait"/>
          <w:cols w:equalWidth="0" w:num="1">
            <w:col w:w="9019"/>
          </w:cols>
          <w:pgMar w:left="1440" w:top="1440"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4640"/>
        <w:spacing w:after="0" w:line="226"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Yogi Jashnani, certify that:</w:t>
      </w:r>
    </w:p>
    <w:p>
      <w:pPr>
        <w:spacing w:after="0" w:line="225"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AirSculpt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p>
      <w:pPr>
        <w:spacing w:after="0" w:line="175" w:lineRule="exact"/>
        <w:rPr>
          <w:sz w:val="20"/>
          <w:szCs w:val="20"/>
          <w:color w:val="auto"/>
        </w:rPr>
      </w:pPr>
    </w:p>
    <w:p>
      <w:pPr>
        <w:ind w:left="360"/>
        <w:spacing w:after="0"/>
        <w:tabs>
          <w:tab w:leader="none" w:pos="6860" w:val="left"/>
          <w:tab w:leader="none" w:pos="7260" w:val="left"/>
        </w:tabs>
        <w:rPr>
          <w:sz w:val="20"/>
          <w:szCs w:val="20"/>
          <w:color w:val="auto"/>
        </w:rPr>
      </w:pPr>
      <w:r>
        <w:rPr>
          <w:rFonts w:ascii="Times New Roman" w:cs="Times New Roman" w:eastAsia="Times New Roman" w:hAnsi="Times New Roman"/>
          <w:sz w:val="18"/>
          <w:szCs w:val="18"/>
          <w:color w:val="auto"/>
        </w:rPr>
        <w:t>Date: May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Yogi Jashnani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17145</wp:posOffset>
            </wp:positionV>
            <wp:extent cx="22631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Yogi Jashnani</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4640"/>
        <w:spacing w:after="0" w:line="226"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Dennis Dean, certify that:</w:t>
      </w:r>
    </w:p>
    <w:p>
      <w:pPr>
        <w:spacing w:after="0" w:line="225"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AirSculpt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p>
      <w:pPr>
        <w:spacing w:after="0" w:line="200" w:lineRule="exact"/>
        <w:rPr>
          <w:sz w:val="20"/>
          <w:szCs w:val="20"/>
          <w:color w:val="auto"/>
        </w:rPr>
      </w:pPr>
    </w:p>
    <w:p>
      <w:pPr>
        <w:spacing w:after="0" w:line="205" w:lineRule="exact"/>
        <w:rPr>
          <w:sz w:val="20"/>
          <w:szCs w:val="20"/>
          <w:color w:val="auto"/>
        </w:rPr>
      </w:pPr>
    </w:p>
    <w:p>
      <w:pPr>
        <w:ind w:left="360"/>
        <w:spacing w:after="0"/>
        <w:tabs>
          <w:tab w:leader="none" w:pos="7360" w:val="left"/>
          <w:tab w:leader="none" w:pos="7940" w:val="left"/>
        </w:tabs>
        <w:rPr>
          <w:sz w:val="20"/>
          <w:szCs w:val="20"/>
          <w:color w:val="auto"/>
        </w:rPr>
      </w:pPr>
      <w:r>
        <w:rPr>
          <w:rFonts w:ascii="Times New Roman" w:cs="Times New Roman" w:eastAsia="Times New Roman" w:hAnsi="Times New Roman"/>
          <w:sz w:val="18"/>
          <w:szCs w:val="18"/>
          <w:color w:val="auto"/>
        </w:rPr>
        <w:t>Date: May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17145</wp:posOffset>
            </wp:positionV>
            <wp:extent cx="18345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3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Dennis Dean</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AirSculpt Technologies, Inc. (the “Company”) on Form 10-Q for the period ended March 31, 2025, as filed with the Securities and Exchange Commission on the date hereof (the “Report”), the undersigned certifies, pursuant to 18 U.S.C. Sec.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59" w:lineRule="exact"/>
        <w:rPr>
          <w:sz w:val="20"/>
          <w:szCs w:val="20"/>
          <w:color w:val="auto"/>
        </w:rPr>
      </w:pPr>
    </w:p>
    <w:p>
      <w:pPr>
        <w:ind w:left="360"/>
        <w:spacing w:after="0"/>
        <w:tabs>
          <w:tab w:leader="none" w:pos="6940" w:val="left"/>
          <w:tab w:leader="none" w:pos="7480" w:val="left"/>
        </w:tabs>
        <w:rPr>
          <w:sz w:val="20"/>
          <w:szCs w:val="20"/>
          <w:color w:val="auto"/>
        </w:rPr>
      </w:pPr>
      <w:r>
        <w:rPr>
          <w:rFonts w:ascii="Times New Roman" w:cs="Times New Roman" w:eastAsia="Times New Roman" w:hAnsi="Times New Roman"/>
          <w:sz w:val="18"/>
          <w:szCs w:val="18"/>
          <w:color w:val="auto"/>
        </w:rPr>
        <w:t>Date: May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Yogi Jashnani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17145</wp:posOffset>
            </wp:positionV>
            <wp:extent cx="23914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23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Yogi Jashnani</w:t>
      </w:r>
    </w:p>
    <w:p>
      <w:pPr>
        <w:spacing w:after="0" w:line="2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AirSculpt Technologies, Inc. (the “Company”) on Form 10-Q for the period ended March 31, 2025, as filed with the Securities and Exchange Commission on the date hereof (the “Report”), the undersigned certifies, pursuant to 18 U.S.C. Sec.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7180" w:val="left"/>
        </w:tabs>
        <w:rPr>
          <w:sz w:val="20"/>
          <w:szCs w:val="20"/>
          <w:color w:val="auto"/>
        </w:rPr>
      </w:pPr>
      <w:r>
        <w:rPr>
          <w:rFonts w:ascii="Times New Roman" w:cs="Times New Roman" w:eastAsia="Times New Roman" w:hAnsi="Times New Roman"/>
          <w:sz w:val="18"/>
          <w:szCs w:val="18"/>
          <w:color w:val="auto"/>
        </w:rPr>
        <w:t>Date: May 2, 2025</w:t>
      </w:r>
      <w:r>
        <w:rPr>
          <w:sz w:val="20"/>
          <w:szCs w:val="20"/>
          <w:color w:val="auto"/>
        </w:rPr>
        <w:tab/>
      </w:r>
      <w:r>
        <w:rPr>
          <w:rFonts w:ascii="Times New Roman" w:cs="Times New Roman" w:eastAsia="Times New Roman" w:hAnsi="Times New Roman"/>
          <w:sz w:val="18"/>
          <w:szCs w:val="18"/>
          <w:color w:val="auto"/>
        </w:rPr>
        <w:t>By: /s/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831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3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Dennis Dean</w:t>
      </w:r>
    </w:p>
    <w:p>
      <w:pPr>
        <w:spacing w:after="0" w:line="23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upperLetter"/>
      <w:start w:val="1"/>
    </w:lvl>
    <w:lvl w:ilvl="1">
      <w:lvlJc w:val="left"/>
      <w:lvlText w:val="%2."/>
      <w:numFmt w:val="decimal"/>
      <w:start w:val="3"/>
    </w:lvl>
  </w:abstractNum>
  <w:abstractNum w:abstractNumId="11">
    <w:nsid w:val="2CA88611"/>
    <w:multiLevelType w:val="hybridMultilevel"/>
    <w:lvl w:ilvl="0">
      <w:lvlJc w:val="left"/>
      <w:lvlText w:val="%1."/>
      <w:numFmt w:val="upperLetter"/>
      <w:start w:val="2"/>
    </w:lvl>
    <w:lvl w:ilvl="1">
      <w:lvlJc w:val="left"/>
      <w:lvlText w:val="%2"/>
      <w:numFmt w:val="decimal"/>
      <w:start w:val="1"/>
    </w:lvl>
  </w:abstractNum>
  <w:abstractNum w:abstractNumId="12">
    <w:nsid w:val="836C40E"/>
    <w:multiLevelType w:val="hybridMultilevel"/>
    <w:lvl w:ilvl="0">
      <w:lvlJc w:val="left"/>
      <w:lvlText w:val="%1."/>
      <w:numFmt w:val="upperLetter"/>
      <w:start w:val="8"/>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lvl w:ilvl="3">
      <w:lvlJc w:val="left"/>
      <w:lvlText w:val="%4"/>
      <w:numFmt w:val="lowerLetter"/>
      <w:start w:val="1"/>
    </w:lvl>
  </w:abstractNum>
  <w:abstractNum w:abstractNumId="15">
    <w:nsid w:val="8138641"/>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6">
    <w:nsid w:val="1E7FF521"/>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3"/>
    </w:lvl>
    <w:lvl w:ilvl="3">
      <w:lvlJc w:val="left"/>
      <w:lvlText w:val="%4."/>
      <w:numFmt w:val="lowerLetter"/>
      <w:start w:val="1"/>
    </w:lvl>
  </w:abstractNum>
  <w:abstractNum w:abstractNumId="17">
    <w:nsid w:val="7C3DBD3D"/>
    <w:multiLevelType w:val="hybridMultilevel"/>
    <w:lvl w:ilvl="0">
      <w:lvlJc w:val="left"/>
      <w:lvlText w:val="%1"/>
      <w:numFmt w:val="lowerRoman"/>
      <w:start w:val="1"/>
    </w:lvl>
    <w:lvl w:ilvl="1">
      <w:lvlJc w:val="left"/>
      <w:lvlText w:val="%2."/>
      <w:numFmt w:val="lowerLetter"/>
      <w:start w:val="5"/>
    </w:lvl>
  </w:abstractNum>
  <w:abstractNum w:abstractNumId="18">
    <w:nsid w:val="737B8DDC"/>
    <w:multiLevelType w:val="hybridMultilevel"/>
    <w:lvl w:ilvl="0">
      <w:lvlJc w:val="left"/>
      <w:lvlText w:val="(%1)"/>
      <w:numFmt w:val="lowerRoman"/>
      <w:start w:val="1"/>
    </w:lvl>
    <w:lvl w:ilvl="1">
      <w:lvlJc w:val="left"/>
      <w:lvlText w:val="%2"/>
      <w:numFmt w:val="lowerLetter"/>
      <w:start w:val="1"/>
    </w:lvl>
  </w:abstractNum>
  <w:abstractNum w:abstractNumId="19">
    <w:nsid w:val="6CEAF087"/>
    <w:multiLevelType w:val="hybridMultilevel"/>
    <w:lvl w:ilvl="0">
      <w:lvlJc w:val="left"/>
      <w:lvlText w:val="%1."/>
      <w:numFmt w:val="decimal"/>
      <w:start w:val="4"/>
    </w:lvl>
    <w:lvl w:ilvl="1">
      <w:lvlJc w:val="left"/>
      <w:lvlText w:val="%2."/>
      <w:numFmt w:val="lowerLetter"/>
      <w:start w:val="1"/>
    </w:lvl>
  </w:abstractNum>
  <w:abstractNum w:abstractNumId="20">
    <w:nsid w:val="22221A70"/>
    <w:multiLevelType w:val="hybridMultilevel"/>
    <w:lvl w:ilvl="0">
      <w:lvlJc w:val="left"/>
      <w:lvlText w:val="%1."/>
      <w:numFmt w:val="decimal"/>
      <w:start w:val="10"/>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lvl w:ilvl="1">
      <w:lvlJc w:val="left"/>
      <w:lvlText w:val="(%2)"/>
      <w:numFmt w:val="lowerLetter"/>
      <w:start w:val="1"/>
    </w:lvl>
  </w:abstractNum>
  <w:abstractNum w:abstractNumId="24">
    <w:nsid w:val="419AC241"/>
    <w:multiLevelType w:val="hybridMultilevel"/>
    <w:lvl w:ilvl="0">
      <w:lvlJc w:val="left"/>
      <w:lvlText w:val="%1."/>
      <w:numFmt w:val="decimal"/>
      <w:start w:val="2"/>
    </w:lvl>
  </w:abstractNum>
  <w:abstractNum w:abstractNumId="25">
    <w:nsid w:val="5577F8E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6">
    <w:nsid w:val="440BADFC"/>
    <w:multiLevelType w:val="hybridMultilevel"/>
    <w:lvl w:ilvl="0">
      <w:lvlJc w:val="left"/>
      <w:lvlText w:val="(%1)"/>
      <w:numFmt w:val="lowerRoman"/>
      <w:start w:val="2"/>
    </w:lvl>
  </w:abstractNum>
  <w:abstractNum w:abstractNumId="27">
    <w:nsid w:val="5072367"/>
    <w:multiLevelType w:val="hybridMultilevel"/>
    <w:lvl w:ilvl="0">
      <w:lvlJc w:val="left"/>
      <w:lvlText w:val="%1"/>
      <w:numFmt w:val="decimal"/>
      <w:start w:val="1"/>
    </w:lvl>
    <w:lvl w:ilvl="1">
      <w:lvlJc w:val="left"/>
      <w:lvlText w:val="(%2)"/>
      <w:numFmt w:val="lowerLetter"/>
      <w:start w:val="3"/>
    </w:lvl>
  </w:abstractNum>
  <w:abstractNum w:abstractNumId="28">
    <w:nsid w:val="3804823E"/>
    <w:multiLevelType w:val="hybridMultilevel"/>
    <w:lvl w:ilvl="0">
      <w:lvlJc w:val="left"/>
      <w:lvlText w:val="%1."/>
      <w:numFmt w:val="decimal"/>
      <w:start w:val="7"/>
    </w:lvl>
    <w:lvl w:ilvl="1">
      <w:lvlJc w:val="left"/>
      <w:lvlText w:val="%2"/>
      <w:numFmt w:val="lowerLetter"/>
      <w:start w:val="1"/>
    </w:lvl>
  </w:abstractNum>
  <w:abstractNum w:abstractNumId="29">
    <w:nsid w:val="77465F01"/>
    <w:multiLevelType w:val="hybridMultilevel"/>
    <w:lvl w:ilvl="0">
      <w:lvlJc w:val="left"/>
      <w:lvlText w:val="%1."/>
      <w:numFmt w:val="decimal"/>
      <w:start w:val="10"/>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1"/>
    </w:lvl>
    <w:lvl w:ilvl="1">
      <w:lvlJc w:val="left"/>
      <w:lvlText w:val="(%2)"/>
      <w:numFmt w:val="lowerLetter"/>
      <w:start w:val="1"/>
    </w:lvl>
  </w:abstractNum>
  <w:abstractNum w:abstractNumId="34">
    <w:nsid w:val="51EAD36B"/>
    <w:multiLevelType w:val="hybridMultilevel"/>
    <w:lvl w:ilvl="0">
      <w:lvlJc w:val="left"/>
      <w:lvlText w:val="%1."/>
      <w:numFmt w:val="decimal"/>
      <w:start w:val="2"/>
    </w:lvl>
  </w:abstractNum>
  <w:abstractNum w:abstractNumId="35">
    <w:nsid w:val="2D517796"/>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36">
    <w:nsid w:val="580BD78F"/>
    <w:multiLevelType w:val="hybridMultilevel"/>
    <w:lvl w:ilvl="0">
      <w:lvlJc w:val="left"/>
      <w:lvlText w:val="(%1)"/>
      <w:numFmt w:val="lowerRoman"/>
      <w:start w:val="2"/>
    </w:lvl>
  </w:abstractNum>
  <w:abstractNum w:abstractNumId="37">
    <w:nsid w:val="153EA438"/>
    <w:multiLevelType w:val="hybridMultilevel"/>
    <w:lvl w:ilvl="0">
      <w:lvlJc w:val="left"/>
      <w:lvlText w:val="%1"/>
      <w:numFmt w:val="decimal"/>
      <w:start w:val="1"/>
    </w:lvl>
    <w:lvl w:ilvl="1">
      <w:lvlJc w:val="left"/>
      <w:lvlText w:val="(%2)"/>
      <w:numFmt w:val="lowerLetter"/>
      <w:start w:val="3"/>
    </w:lvl>
  </w:abstractNum>
  <w:abstractNum w:abstractNumId="38">
    <w:nsid w:val="3855585C"/>
    <w:multiLevelType w:val="hybridMultilevel"/>
    <w:lvl w:ilvl="0">
      <w:lvlJc w:val="left"/>
      <w:lvlText w:val="%1."/>
      <w:numFmt w:val="decimal"/>
      <w:start w:val="7"/>
    </w:lvl>
    <w:lvl w:ilvl="1">
      <w:lvlJc w:val="left"/>
      <w:lvlText w:val="%2"/>
      <w:numFmt w:val="lowerLetter"/>
      <w:start w:val="1"/>
    </w:lvl>
  </w:abstractNum>
  <w:abstractNum w:abstractNumId="39">
    <w:nsid w:val="70A64E2A"/>
    <w:multiLevelType w:val="hybridMultilevel"/>
    <w:lvl w:ilvl="0">
      <w:lvlJc w:val="left"/>
      <w:lvlText w:val="%1."/>
      <w:numFmt w:val="decimal"/>
      <w:start w:val="9"/>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2025-05-02T14:20:48Z</dcterms:created>
  <dcterms:modified xsi:type="dcterms:W3CDTF">2025-05-02T14:20:48Z</dcterms:modified>
</cp:coreProperties>
</file>