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March 31,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120" w:after="283"/>
        <w:jc w:val="center"/>
        <w:rPr/>
      </w:pPr>
      <w:r>
        <w:rPr>
          <w:rFonts w:ascii="Times New Roman;serif" w:hAnsi="Times New Roman;serif"/>
          <w:b/>
          <w:color w:val="000000"/>
          <w:sz w:val="18"/>
          <w:shd w:fill="FFFFFF" w:val="clear"/>
        </w:rPr>
        <w:t>For the transition period from __________ to __________</w:t>
      </w:r>
      <w:r>
        <w:rPr>
          <w:rFonts w:ascii="Times New Roman;serif" w:hAnsi="Times New Roman;serif"/>
          <w:b/>
          <w:color w:val="000000"/>
          <w:sz w:val="18"/>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001-40973</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AirSculpt Technologies,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87-1471855</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4181" w:type="dxa"/>
        <w:jc w:val="left"/>
        <w:tblInd w:w="0" w:type="dxa"/>
        <w:tblLayout w:type="fixed"/>
        <w:tblCellMar>
          <w:top w:w="28" w:type="dxa"/>
          <w:left w:w="28" w:type="dxa"/>
          <w:bottom w:w="28" w:type="dxa"/>
          <w:right w:w="28" w:type="dxa"/>
        </w:tblCellMar>
      </w:tblPr>
      <w:tblGrid>
        <w:gridCol w:w="1057"/>
        <w:gridCol w:w="932"/>
        <w:gridCol w:w="936"/>
        <w:gridCol w:w="109"/>
        <w:gridCol w:w="109"/>
        <w:gridCol w:w="109"/>
        <w:gridCol w:w="272"/>
        <w:gridCol w:w="272"/>
        <w:gridCol w:w="385"/>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1111 Lincoln Road, Suite 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Miami Beach, FL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33139</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pPr>
      <w:r>
        <w:rPr>
          <w:rFonts w:ascii="Times New Roman;serif" w:hAnsi="Times New Roman;serif"/>
          <w:b w:val="false"/>
          <w:color w:val="000000"/>
          <w:sz w:val="18"/>
        </w:rPr>
        <w:t>Registrant’s telephone number, including area code:</w:t>
      </w:r>
      <w:r>
        <w:rPr>
          <w:color w:val="000000"/>
        </w:rPr>
        <w:t xml:space="preserve"> </w:t>
      </w:r>
      <w:r>
        <w:rPr>
          <w:rFonts w:ascii="Times New Roman;serif" w:hAnsi="Times New Roman;serif"/>
          <w:b/>
          <w:color w:val="000000"/>
          <w:sz w:val="18"/>
        </w:rPr>
        <w:t>(786) 709-9690</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87"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x</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registrant had 70,545,681 shares of common stock outstanding as of May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12"/>
        <w:gridCol w:w="449"/>
        <w:gridCol w:w="449"/>
        <w:gridCol w:w="2825"/>
        <w:gridCol w:w="2687"/>
        <w:gridCol w:w="2709"/>
        <w:gridCol w:w="167"/>
        <w:gridCol w:w="167"/>
        <w:gridCol w:w="240"/>
      </w:tblGrid>
      <w:tr>
        <w:trPr/>
        <w:tc>
          <w:tcPr>
            <w:tcW w:w="5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76" w:before="0" w:after="40"/>
              <w:jc w:val="left"/>
              <w:rPr/>
            </w:pPr>
            <w:hyperlink w:anchor="i6e58094c1be64b70b98be49b27cda8bd_160">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66">
              <w:r>
                <w:rPr>
                  <w:rStyle w:val="InternetLink"/>
                  <w:rFonts w:ascii="Times New Roman;serif" w:hAnsi="Times New Roman;serif"/>
                  <w:b w:val="false"/>
                  <w:color w:val="0000FF"/>
                  <w:sz w:val="20"/>
                  <w:u w:val="single"/>
                </w:rPr>
                <w:t>Item 1.</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66">
              <w:r>
                <w:rPr>
                  <w:rStyle w:val="InternetLink"/>
                  <w:rFonts w:ascii="Times New Roman;serif" w:hAnsi="Times New Roman;serif"/>
                  <w:b w:val="false"/>
                  <w:color w:val="0000FF"/>
                  <w:sz w:val="20"/>
                  <w:u w:val="single"/>
                </w:rPr>
                <w:t>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66">
              <w:r>
                <w:rPr>
                  <w:rStyle w:val="InternetLink"/>
                  <w:rFonts w:ascii="Times New Roman;serif" w:hAnsi="Times New Roman;serif"/>
                  <w:b w:val="false"/>
                  <w:strike w:val="false"/>
                  <w:dstrike w:val="false"/>
                  <w:color w:val="000000"/>
                  <w:sz w:val="20"/>
                  <w:u w:val="none"/>
                  <w:effect w:val="none"/>
                </w:rPr>
                <w:t>2</w:t>
              </w:r>
            </w:hyperlink>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22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22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22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22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221"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75">
              <w:r>
                <w:rPr>
                  <w:rStyle w:val="InternetLink"/>
                  <w:rFonts w:ascii="Times New Roman;serif" w:hAnsi="Times New Roman;serif"/>
                  <w:b w:val="false"/>
                  <w:color w:val="000080"/>
                  <w:sz w:val="20"/>
                  <w:u w:val="single"/>
                </w:rPr>
                <w:t xml:space="preserve">Condensed Consolidated Balance Sheets as of </w:t>
              </w:r>
            </w:hyperlink>
            <w:hyperlink w:anchor="i6e58094c1be64b70b98be49b27cda8bd_175">
              <w:r>
                <w:rPr>
                  <w:rStyle w:val="InternetLink"/>
                  <w:rFonts w:ascii="Times New Roman;serif" w:hAnsi="Times New Roman;serif"/>
                  <w:b w:val="false"/>
                  <w:color w:val="000080"/>
                  <w:sz w:val="20"/>
                  <w:u w:val="single"/>
                </w:rPr>
                <w:t>March</w:t>
              </w:r>
            </w:hyperlink>
            <w:hyperlink w:anchor="i6e58094c1be64b70b98be49b27cda8bd_175">
              <w:r>
                <w:rPr>
                  <w:rStyle w:val="InternetLink"/>
                  <w:rFonts w:ascii="Times New Roman;serif" w:hAnsi="Times New Roman;serif"/>
                  <w:b w:val="false"/>
                  <w:color w:val="000080"/>
                  <w:sz w:val="20"/>
                  <w:u w:val="single"/>
                </w:rPr>
                <w:t xml:space="preserve"> 3</w:t>
              </w:r>
            </w:hyperlink>
            <w:hyperlink w:anchor="i6e58094c1be64b70b98be49b27cda8bd_175">
              <w:r>
                <w:rPr>
                  <w:rStyle w:val="InternetLink"/>
                  <w:rFonts w:ascii="Times New Roman;serif" w:hAnsi="Times New Roman;serif"/>
                  <w:b w:val="false"/>
                  <w:color w:val="000080"/>
                  <w:sz w:val="20"/>
                  <w:u w:val="single"/>
                </w:rPr>
                <w:t>1</w:t>
              </w:r>
            </w:hyperlink>
            <w:hyperlink w:anchor="i6e58094c1be64b70b98be49b27cda8bd_175">
              <w:r>
                <w:rPr>
                  <w:rStyle w:val="InternetLink"/>
                  <w:rFonts w:ascii="Times New Roman;serif" w:hAnsi="Times New Roman;serif"/>
                  <w:b w:val="false"/>
                  <w:color w:val="000080"/>
                  <w:sz w:val="20"/>
                  <w:u w:val="single"/>
                </w:rPr>
                <w:t>, 202</w:t>
              </w:r>
            </w:hyperlink>
            <w:hyperlink w:anchor="i6e58094c1be64b70b98be49b27cda8bd_175">
              <w:r>
                <w:rPr>
                  <w:rStyle w:val="InternetLink"/>
                  <w:rFonts w:ascii="Times New Roman;serif" w:hAnsi="Times New Roman;serif"/>
                  <w:b w:val="false"/>
                  <w:color w:val="000080"/>
                  <w:sz w:val="20"/>
                  <w:u w:val="single"/>
                </w:rPr>
                <w:t>6</w:t>
              </w:r>
            </w:hyperlink>
            <w:hyperlink w:anchor="i6e58094c1be64b70b98be49b27cda8bd_175">
              <w:r>
                <w:rPr>
                  <w:rStyle w:val="InternetLink"/>
                  <w:rFonts w:ascii="Times New Roman;serif" w:hAnsi="Times New Roman;serif"/>
                  <w:b w:val="false"/>
                  <w:color w:val="000080"/>
                  <w:sz w:val="20"/>
                  <w:u w:val="single"/>
                </w:rPr>
                <w:t xml:space="preserve"> (Unaudited) and December 31, 202</w:t>
              </w:r>
            </w:hyperlink>
            <w:r>
              <w:rPr>
                <w:rFonts w:ascii="Times New Roman;serif" w:hAnsi="Times New Roman;serif"/>
                <w:b w:val="false"/>
                <w:color w:val="000000"/>
                <w:sz w:val="20"/>
              </w:rPr>
              <w:t>5</w:t>
            </w:r>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75">
              <w:r>
                <w:rPr>
                  <w:rStyle w:val="InternetLink"/>
                  <w:rFonts w:ascii="Times New Roman;serif" w:hAnsi="Times New Roman;serif"/>
                  <w:b w:val="false"/>
                  <w:strike w:val="false"/>
                  <w:dstrike w:val="false"/>
                  <w:color w:val="000000"/>
                  <w:sz w:val="20"/>
                  <w:u w:val="none"/>
                  <w:effect w:val="none"/>
                </w:rPr>
                <w:t>2</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78">
              <w:r>
                <w:rPr>
                  <w:rStyle w:val="InternetLink"/>
                  <w:rFonts w:ascii="Times New Roman;serif" w:hAnsi="Times New Roman;serif"/>
                  <w:b w:val="false"/>
                  <w:color w:val="000080"/>
                  <w:sz w:val="20"/>
                  <w:u w:val="single"/>
                </w:rPr>
                <w:t>Condensed Consolidated Statements of Operations for the Three</w:t>
              </w:r>
            </w:hyperlink>
            <w:hyperlink w:anchor="i6e58094c1be64b70b98be49b27cda8bd_178">
              <w:r>
                <w:rPr>
                  <w:rStyle w:val="InternetLink"/>
                  <w:rFonts w:ascii="Times New Roman;serif" w:hAnsi="Times New Roman;serif"/>
                  <w:b w:val="false"/>
                  <w:color w:val="000080"/>
                  <w:sz w:val="20"/>
                  <w:u w:val="single"/>
                </w:rPr>
                <w:t xml:space="preserve"> </w:t>
              </w:r>
            </w:hyperlink>
            <w:hyperlink w:anchor="i6e58094c1be64b70b98be49b27cda8bd_178">
              <w:r>
                <w:rPr>
                  <w:rStyle w:val="InternetLink"/>
                  <w:rFonts w:ascii="Times New Roman;serif" w:hAnsi="Times New Roman;serif"/>
                  <w:b w:val="false"/>
                  <w:color w:val="000080"/>
                  <w:sz w:val="20"/>
                  <w:u w:val="single"/>
                </w:rPr>
                <w:t xml:space="preserve">Months Ended </w:t>
              </w:r>
            </w:hyperlink>
            <w:hyperlink w:anchor="i6e58094c1be64b70b98be49b27cda8bd_178">
              <w:r>
                <w:rPr>
                  <w:rStyle w:val="InternetLink"/>
                  <w:rFonts w:ascii="Times New Roman;serif" w:hAnsi="Times New Roman;serif"/>
                  <w:b w:val="false"/>
                  <w:color w:val="000080"/>
                  <w:sz w:val="20"/>
                  <w:u w:val="single"/>
                </w:rPr>
                <w:t>March</w:t>
              </w:r>
            </w:hyperlink>
            <w:hyperlink w:anchor="i6e58094c1be64b70b98be49b27cda8bd_178">
              <w:r>
                <w:rPr>
                  <w:rStyle w:val="InternetLink"/>
                  <w:rFonts w:ascii="Times New Roman;serif" w:hAnsi="Times New Roman;serif"/>
                  <w:b w:val="false"/>
                  <w:color w:val="000080"/>
                  <w:sz w:val="20"/>
                  <w:u w:val="single"/>
                </w:rPr>
                <w:t xml:space="preserve"> 3</w:t>
              </w:r>
            </w:hyperlink>
            <w:hyperlink w:anchor="i6e58094c1be64b70b98be49b27cda8bd_178">
              <w:r>
                <w:rPr>
                  <w:rStyle w:val="InternetLink"/>
                  <w:rFonts w:ascii="Times New Roman;serif" w:hAnsi="Times New Roman;serif"/>
                  <w:b w:val="false"/>
                  <w:color w:val="000080"/>
                  <w:sz w:val="20"/>
                  <w:u w:val="single"/>
                </w:rPr>
                <w:t>1</w:t>
              </w:r>
            </w:hyperlink>
            <w:hyperlink w:anchor="i6e58094c1be64b70b98be49b27cda8bd_178">
              <w:r>
                <w:rPr>
                  <w:rStyle w:val="InternetLink"/>
                  <w:rFonts w:ascii="Times New Roman;serif" w:hAnsi="Times New Roman;serif"/>
                  <w:b w:val="false"/>
                  <w:color w:val="000080"/>
                  <w:sz w:val="20"/>
                  <w:u w:val="single"/>
                </w:rPr>
                <w:t>, 202</w:t>
              </w:r>
            </w:hyperlink>
            <w:hyperlink w:anchor="i6e58094c1be64b70b98be49b27cda8bd_178">
              <w:r>
                <w:rPr>
                  <w:rStyle w:val="InternetLink"/>
                  <w:rFonts w:ascii="Times New Roman;serif" w:hAnsi="Times New Roman;serif"/>
                  <w:b w:val="false"/>
                  <w:color w:val="000080"/>
                  <w:sz w:val="20"/>
                  <w:u w:val="single"/>
                </w:rPr>
                <w:t>6</w:t>
              </w:r>
            </w:hyperlink>
            <w:hyperlink w:anchor="i6e58094c1be64b70b98be49b27cda8bd_178">
              <w:r>
                <w:rPr>
                  <w:rStyle w:val="InternetLink"/>
                  <w:rFonts w:ascii="Times New Roman;serif" w:hAnsi="Times New Roman;serif"/>
                  <w:b w:val="false"/>
                  <w:color w:val="000080"/>
                  <w:sz w:val="20"/>
                  <w:u w:val="single"/>
                </w:rPr>
                <w:t xml:space="preserve"> and 202</w:t>
              </w:r>
            </w:hyperlink>
            <w:hyperlink w:anchor="i6e58094c1be64b70b98be49b27cda8bd_178">
              <w:r>
                <w:rPr>
                  <w:rStyle w:val="InternetLink"/>
                  <w:rFonts w:ascii="Times New Roman;serif" w:hAnsi="Times New Roman;serif"/>
                  <w:b w:val="false"/>
                  <w:color w:val="000080"/>
                  <w:sz w:val="20"/>
                  <w:u w:val="single"/>
                </w:rPr>
                <w:t>5</w:t>
              </w:r>
            </w:hyperlink>
            <w:hyperlink w:anchor="i6e58094c1be64b70b98be49b27cda8bd_178">
              <w:r>
                <w:rPr>
                  <w:rStyle w:val="InternetLink"/>
                  <w:rFonts w:ascii="Times New Roman;serif" w:hAnsi="Times New Roman;serif"/>
                  <w:b w:val="false"/>
                  <w:color w:val="000080"/>
                  <w:sz w:val="20"/>
                  <w:u w:val="singl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78">
              <w:r>
                <w:rPr>
                  <w:rStyle w:val="InternetLink"/>
                  <w:rFonts w:ascii="Times New Roman;serif" w:hAnsi="Times New Roman;serif"/>
                  <w:b w:val="false"/>
                  <w:strike w:val="false"/>
                  <w:dstrike w:val="false"/>
                  <w:color w:val="000000"/>
                  <w:sz w:val="20"/>
                  <w:u w:val="none"/>
                  <w:effect w:val="none"/>
                </w:rPr>
                <w:t>3</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81">
              <w:r>
                <w:rPr>
                  <w:rStyle w:val="InternetLink"/>
                  <w:rFonts w:ascii="Times New Roman;serif" w:hAnsi="Times New Roman;serif"/>
                  <w:b w:val="false"/>
                  <w:color w:val="000080"/>
                  <w:sz w:val="20"/>
                  <w:u w:val="single"/>
                </w:rPr>
                <w:t>Condensed Consolidated Statements of Other Comprehensive Loss for the Three</w:t>
              </w:r>
            </w:hyperlink>
            <w:hyperlink w:anchor="i6e58094c1be64b70b98be49b27cda8bd_181">
              <w:r>
                <w:rPr>
                  <w:rStyle w:val="InternetLink"/>
                  <w:rFonts w:ascii="Times New Roman;serif" w:hAnsi="Times New Roman;serif"/>
                  <w:b w:val="false"/>
                  <w:color w:val="000080"/>
                  <w:sz w:val="20"/>
                  <w:u w:val="single"/>
                </w:rPr>
                <w:t xml:space="preserve"> Months Ended </w:t>
              </w:r>
            </w:hyperlink>
            <w:hyperlink w:anchor="i6e58094c1be64b70b98be49b27cda8bd_181">
              <w:r>
                <w:rPr>
                  <w:rStyle w:val="InternetLink"/>
                  <w:rFonts w:ascii="Times New Roman;serif" w:hAnsi="Times New Roman;serif"/>
                  <w:b w:val="false"/>
                  <w:color w:val="000080"/>
                  <w:sz w:val="20"/>
                  <w:u w:val="single"/>
                </w:rPr>
                <w:t>March</w:t>
              </w:r>
            </w:hyperlink>
            <w:hyperlink w:anchor="i6e58094c1be64b70b98be49b27cda8bd_181">
              <w:r>
                <w:rPr>
                  <w:rStyle w:val="InternetLink"/>
                  <w:rFonts w:ascii="Times New Roman;serif" w:hAnsi="Times New Roman;serif"/>
                  <w:b w:val="false"/>
                  <w:color w:val="000080"/>
                  <w:sz w:val="20"/>
                  <w:u w:val="single"/>
                </w:rPr>
                <w:t xml:space="preserve"> 3</w:t>
              </w:r>
            </w:hyperlink>
            <w:hyperlink w:anchor="i6e58094c1be64b70b98be49b27cda8bd_181">
              <w:r>
                <w:rPr>
                  <w:rStyle w:val="InternetLink"/>
                  <w:rFonts w:ascii="Times New Roman;serif" w:hAnsi="Times New Roman;serif"/>
                  <w:b w:val="false"/>
                  <w:color w:val="000080"/>
                  <w:sz w:val="20"/>
                  <w:u w:val="single"/>
                </w:rPr>
                <w:t>1</w:t>
              </w:r>
            </w:hyperlink>
            <w:hyperlink w:anchor="i6e58094c1be64b70b98be49b27cda8bd_181">
              <w:r>
                <w:rPr>
                  <w:rStyle w:val="InternetLink"/>
                  <w:rFonts w:ascii="Times New Roman;serif" w:hAnsi="Times New Roman;serif"/>
                  <w:b w:val="false"/>
                  <w:color w:val="000080"/>
                  <w:sz w:val="20"/>
                  <w:u w:val="single"/>
                </w:rPr>
                <w:t>, 202</w:t>
              </w:r>
            </w:hyperlink>
            <w:hyperlink w:anchor="i6e58094c1be64b70b98be49b27cda8bd_181">
              <w:r>
                <w:rPr>
                  <w:rStyle w:val="InternetLink"/>
                  <w:rFonts w:ascii="Times New Roman;serif" w:hAnsi="Times New Roman;serif"/>
                  <w:b w:val="false"/>
                  <w:color w:val="000080"/>
                  <w:sz w:val="20"/>
                  <w:u w:val="single"/>
                </w:rPr>
                <w:t>6</w:t>
              </w:r>
            </w:hyperlink>
            <w:hyperlink w:anchor="i6e58094c1be64b70b98be49b27cda8bd_181">
              <w:r>
                <w:rPr>
                  <w:rStyle w:val="InternetLink"/>
                  <w:rFonts w:ascii="Times New Roman;serif" w:hAnsi="Times New Roman;serif"/>
                  <w:b w:val="false"/>
                  <w:color w:val="000080"/>
                  <w:sz w:val="20"/>
                  <w:u w:val="single"/>
                </w:rPr>
                <w:t xml:space="preserve"> and 202</w:t>
              </w:r>
            </w:hyperlink>
            <w:hyperlink w:anchor="i6e58094c1be64b70b98be49b27cda8bd_181">
              <w:r>
                <w:rPr>
                  <w:rStyle w:val="InternetLink"/>
                  <w:rFonts w:ascii="Times New Roman;serif" w:hAnsi="Times New Roman;serif"/>
                  <w:b w:val="false"/>
                  <w:color w:val="000080"/>
                  <w:sz w:val="20"/>
                  <w:u w:val="single"/>
                </w:rPr>
                <w:t>5</w:t>
              </w:r>
            </w:hyperlink>
            <w:hyperlink w:anchor="i6e58094c1be64b70b98be49b27cda8bd_181">
              <w:r>
                <w:rPr>
                  <w:rStyle w:val="InternetLink"/>
                  <w:rFonts w:ascii="Times New Roman;serif" w:hAnsi="Times New Roman;serif"/>
                  <w:b w:val="false"/>
                  <w:color w:val="000080"/>
                  <w:sz w:val="20"/>
                  <w:u w:val="singl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81">
              <w:r>
                <w:rPr>
                  <w:rStyle w:val="InternetLink"/>
                  <w:rFonts w:ascii="Times New Roman;serif" w:hAnsi="Times New Roman;serif"/>
                  <w:b w:val="false"/>
                  <w:strike w:val="false"/>
                  <w:dstrike w:val="false"/>
                  <w:color w:val="000000"/>
                  <w:sz w:val="20"/>
                  <w:u w:val="none"/>
                  <w:effect w:val="none"/>
                </w:rPr>
                <w:t>4</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87">
              <w:r>
                <w:rPr>
                  <w:rStyle w:val="InternetLink"/>
                  <w:rFonts w:ascii="Times New Roman;serif" w:hAnsi="Times New Roman;serif"/>
                  <w:b w:val="false"/>
                  <w:color w:val="000080"/>
                  <w:sz w:val="20"/>
                  <w:u w:val="single"/>
                </w:rPr>
                <w:t>Condensed Consolidated Statements of Changes in Stockholders' Equity for the Three</w:t>
              </w:r>
            </w:hyperlink>
            <w:hyperlink w:anchor="i6e58094c1be64b70b98be49b27cda8bd_187">
              <w:r>
                <w:rPr>
                  <w:rStyle w:val="InternetLink"/>
                  <w:rFonts w:ascii="Times New Roman;serif" w:hAnsi="Times New Roman;serif"/>
                  <w:b w:val="false"/>
                  <w:color w:val="000080"/>
                  <w:sz w:val="20"/>
                  <w:u w:val="single"/>
                </w:rPr>
                <w:t xml:space="preserve"> Months Ended </w:t>
              </w:r>
            </w:hyperlink>
            <w:hyperlink w:anchor="i6e58094c1be64b70b98be49b27cda8bd_187">
              <w:r>
                <w:rPr>
                  <w:rStyle w:val="InternetLink"/>
                  <w:rFonts w:ascii="Times New Roman;serif" w:hAnsi="Times New Roman;serif"/>
                  <w:b w:val="false"/>
                  <w:color w:val="000080"/>
                  <w:sz w:val="20"/>
                  <w:u w:val="single"/>
                </w:rPr>
                <w:t xml:space="preserve">March </w:t>
              </w:r>
            </w:hyperlink>
            <w:hyperlink w:anchor="i6e58094c1be64b70b98be49b27cda8bd_187">
              <w:r>
                <w:rPr>
                  <w:rStyle w:val="InternetLink"/>
                  <w:rFonts w:ascii="Times New Roman;serif" w:hAnsi="Times New Roman;serif"/>
                  <w:b w:val="false"/>
                  <w:color w:val="000080"/>
                  <w:sz w:val="20"/>
                  <w:u w:val="single"/>
                </w:rPr>
                <w:t>3</w:t>
              </w:r>
            </w:hyperlink>
            <w:hyperlink w:anchor="i6e58094c1be64b70b98be49b27cda8bd_187">
              <w:r>
                <w:rPr>
                  <w:rStyle w:val="InternetLink"/>
                  <w:rFonts w:ascii="Times New Roman;serif" w:hAnsi="Times New Roman;serif"/>
                  <w:b w:val="false"/>
                  <w:color w:val="000080"/>
                  <w:sz w:val="20"/>
                  <w:u w:val="single"/>
                </w:rPr>
                <w:t>1</w:t>
              </w:r>
            </w:hyperlink>
            <w:hyperlink w:anchor="i6e58094c1be64b70b98be49b27cda8bd_187">
              <w:r>
                <w:rPr>
                  <w:rStyle w:val="InternetLink"/>
                  <w:rFonts w:ascii="Times New Roman;serif" w:hAnsi="Times New Roman;serif"/>
                  <w:b w:val="false"/>
                  <w:color w:val="000080"/>
                  <w:sz w:val="20"/>
                  <w:u w:val="single"/>
                </w:rPr>
                <w:t>, 202</w:t>
              </w:r>
            </w:hyperlink>
            <w:hyperlink w:anchor="i6e58094c1be64b70b98be49b27cda8bd_187">
              <w:r>
                <w:rPr>
                  <w:rStyle w:val="InternetLink"/>
                  <w:rFonts w:ascii="Times New Roman;serif" w:hAnsi="Times New Roman;serif"/>
                  <w:b w:val="false"/>
                  <w:color w:val="000080"/>
                  <w:sz w:val="20"/>
                  <w:u w:val="single"/>
                </w:rPr>
                <w:t>6</w:t>
              </w:r>
            </w:hyperlink>
            <w:hyperlink w:anchor="i6e58094c1be64b70b98be49b27cda8bd_187">
              <w:r>
                <w:rPr>
                  <w:rStyle w:val="InternetLink"/>
                  <w:rFonts w:ascii="Times New Roman;serif" w:hAnsi="Times New Roman;serif"/>
                  <w:b w:val="false"/>
                  <w:color w:val="000080"/>
                  <w:sz w:val="20"/>
                  <w:u w:val="single"/>
                </w:rPr>
                <w:t xml:space="preserve"> and 202</w:t>
              </w:r>
            </w:hyperlink>
            <w:hyperlink w:anchor="i6e58094c1be64b70b98be49b27cda8bd_187">
              <w:r>
                <w:rPr>
                  <w:rStyle w:val="InternetLink"/>
                  <w:rFonts w:ascii="Times New Roman;serif" w:hAnsi="Times New Roman;serif"/>
                  <w:b w:val="false"/>
                  <w:color w:val="000080"/>
                  <w:sz w:val="20"/>
                  <w:u w:val="single"/>
                </w:rPr>
                <w:t>5</w:t>
              </w:r>
            </w:hyperlink>
            <w:hyperlink w:anchor="i6e58094c1be64b70b98be49b27cda8bd_187">
              <w:r>
                <w:rPr>
                  <w:rStyle w:val="InternetLink"/>
                  <w:rFonts w:ascii="Times New Roman;serif" w:hAnsi="Times New Roman;serif"/>
                  <w:b w:val="false"/>
                  <w:color w:val="000080"/>
                  <w:sz w:val="20"/>
                  <w:u w:val="singl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87">
              <w:r>
                <w:rPr>
                  <w:rStyle w:val="InternetLink"/>
                  <w:rFonts w:ascii="Times New Roman;serif" w:hAnsi="Times New Roman;serif"/>
                  <w:b w:val="false"/>
                  <w:strike w:val="false"/>
                  <w:dstrike w:val="false"/>
                  <w:color w:val="000000"/>
                  <w:sz w:val="20"/>
                  <w:u w:val="none"/>
                  <w:effect w:val="none"/>
                </w:rPr>
                <w:t>5</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58094c1be64b70b98be49b27cda8bd_190">
              <w:r>
                <w:rPr>
                  <w:rStyle w:val="InternetLink"/>
                  <w:rFonts w:ascii="Times New Roman;serif" w:hAnsi="Times New Roman;serif"/>
                  <w:b w:val="false"/>
                  <w:color w:val="000080"/>
                  <w:sz w:val="20"/>
                  <w:u w:val="single"/>
                </w:rPr>
                <w:t xml:space="preserve">Condensed Consolidated Statements of Cash Flows for the </w:t>
              </w:r>
            </w:hyperlink>
            <w:hyperlink w:anchor="i6e58094c1be64b70b98be49b27cda8bd_190">
              <w:r>
                <w:rPr>
                  <w:rStyle w:val="InternetLink"/>
                  <w:rFonts w:ascii="Times New Roman;serif" w:hAnsi="Times New Roman;serif"/>
                  <w:b w:val="false"/>
                  <w:color w:val="000080"/>
                  <w:sz w:val="20"/>
                  <w:u w:val="single"/>
                </w:rPr>
                <w:t>T</w:t>
              </w:r>
            </w:hyperlink>
            <w:hyperlink w:anchor="i6e58094c1be64b70b98be49b27cda8bd_190">
              <w:r>
                <w:rPr>
                  <w:rStyle w:val="InternetLink"/>
                  <w:rFonts w:ascii="Times New Roman;serif" w:hAnsi="Times New Roman;serif"/>
                  <w:b w:val="false"/>
                  <w:color w:val="000080"/>
                  <w:sz w:val="20"/>
                  <w:u w:val="single"/>
                </w:rPr>
                <w:t>h</w:t>
              </w:r>
            </w:hyperlink>
            <w:hyperlink w:anchor="i6e58094c1be64b70b98be49b27cda8bd_190">
              <w:r>
                <w:rPr>
                  <w:rStyle w:val="InternetLink"/>
                  <w:rFonts w:ascii="Times New Roman;serif" w:hAnsi="Times New Roman;serif"/>
                  <w:b w:val="false"/>
                  <w:color w:val="000080"/>
                  <w:sz w:val="20"/>
                  <w:u w:val="single"/>
                </w:rPr>
                <w:t>ree</w:t>
              </w:r>
            </w:hyperlink>
            <w:hyperlink w:anchor="i6e58094c1be64b70b98be49b27cda8bd_190">
              <w:r>
                <w:rPr>
                  <w:rStyle w:val="InternetLink"/>
                  <w:rFonts w:ascii="Times New Roman;serif" w:hAnsi="Times New Roman;serif"/>
                  <w:b w:val="false"/>
                  <w:color w:val="000080"/>
                  <w:sz w:val="20"/>
                  <w:u w:val="single"/>
                </w:rPr>
                <w:t xml:space="preserve"> Months Ended </w:t>
              </w:r>
            </w:hyperlink>
            <w:hyperlink w:anchor="i6e58094c1be64b70b98be49b27cda8bd_190">
              <w:r>
                <w:rPr>
                  <w:rStyle w:val="InternetLink"/>
                  <w:rFonts w:ascii="Times New Roman;serif" w:hAnsi="Times New Roman;serif"/>
                  <w:b w:val="false"/>
                  <w:color w:val="000080"/>
                  <w:sz w:val="20"/>
                  <w:u w:val="single"/>
                </w:rPr>
                <w:t>Mar</w:t>
              </w:r>
            </w:hyperlink>
            <w:hyperlink w:anchor="i6e58094c1be64b70b98be49b27cda8bd_190">
              <w:r>
                <w:rPr>
                  <w:rStyle w:val="InternetLink"/>
                  <w:rFonts w:ascii="Times New Roman;serif" w:hAnsi="Times New Roman;serif"/>
                  <w:b w:val="false"/>
                  <w:color w:val="000080"/>
                  <w:sz w:val="20"/>
                  <w:u w:val="single"/>
                </w:rPr>
                <w:t>ch</w:t>
              </w:r>
            </w:hyperlink>
            <w:hyperlink w:anchor="i6e58094c1be64b70b98be49b27cda8bd_190">
              <w:r>
                <w:rPr>
                  <w:rStyle w:val="InternetLink"/>
                  <w:rFonts w:ascii="Times New Roman;serif" w:hAnsi="Times New Roman;serif"/>
                  <w:b w:val="false"/>
                  <w:color w:val="000080"/>
                  <w:sz w:val="20"/>
                  <w:u w:val="single"/>
                </w:rPr>
                <w:t xml:space="preserve"> 3</w:t>
              </w:r>
            </w:hyperlink>
            <w:hyperlink w:anchor="i6e58094c1be64b70b98be49b27cda8bd_190">
              <w:r>
                <w:rPr>
                  <w:rStyle w:val="InternetLink"/>
                  <w:rFonts w:ascii="Times New Roman;serif" w:hAnsi="Times New Roman;serif"/>
                  <w:b w:val="false"/>
                  <w:color w:val="000080"/>
                  <w:sz w:val="20"/>
                  <w:u w:val="single"/>
                </w:rPr>
                <w:t>1</w:t>
              </w:r>
            </w:hyperlink>
            <w:hyperlink w:anchor="i6e58094c1be64b70b98be49b27cda8bd_190">
              <w:r>
                <w:rPr>
                  <w:rStyle w:val="InternetLink"/>
                  <w:rFonts w:ascii="Times New Roman;serif" w:hAnsi="Times New Roman;serif"/>
                  <w:b w:val="false"/>
                  <w:color w:val="000080"/>
                  <w:sz w:val="20"/>
                  <w:u w:val="single"/>
                </w:rPr>
                <w:t>, 202</w:t>
              </w:r>
            </w:hyperlink>
            <w:hyperlink w:anchor="i6e58094c1be64b70b98be49b27cda8bd_190">
              <w:r>
                <w:rPr>
                  <w:rStyle w:val="InternetLink"/>
                  <w:rFonts w:ascii="Times New Roman;serif" w:hAnsi="Times New Roman;serif"/>
                  <w:b w:val="false"/>
                  <w:color w:val="000080"/>
                  <w:sz w:val="20"/>
                  <w:u w:val="single"/>
                </w:rPr>
                <w:t>6</w:t>
              </w:r>
            </w:hyperlink>
            <w:hyperlink w:anchor="i6e58094c1be64b70b98be49b27cda8bd_190">
              <w:r>
                <w:rPr>
                  <w:rStyle w:val="InternetLink"/>
                  <w:rFonts w:ascii="Times New Roman;serif" w:hAnsi="Times New Roman;serif"/>
                  <w:b w:val="false"/>
                  <w:color w:val="000080"/>
                  <w:sz w:val="20"/>
                  <w:u w:val="single"/>
                </w:rPr>
                <w:t xml:space="preserve"> and 202</w:t>
              </w:r>
            </w:hyperlink>
            <w:hyperlink w:anchor="i6e58094c1be64b70b98be49b27cda8bd_190">
              <w:r>
                <w:rPr>
                  <w:rStyle w:val="InternetLink"/>
                  <w:rFonts w:ascii="Times New Roman;serif" w:hAnsi="Times New Roman;serif"/>
                  <w:b w:val="false"/>
                  <w:color w:val="000080"/>
                  <w:sz w:val="20"/>
                  <w:u w:val="single"/>
                </w:rPr>
                <w:t>5</w:t>
              </w:r>
            </w:hyperlink>
            <w:hyperlink w:anchor="i6e58094c1be64b70b98be49b27cda8bd_190">
              <w:r>
                <w:rPr>
                  <w:rStyle w:val="InternetLink"/>
                  <w:rFonts w:ascii="Times New Roman;serif" w:hAnsi="Times New Roman;serif"/>
                  <w:b w:val="false"/>
                  <w:color w:val="000080"/>
                  <w:sz w:val="20"/>
                  <w:u w:val="single"/>
                </w:rPr>
                <w:t xml:space="preserve">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90">
              <w:r>
                <w:rPr>
                  <w:rStyle w:val="InternetLink"/>
                  <w:rFonts w:ascii="Times New Roman;serif" w:hAnsi="Times New Roman;serif"/>
                  <w:b w:val="false"/>
                  <w:strike w:val="false"/>
                  <w:dstrike w:val="false"/>
                  <w:color w:val="000000"/>
                  <w:sz w:val="20"/>
                  <w:u w:val="none"/>
                  <w:effect w:val="none"/>
                </w:rPr>
                <w:t>6</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193">
              <w:r>
                <w:rPr>
                  <w:rStyle w:val="InternetLink"/>
                  <w:rFonts w:ascii="Times New Roman;serif" w:hAnsi="Times New Roman;serif"/>
                  <w:b w:val="false"/>
                  <w:color w:val="0000FF"/>
                  <w:sz w:val="20"/>
                  <w:u w:val="single"/>
                </w:rPr>
                <w:t>Notes to Condensed Consolidated Financial Statements (Unaudited</w:t>
              </w:r>
            </w:hyperlink>
            <w:r>
              <w:rPr>
                <w:rFonts w:ascii="Times New Roman;serif" w:hAnsi="Times New Roman;serif"/>
                <w:b w:val="false"/>
                <w:color w:val="000000"/>
                <w:sz w:val="20"/>
              </w:rPr>
              <w:t>)</w:t>
            </w:r>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193">
              <w:r>
                <w:rPr>
                  <w:rStyle w:val="InternetLink"/>
                  <w:rFonts w:ascii="Times New Roman;serif" w:hAnsi="Times New Roman;serif"/>
                  <w:b w:val="false"/>
                  <w:strike w:val="false"/>
                  <w:dstrike w:val="false"/>
                  <w:color w:val="000000"/>
                  <w:sz w:val="20"/>
                  <w:u w:val="none"/>
                  <w:effect w:val="none"/>
                </w:rPr>
                <w:t>7</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70">
              <w:r>
                <w:rPr>
                  <w:rStyle w:val="InternetLink"/>
                  <w:rFonts w:ascii="Times New Roman;serif" w:hAnsi="Times New Roman;serif"/>
                  <w:b w:val="false"/>
                  <w:color w:val="0000FF"/>
                  <w:sz w:val="20"/>
                  <w:u w:val="single"/>
                </w:rPr>
                <w:t>Item 2.</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70">
              <w:r>
                <w:rPr>
                  <w:rStyle w:val="InternetLink"/>
                  <w:rFonts w:ascii="Times New Roman;serif" w:hAnsi="Times New Roman;serif"/>
                  <w:b w:val="false"/>
                  <w:strike w:val="false"/>
                  <w:dstrike w:val="false"/>
                  <w:color w:val="000000"/>
                  <w:sz w:val="20"/>
                  <w:u w:val="none"/>
                  <w:effect w:val="none"/>
                </w:rPr>
                <w:t>16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79">
              <w:r>
                <w:rPr>
                  <w:rStyle w:val="InternetLink"/>
                  <w:rFonts w:ascii="Times New Roman;serif" w:hAnsi="Times New Roman;serif"/>
                  <w:b w:val="false"/>
                  <w:color w:val="0000FF"/>
                  <w:sz w:val="20"/>
                  <w:u w:val="single"/>
                </w:rPr>
                <w:t>Item 3.</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79">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79">
              <w:r>
                <w:rPr>
                  <w:rStyle w:val="InternetLink"/>
                  <w:rFonts w:ascii="Times New Roman;serif" w:hAnsi="Times New Roman;serif"/>
                  <w:b w:val="false"/>
                  <w:strike w:val="false"/>
                  <w:dstrike w:val="false"/>
                  <w:color w:val="000000"/>
                  <w:sz w:val="20"/>
                  <w:u w:val="none"/>
                  <w:effect w:val="none"/>
                </w:rPr>
                <w:t>24</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19">
              <w:r>
                <w:rPr>
                  <w:rStyle w:val="InternetLink"/>
                  <w:rFonts w:ascii="Times New Roman;serif" w:hAnsi="Times New Roman;serif"/>
                  <w:b w:val="false"/>
                  <w:color w:val="0000FF"/>
                  <w:sz w:val="20"/>
                  <w:u w:val="single"/>
                </w:rPr>
                <w:t>Item 4.</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19">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19">
              <w:r>
                <w:rPr>
                  <w:rStyle w:val="InternetLink"/>
                  <w:rFonts w:ascii="Times New Roman;serif" w:hAnsi="Times New Roman;serif"/>
                  <w:b w:val="false"/>
                  <w:strike w:val="false"/>
                  <w:dstrike w:val="false"/>
                  <w:color w:val="000000"/>
                  <w:sz w:val="20"/>
                  <w:u w:val="none"/>
                  <w:effect w:val="none"/>
                </w:rPr>
                <w:t>24</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82">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85">
              <w:r>
                <w:rPr>
                  <w:rStyle w:val="InternetLink"/>
                  <w:rFonts w:ascii="Times New Roman;serif" w:hAnsi="Times New Roman;serif"/>
                  <w:b w:val="false"/>
                  <w:color w:val="0000FF"/>
                  <w:sz w:val="20"/>
                  <w:u w:val="single"/>
                </w:rPr>
                <w:t>Item 1.</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85">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85">
              <w:r>
                <w:rPr>
                  <w:rStyle w:val="InternetLink"/>
                  <w:rFonts w:ascii="Times New Roman;serif" w:hAnsi="Times New Roman;serif"/>
                  <w:b w:val="false"/>
                  <w:strike w:val="false"/>
                  <w:dstrike w:val="false"/>
                  <w:color w:val="000000"/>
                  <w:sz w:val="20"/>
                  <w:u w:val="none"/>
                  <w:effect w:val="none"/>
                </w:rPr>
                <w:t>26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88">
              <w:r>
                <w:rPr>
                  <w:rStyle w:val="InternetLink"/>
                  <w:rFonts w:ascii="Times New Roman;serif" w:hAnsi="Times New Roman;serif"/>
                  <w:b w:val="false"/>
                  <w:color w:val="0000FF"/>
                  <w:sz w:val="20"/>
                  <w:u w:val="single"/>
                </w:rPr>
                <w:t>Item 1A.</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88">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88">
              <w:r>
                <w:rPr>
                  <w:rStyle w:val="InternetLink"/>
                  <w:rFonts w:ascii="Times New Roman;serif" w:hAnsi="Times New Roman;serif"/>
                  <w:b w:val="false"/>
                  <w:strike w:val="false"/>
                  <w:dstrike w:val="false"/>
                  <w:color w:val="000000"/>
                  <w:sz w:val="20"/>
                  <w:u w:val="none"/>
                  <w:effect w:val="none"/>
                </w:rPr>
                <w:t>26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91">
              <w:r>
                <w:rPr>
                  <w:rStyle w:val="InternetLink"/>
                  <w:rFonts w:ascii="Times New Roman;serif" w:hAnsi="Times New Roman;serif"/>
                  <w:b w:val="false"/>
                  <w:color w:val="0000FF"/>
                  <w:sz w:val="20"/>
                  <w:u w:val="single"/>
                </w:rPr>
                <w:t>Item 2.</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91">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91">
              <w:r>
                <w:rPr>
                  <w:rStyle w:val="InternetLink"/>
                  <w:rFonts w:ascii="Times New Roman;serif" w:hAnsi="Times New Roman;serif"/>
                  <w:b w:val="false"/>
                  <w:strike w:val="false"/>
                  <w:dstrike w:val="false"/>
                  <w:color w:val="000000"/>
                  <w:sz w:val="20"/>
                  <w:u w:val="none"/>
                  <w:effect w:val="none"/>
                </w:rPr>
                <w:t>26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94">
              <w:r>
                <w:rPr>
                  <w:rStyle w:val="InternetLink"/>
                  <w:rFonts w:ascii="Times New Roman;serif" w:hAnsi="Times New Roman;serif"/>
                  <w:b w:val="false"/>
                  <w:color w:val="0000FF"/>
                  <w:sz w:val="20"/>
                  <w:u w:val="single"/>
                </w:rPr>
                <w:t>Item 3.</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94">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94">
              <w:r>
                <w:rPr>
                  <w:rStyle w:val="InternetLink"/>
                  <w:rFonts w:ascii="Times New Roman;serif" w:hAnsi="Times New Roman;serif"/>
                  <w:b w:val="false"/>
                  <w:strike w:val="false"/>
                  <w:dstrike w:val="false"/>
                  <w:color w:val="000000"/>
                  <w:sz w:val="20"/>
                  <w:u w:val="none"/>
                  <w:effect w:val="none"/>
                </w:rPr>
                <w:t>26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97">
              <w:r>
                <w:rPr>
                  <w:rStyle w:val="InternetLink"/>
                  <w:rFonts w:ascii="Times New Roman;serif" w:hAnsi="Times New Roman;serif"/>
                  <w:b w:val="false"/>
                  <w:color w:val="0000FF"/>
                  <w:sz w:val="20"/>
                  <w:u w:val="single"/>
                </w:rPr>
                <w:t>Item 4.</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397">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397">
              <w:r>
                <w:rPr>
                  <w:rStyle w:val="InternetLink"/>
                  <w:rFonts w:ascii="Times New Roman;serif" w:hAnsi="Times New Roman;serif"/>
                  <w:b w:val="false"/>
                  <w:strike w:val="false"/>
                  <w:dstrike w:val="false"/>
                  <w:color w:val="000000"/>
                  <w:sz w:val="20"/>
                  <w:u w:val="none"/>
                  <w:effect w:val="none"/>
                </w:rPr>
                <w:t>26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400">
              <w:r>
                <w:rPr>
                  <w:rStyle w:val="InternetLink"/>
                  <w:rFonts w:ascii="Times New Roman;serif" w:hAnsi="Times New Roman;serif"/>
                  <w:b w:val="false"/>
                  <w:color w:val="0000FF"/>
                  <w:sz w:val="20"/>
                  <w:u w:val="single"/>
                </w:rPr>
                <w:t>Item 5.</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400">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400">
              <w:r>
                <w:rPr>
                  <w:rStyle w:val="InternetLink"/>
                  <w:rFonts w:ascii="Times New Roman;serif" w:hAnsi="Times New Roman;serif"/>
                  <w:b w:val="false"/>
                  <w:strike w:val="false"/>
                  <w:dstrike w:val="false"/>
                  <w:color w:val="000000"/>
                  <w:sz w:val="20"/>
                  <w:u w:val="none"/>
                  <w:effect w:val="none"/>
                </w:rPr>
                <w:t>26</w:t>
              </w:r>
            </w:hyperlink>
          </w:p>
        </w:tc>
      </w:tr>
      <w:tr>
        <w:trPr/>
        <w:tc>
          <w:tcPr>
            <w:tcW w:w="141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403">
              <w:r>
                <w:rPr>
                  <w:rStyle w:val="InternetLink"/>
                  <w:rFonts w:ascii="Times New Roman;serif" w:hAnsi="Times New Roman;serif"/>
                  <w:b w:val="false"/>
                  <w:color w:val="0000FF"/>
                  <w:sz w:val="20"/>
                  <w:u w:val="single"/>
                </w:rPr>
                <w:t>Item 6.</w:t>
              </w:r>
            </w:hyperlink>
          </w:p>
        </w:tc>
        <w:tc>
          <w:tcPr>
            <w:tcW w:w="822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403">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403">
              <w:r>
                <w:rPr>
                  <w:rStyle w:val="InternetLink"/>
                  <w:rFonts w:ascii="Times New Roman;serif" w:hAnsi="Times New Roman;serif"/>
                  <w:b w:val="false"/>
                  <w:strike w:val="false"/>
                  <w:dstrike w:val="false"/>
                  <w:color w:val="000000"/>
                  <w:sz w:val="20"/>
                  <w:u w:val="none"/>
                  <w:effect w:val="none"/>
                </w:rPr>
                <w:t>27</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6e58094c1be64b70b98be49b27cda8bd_406">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e58094c1be64b70b98be49b27cda8bd_406">
              <w:r>
                <w:rPr>
                  <w:rStyle w:val="InternetLink"/>
                  <w:rFonts w:ascii="Times New Roman;serif" w:hAnsi="Times New Roman;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2" name="Frame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283"/>
                        <w:jc w:val="center"/>
                        <w:rPr/>
                      </w:pPr>
                      <w:r>
                        <w:rPr/>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made statements in the sections titled “Risk Factors,” “Management’s Discussion and Analysis of Financial Condition and Results of Operations,” and in other sections of this Quarterly Report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for the year ended December 31, 2025. We qualify all of our forward-looking statements by these cautionary statements.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results could be affected by a variety of other factors, including, but not limited to, inability to sell equity or other securities in the future at a time when we might otherwise wish to effect sales; inability to raise capital on commercially reasonable terms, if at all; the risk that any future financings may dilute our stockholders or restrict our business; failure to stabilize and grow same-center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recent regulatory action, and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laws governing the corporate practice of medicine or fee-splitting; changes in regulatory, macroeconomic conditions, including inflation and the threat of recession, economic and other conditions of the states and jurisdictions where our facilities are located; and business disruption or other losses from natural disasters, war, pandemics, terrorist acts or political unrest.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discussed many of these risks and uncertainties in the section titled “Item 1A. Risk Factors” of this Quarterly Report and in other filings we make from time to time with the U.S. Securities and Exchange Commission. There also may be other risks and uncertainties that are currently unknown to us or that we are unable to predict at this time.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believe the expectations reflected in the forward-looking statements are reasonable, we cannot guarantee future results, levels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and are inherently subject to change. We are under no duty and we assume no obligation to update any of the forward-looking statements, or to update the reasons actual results could differ materially from those anticipated in the forward-looking statements, after the date of this Quarterly Report or to conform our prior statements to actual results or revised expectations, except as required by law. Given these uncertainties, investors should not place undue reliance on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1485"/>
                <wp:effectExtent l="0" t="0" r="0" b="0"/>
                <wp:wrapNone/>
                <wp:docPr id="3" name="Frame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6"/>
        <w:gridCol w:w="2306"/>
        <w:gridCol w:w="2327"/>
        <w:gridCol w:w="211"/>
        <w:gridCol w:w="826"/>
        <w:gridCol w:w="109"/>
        <w:gridCol w:w="109"/>
        <w:gridCol w:w="109"/>
        <w:gridCol w:w="109"/>
        <w:gridCol w:w="211"/>
        <w:gridCol w:w="826"/>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($000s, except for shares)</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operating lease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191,999 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32,481 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27,902 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shares authorized - 450,000,000; shares issued and outstanding - 70,545,681 and 64,542,461,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before="0" w:after="0"/>
        <w:jc w:val="center"/>
        <w:rPr/>
      </w:pPr>
      <w:r>
        <w:rPr/>
      </w:r>
    </w:p>
    <w:tbl>
      <w:tblPr>
        <w:tblW w:w="8567" w:type="dxa"/>
        <w:jc w:val="left"/>
        <w:tblInd w:w="0" w:type="dxa"/>
        <w:tblLayout w:type="fixed"/>
        <w:tblCellMar>
          <w:top w:w="28" w:type="dxa"/>
          <w:left w:w="28" w:type="dxa"/>
          <w:bottom w:w="28" w:type="dxa"/>
          <w:right w:w="28" w:type="dxa"/>
        </w:tblCellMar>
      </w:tblPr>
      <w:tblGrid>
        <w:gridCol w:w="1798"/>
        <w:gridCol w:w="1579"/>
        <w:gridCol w:w="1587"/>
        <w:gridCol w:w="109"/>
        <w:gridCol w:w="109"/>
        <w:gridCol w:w="139"/>
        <w:gridCol w:w="139"/>
        <w:gridCol w:w="269"/>
        <w:gridCol w:w="919"/>
        <w:gridCol w:w="139"/>
        <w:gridCol w:w="109"/>
        <w:gridCol w:w="109"/>
        <w:gridCol w:w="109"/>
        <w:gridCol w:w="244"/>
        <w:gridCol w:w="837"/>
        <w:gridCol w:w="109"/>
        <w:gridCol w:w="109"/>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780" w:type="dxa"/>
            <w:gridSpan w:val="8"/>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$000s, except for shares and per share figures)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39,389 </w:t>
            </w:r>
          </w:p>
        </w:tc>
        <w:tc>
          <w:tcPr>
            <w:tcW w:w="1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39,371 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41,191 </w:t>
            </w:r>
          </w:p>
        </w:tc>
        <w:tc>
          <w:tcPr>
            <w:tcW w:w="13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40,960 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3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3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69,460,700 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69,460,700 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240" w:after="283"/>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Other Comprehensive Loss (Unaudited)</w:t>
      </w:r>
    </w:p>
    <w:p>
      <w:pPr>
        <w:pStyle w:val="TextBody"/>
        <w:bidi w:val="0"/>
        <w:spacing w:before="0" w:after="0"/>
        <w:jc w:val="center"/>
        <w:rPr/>
      </w:pPr>
      <w:r>
        <w:rPr/>
      </w:r>
    </w:p>
    <w:p>
      <w:pPr>
        <w:pStyle w:val="TextBody"/>
        <w:bidi w:val="0"/>
        <w:spacing w:before="0" w:after="0"/>
        <w:jc w:val="center"/>
        <w:rPr/>
      </w:pPr>
      <w:r>
        <w:rPr/>
      </w:r>
    </w:p>
    <w:tbl>
      <w:tblPr>
        <w:tblW w:w="7512" w:type="dxa"/>
        <w:jc w:val="left"/>
        <w:tblInd w:w="0" w:type="dxa"/>
        <w:tblLayout w:type="fixed"/>
        <w:tblCellMar>
          <w:top w:w="28" w:type="dxa"/>
          <w:left w:w="28" w:type="dxa"/>
          <w:bottom w:w="28" w:type="dxa"/>
          <w:right w:w="28" w:type="dxa"/>
        </w:tblCellMar>
      </w:tblPr>
      <w:tblGrid>
        <w:gridCol w:w="1514"/>
        <w:gridCol w:w="1334"/>
        <w:gridCol w:w="1352"/>
        <w:gridCol w:w="109"/>
        <w:gridCol w:w="109"/>
        <w:gridCol w:w="112"/>
        <w:gridCol w:w="112"/>
        <w:gridCol w:w="217"/>
        <w:gridCol w:w="713"/>
        <w:gridCol w:w="112"/>
        <w:gridCol w:w="112"/>
        <w:gridCol w:w="112"/>
        <w:gridCol w:w="112"/>
        <w:gridCol w:w="211"/>
        <w:gridCol w:w="691"/>
        <w:gridCol w:w="109"/>
        <w:gridCol w:w="109"/>
        <w:gridCol w:w="109"/>
        <w:gridCol w:w="109"/>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8"/>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92" w:type="dxa"/>
            <w:gridSpan w:val="7"/>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4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tbl>
      <w:tblPr>
        <w:tblW w:w="10205" w:type="dxa"/>
        <w:jc w:val="center"/>
        <w:tblInd w:w="0" w:type="dxa"/>
        <w:tblLayout w:type="fixed"/>
        <w:tblCellMar>
          <w:top w:w="28" w:type="dxa"/>
          <w:left w:w="28" w:type="dxa"/>
          <w:bottom w:w="28" w:type="dxa"/>
          <w:right w:w="28" w:type="dxa"/>
        </w:tblCellMar>
      </w:tblPr>
      <w:tblGrid>
        <w:gridCol w:w="882"/>
        <w:gridCol w:w="367"/>
        <w:gridCol w:w="370"/>
        <w:gridCol w:w="109"/>
        <w:gridCol w:w="109"/>
        <w:gridCol w:w="109"/>
        <w:gridCol w:w="480"/>
        <w:gridCol w:w="481"/>
        <w:gridCol w:w="196"/>
        <w:gridCol w:w="109"/>
        <w:gridCol w:w="109"/>
        <w:gridCol w:w="109"/>
        <w:gridCol w:w="212"/>
        <w:gridCol w:w="359"/>
        <w:gridCol w:w="120"/>
        <w:gridCol w:w="109"/>
        <w:gridCol w:w="109"/>
        <w:gridCol w:w="109"/>
        <w:gridCol w:w="199"/>
        <w:gridCol w:w="750"/>
        <w:gridCol w:w="111"/>
        <w:gridCol w:w="109"/>
        <w:gridCol w:w="109"/>
        <w:gridCol w:w="109"/>
        <w:gridCol w:w="399"/>
        <w:gridCol w:w="890"/>
        <w:gridCol w:w="224"/>
        <w:gridCol w:w="109"/>
        <w:gridCol w:w="109"/>
        <w:gridCol w:w="109"/>
        <w:gridCol w:w="225"/>
        <w:gridCol w:w="761"/>
        <w:gridCol w:w="125"/>
        <w:gridCol w:w="109"/>
        <w:gridCol w:w="109"/>
        <w:gridCol w:w="109"/>
        <w:gridCol w:w="196"/>
        <w:gridCol w:w="736"/>
        <w:gridCol w:w="160"/>
      </w:tblGrid>
      <w:tr>
        <w:trPr/>
        <w:tc>
          <w:tcPr>
            <w:tcW w:w="88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($000s, except shares and per share figures)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58,369,138 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58,661,268 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76,231 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64,542,461 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unit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public offerings,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5,894,209 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taxes withheld through vested 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70,545,681 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100,261 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295" w:type="dxa"/>
        <w:jc w:val="left"/>
        <w:tblInd w:w="0" w:type="dxa"/>
        <w:tblLayout w:type="fixed"/>
        <w:tblCellMar>
          <w:top w:w="28" w:type="dxa"/>
          <w:left w:w="28" w:type="dxa"/>
          <w:bottom w:w="28" w:type="dxa"/>
          <w:right w:w="28" w:type="dxa"/>
        </w:tblCellMar>
      </w:tblPr>
      <w:tblGrid>
        <w:gridCol w:w="2320"/>
        <w:gridCol w:w="2041"/>
        <w:gridCol w:w="2074"/>
        <w:gridCol w:w="211"/>
        <w:gridCol w:w="721"/>
        <w:gridCol w:w="109"/>
        <w:gridCol w:w="109"/>
        <w:gridCol w:w="109"/>
        <w:gridCol w:w="109"/>
        <w:gridCol w:w="211"/>
        <w:gridCol w:w="691"/>
        <w:gridCol w:w="109"/>
        <w:gridCol w:w="109"/>
        <w:gridCol w:w="109"/>
        <w:gridCol w:w="109"/>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12"/>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4" w:type="dxa"/>
            <w:tcBorders/>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($000s)</w:t>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amortization of debt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public offerings,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taxes withheld through vested equity-based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ORGANIZATION AND SUMMARY OF KEY ACCOUNTING POLICIES</w:t>
      </w:r>
    </w:p>
    <w:p>
      <w:pPr>
        <w:pStyle w:val="TextBody"/>
        <w:bidi w:val="0"/>
        <w:spacing w:lineRule="auto" w:line="288" w:before="240" w:after="283"/>
        <w:jc w:val="both"/>
        <w:rPr/>
      </w:pPr>
      <w:r>
        <w:rPr>
          <w:rFonts w:ascii="Times New Roman;serif" w:hAnsi="Times New Roman;serif"/>
          <w:b w:val="false"/>
          <w:color w:val="000000"/>
          <w:sz w:val="20"/>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condensed consolidated financial statements as “we,” “our,” and “us.” Solely for convenience, some of the copyrights, trade names and trademarks referred to in these condensed consolidated financial statements are listed without their </w:t>
      </w:r>
      <w:r>
        <w:rPr>
          <w:rFonts w:ascii="Times New Roman;serif" w:hAnsi="Times New Roman;serif"/>
          <w:b w:val="false"/>
          <w:color w:val="000000"/>
          <w:sz w:val="15"/>
        </w:rPr>
        <w:t>©</w:t>
      </w:r>
      <w:r>
        <w:rPr>
          <w:rFonts w:ascii="Times New Roman;serif" w:hAnsi="Times New Roman;serif"/>
          <w:b w:val="false"/>
          <w:color w:val="000000"/>
          <w:sz w:val="20"/>
        </w:rPr>
        <w:t xml:space="preserve">, </w:t>
      </w:r>
      <w:r>
        <w:rPr>
          <w:rFonts w:ascii="Times New Roman;serif" w:hAnsi="Times New Roman;serif"/>
          <w:b w:val="false"/>
          <w:color w:val="000000"/>
          <w:sz w:val="15"/>
        </w:rPr>
        <w:t>®</w:t>
      </w:r>
      <w:r>
        <w:rPr>
          <w:color w:val="000000"/>
        </w:rPr>
        <w:t xml:space="preserve"> </w:t>
      </w:r>
      <w:r>
        <w:rPr>
          <w:rFonts w:ascii="Times New Roman;serif" w:hAnsi="Times New Roman;serif"/>
          <w:b w:val="false"/>
          <w:color w:val="000000"/>
          <w:sz w:val="20"/>
        </w:rPr>
        <w:t>and ™ symbols, but we will assert, to the fullest extent under applicable law, our rights to our copyrights, trade names and trademarks.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its wholly-owned subsidiaries, is a provider of practice management services to professional associations (“PAs”) located throughout the United States and Canada.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 in consolidation.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Interim Financial Statement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accompanying notes have been prepared in accordance with accounting principles generally accepted in the United States of America (“U.S. GAAP”).</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Variable Interest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Estimates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Concentration of Credit Risk</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original maturities of three months or less when purchased to be cash equivalents. The Company’s revenues are concentrated in the specialty, minimally invasive liposuction market.</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cash balances at financial institutions which may at times exceed the amount covered by the Federal Deposit Insurance Corporation. The Company has not experienced any losses in such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March 31, 2026, and the condensed consolidated statements of operations, stockholders' equity, and cash flows for the three months ended March 31, 2026 and 2025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March 31, 2026 and the results of operations and cash flows for the three months ended March 31, 2026 and 2025.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months ended March 31, 2026 and 2025 are also unaudited. The consolidated results of operations for the three months ended March 31, 2026 are not necessarily indicative of results to be expected for the year ending December 31, 2026 or for any other future annual or interim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2025 is derived from the Company’s annual audited consolidated financial statements for the year ended December 31, 2025, which should be read in conjunction with these condensed consolidated financial statements and which are included in the Company’s Annual Report dated April 6, 2026 filed with the Securities and Exchange Commission (“SEC”) pursuant to Section 13 or 15(d) of the 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for services is recognized when the service is performed. Payment is typically rendered in advance of the service. Customer contracts generally do not include more than one performance obligation.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policy is to require payment for services in advance. Payments received for services that have yet to be performed as of March 31, 2026 and December 31, 2025 are included in deferred revenue and patient deposits.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Deferred Financing Costs,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$0.0 million and $0.2 million of deferred loan costs were capitalized in the three months ended March 31, 2026 and 2025, respectively. Total amortization of deferred financing costs was approximately $0.1 million and $0.1 million for the three months ended March 31, 2026 and 2025, respectively. Amortization of loan costs and discounts is included as a component of interest expense.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Long-Lived Assets</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impairment of long-lived assets in accordance with the provisions of the Financial Accounting Standards Board (“FASB”) Accounting Standards Codification (“ASC”) Topic 350, </w:t>
      </w:r>
      <w:r>
        <w:rPr>
          <w:rFonts w:ascii="Times New Roman;serif" w:hAnsi="Times New Roman;serif"/>
          <w:b w:val="false"/>
          <w:i/>
          <w:color w:val="000000"/>
          <w:sz w:val="20"/>
        </w:rPr>
        <w:t xml:space="preserve">Intangibles – Goodwill and Other </w:t>
      </w:r>
      <w:r>
        <w:rPr>
          <w:rFonts w:ascii="Times New Roman;serif" w:hAnsi="Times New Roman;serif"/>
          <w:b w:val="false"/>
          <w:color w:val="000000"/>
          <w:sz w:val="20"/>
        </w:rPr>
        <w:t xml:space="preserve">and Topic 360, </w:t>
      </w:r>
      <w:r>
        <w:rPr>
          <w:rFonts w:ascii="Times New Roman;serif" w:hAnsi="Times New Roman;serif"/>
          <w:b w:val="false"/>
          <w:i/>
          <w:color w:val="000000"/>
          <w:sz w:val="20"/>
        </w:rPr>
        <w:t>Impairment or Disposal of Long-Lived Assets</w:t>
      </w:r>
      <w:r>
        <w:rPr>
          <w:rFonts w:ascii="Times New Roman;serif" w:hAnsi="Times New Roman;serif"/>
          <w:b w:val="false"/>
          <w:color w:val="000000"/>
          <w:sz w:val="20"/>
        </w:rPr>
        <w:t xml:space="preserve">. These standards require that long-lived assets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months ended March 31, 2026 and 2025.</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w:t>
      </w:r>
    </w:p>
    <w:p>
      <w:pPr>
        <w:pStyle w:val="TextBody"/>
        <w:bidi w:val="0"/>
        <w:spacing w:lineRule="auto" w:line="288" w:before="240" w:after="283"/>
        <w:jc w:val="both"/>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Measurements and Disclosure</w:t>
      </w:r>
      <w:r>
        <w:rPr>
          <w:rFonts w:ascii="Times New Roman;serif" w:hAnsi="Times New Roman;serif"/>
          <w:b w:val="false"/>
          <w:color w:val="000000"/>
          <w:sz w:val="20"/>
        </w:rPr>
        <w:t>s, defines fair value, establishes a framework for measuring fair value in accordance with U.S. GAAP and expands disclosure requirements about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ASC Topic 820 defines three categories for the classification and measurement of assets and liabilities carried at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Observable market-based inputs or observable inputs that are corroborated by market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reflecting the reporting entity’s own assumptions.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of common stock is computed by dividing net loss for the three months ended March 31, 2026 and 2025 by the weighted-average number of shares of common stock outstanding during the same period. Diluted earnings per share of common stock is computed by dividing net loss for the three months ended March 31, 2026 and 2025 by the weighted-average number of shares of common stock adjusted to give effect to potentially dilutive securities.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Advertising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in the period when the costs are incurred and are included as a component of selling, general and administrative costs. Advertising expenses were approximately $7.8 million and $7.2 million for the three months ended March 31, 2026 and 2025,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in accordance with ASC 740, “Income Taxes” (“ASC 740”). ASC 740 prescribes the use of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Deferred tax liabilities and assets are classified as non-current in accordance with ASU 2015</w:t>
        <w:noBreakHyphen/>
        <w:t>17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settlement with the relevant tax authority. The Company applied the uncertain tax position guidance to all tax positions for which the statute of limitations remained open and determined that there are no uncertain tax positions as of March 31, 2026 or December 31,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effective tax rate of approximately 16.2% and 11.4% for the three months ended March 31, 2026 and 2025, respectively, inclusive of all applicable U.S. federal and state income taxes.</w:t>
      </w:r>
    </w:p>
    <w:p>
      <w:pPr>
        <w:pStyle w:val="TextBody"/>
        <w:bidi w:val="0"/>
        <w:spacing w:lineRule="auto" w:line="288" w:before="16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Going Concern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Management evaluates at each annual and interim period whether there are conditions or events, considered in the aggregate, that raise 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issuance of these financial statements.</w:t>
      </w:r>
    </w:p>
    <w:p>
      <w:pPr>
        <w:pStyle w:val="TextBody"/>
        <w:bidi w:val="0"/>
        <w:spacing w:lineRule="auto" w:line="288" w:before="16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60" w:after="1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which requires public business entities (PBEs) to disclose detailed breakdowns of specific expense captions (e.g., COGS, SG&amp;A) in annual and interim notes. It mandates tabular, disaggregated information—such as employee compensation, depreciation, and amortization—to improve transparency for investors. The ASU is effective for annual periods beginning after December 15, 2026 and interim period beginning after December 15, 2027. The Company is evaluating the impact of this ASU on its consolidated financial statements. </w:t>
      </w: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GOODWILL AND INTANGIBLES,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review of goodwill impairment will be performed in October 2026. There were no triggering events during the three months ended March 31, 2026 and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goodwill of $81.7 million at March 31,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March 31, 2026 and December 31, 2025 (in 000’s):</w:t>
      </w:r>
    </w:p>
    <w:tbl>
      <w:tblPr>
        <w:tblW w:w="8444" w:type="dxa"/>
        <w:jc w:val="left"/>
        <w:tblInd w:w="0" w:type="dxa"/>
        <w:tblLayout w:type="fixed"/>
        <w:tblCellMar>
          <w:top w:w="28" w:type="dxa"/>
          <w:left w:w="28" w:type="dxa"/>
          <w:bottom w:w="28" w:type="dxa"/>
          <w:right w:w="28" w:type="dxa"/>
        </w:tblCellMar>
      </w:tblPr>
      <w:tblGrid>
        <w:gridCol w:w="1711"/>
        <w:gridCol w:w="1505"/>
        <w:gridCol w:w="1509"/>
        <w:gridCol w:w="211"/>
        <w:gridCol w:w="721"/>
        <w:gridCol w:w="109"/>
        <w:gridCol w:w="109"/>
        <w:gridCol w:w="109"/>
        <w:gridCol w:w="109"/>
        <w:gridCol w:w="222"/>
        <w:gridCol w:w="759"/>
        <w:gridCol w:w="114"/>
        <w:gridCol w:w="109"/>
        <w:gridCol w:w="109"/>
        <w:gridCol w:w="109"/>
        <w:gridCol w:w="272"/>
        <w:gridCol w:w="272"/>
        <w:gridCol w:w="385"/>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know-how</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71,300 </w:t>
            </w:r>
          </w:p>
        </w:tc>
        <w:tc>
          <w:tcPr>
            <w:tcW w:w="11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technology and know-how</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of tradenames and trademarks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35,651 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1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will be $4.8 million per year for each of the next five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Aggregate amortization expense on intangible assets was approximately $1.2 million for both of the three month periods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property and equipment consists of the following (in 000’s):</w:t>
      </w:r>
    </w:p>
    <w:tbl>
      <w:tblPr>
        <w:tblW w:w="5237" w:type="dxa"/>
        <w:jc w:val="left"/>
        <w:tblInd w:w="0" w:type="dxa"/>
        <w:tblLayout w:type="fixed"/>
        <w:tblCellMar>
          <w:top w:w="28" w:type="dxa"/>
          <w:left w:w="28" w:type="dxa"/>
          <w:bottom w:w="28" w:type="dxa"/>
          <w:right w:w="28" w:type="dxa"/>
        </w:tblCellMar>
      </w:tblPr>
      <w:tblGrid>
        <w:gridCol w:w="989"/>
        <w:gridCol w:w="867"/>
        <w:gridCol w:w="874"/>
        <w:gridCol w:w="211"/>
        <w:gridCol w:w="721"/>
        <w:gridCol w:w="109"/>
        <w:gridCol w:w="109"/>
        <w:gridCol w:w="109"/>
        <w:gridCol w:w="109"/>
        <w:gridCol w:w="221"/>
        <w:gridCol w:w="757"/>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equipment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13,076 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32,440 </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(25,638)</w:t>
            </w:r>
          </w:p>
        </w:tc>
        <w:tc>
          <w:tcPr>
            <w:tcW w:w="16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27,814 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approximately $1.8 million and $2.0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with an aggregate principal amount of up to $5.0 million. On September 29, 2023, the Company voluntarily pre-paid $10.0 million of the principal balance of the term loans under the Credit Agreement using cash on hand. During the quarter ended March 31, 2026,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amended the Credit Agreement (the "Third Amendment") to modify certain financial covenants made by the Company in the Credit Agreement,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would be increased to 3.75% or 4.75% for base rate or SOFR, respectively, if the Company's total leverage ratio was equal to or greater than 3.00x, 3.50% or 4.50% for base rate or SOFR, respectively, if the Company's total leverage ratio was equal to or greater than 2.00x and less than 3.00x, and 3.25% or 4.25% for base rate or SOFR, respectively, if the Company's total leverage ratio was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Silicon Valley Bank ("SVB") for certain fees and expenses relating to the engagement of a financial advisor, and (vi) 100% of the first $10.0 million of any equity proceeds will be used to repay the term loan and revolving credit facility, subject to the following carve-outs (i) the first $3.0 million of equity proceeds; and (ii) any equity proceeds received from Vesey Street Capital Partners, L.L.C., our private equity sponsor (“Sponsor”). In consideration of the Third Amendment, the Company paid a fee equal to 0.15% of the outstanding loans to consenting Lenders, and a $125 thousand arrangement fee to SVB. On March 12, 2025 in connection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limited guaranty of the Company’s obligations under the Credit Agreement. The Limited Guarantee was callable on June 15, 2025 (or upon the earlier occurrence of certain defaults described therein) if the Company had not prepaid the term loan (excluding regularly scheduled amortization) by $10.0 million as of such date. On June 13, 2025, the Company made a $10.0 million principal payment on the term loan in accordance with the Third Amendment using proceeds from its underwritten public offering completed on June 11, 2025. The Limited Guarantee automatically terminated on March 12, 2026 following the prepayment of the Term Loan in an aggregate amount of $20.0 million since the date of the Limited Guarantee.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interest rate under the Credit Agreement was 8.42%.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borrowings as of March 31, 2026 and December 31, 2025 were as follows (in 000’s):</w:t>
      </w:r>
    </w:p>
    <w:tbl>
      <w:tblPr>
        <w:tblW w:w="6436" w:type="dxa"/>
        <w:jc w:val="left"/>
        <w:tblInd w:w="0" w:type="dxa"/>
        <w:tblLayout w:type="fixed"/>
        <w:tblCellMar>
          <w:top w:w="28" w:type="dxa"/>
          <w:left w:w="28" w:type="dxa"/>
          <w:bottom w:w="28" w:type="dxa"/>
          <w:right w:w="28" w:type="dxa"/>
        </w:tblCellMar>
      </w:tblPr>
      <w:tblGrid>
        <w:gridCol w:w="1423"/>
        <w:gridCol w:w="1248"/>
        <w:gridCol w:w="1258"/>
        <w:gridCol w:w="211"/>
        <w:gridCol w:w="721"/>
        <w:gridCol w:w="109"/>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45,592 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discounts and issuance costs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56,045 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39,357 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As of March 31, 2026 and December 31, 2025, the Company had $5.0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$5.0 million available on the revolving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scheduled future maturities of long-term debt as of March 31, 2026 is as follows (in 000’s):</w:t>
      </w:r>
    </w:p>
    <w:tbl>
      <w:tblPr>
        <w:tblW w:w="3440" w:type="dxa"/>
        <w:jc w:val="left"/>
        <w:tblInd w:w="0" w:type="dxa"/>
        <w:tblLayout w:type="fixed"/>
        <w:tblCellMar>
          <w:top w:w="28" w:type="dxa"/>
          <w:left w:w="28" w:type="dxa"/>
          <w:bottom w:w="28" w:type="dxa"/>
          <w:right w:w="28" w:type="dxa"/>
        </w:tblCellMar>
      </w:tblPr>
      <w:tblGrid>
        <w:gridCol w:w="853"/>
        <w:gridCol w:w="749"/>
        <w:gridCol w:w="752"/>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borrowings under the Credit Agreement are cross collateralized by substantially all assets of the Company and are subject to certain restrictive covenants including quarterly total leverage ratio and fixed charge ratio requirements discussed above. The Company is in compliance with all covenants and has no letter of credit outstanding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are primarily for real estate, including medical office suites and corporate offices. For the three months ended March 31, 2026 and 2025, the Company incurred rent expense of $1.6 million and $1.8 million, respectively, for its medical office suites. The Company’s rent expense related to its medical office suites is classified in cost of services within the Company’s condensed consolidated statements of operations. The Company incurred rent expense of $0.06 million and $0.09 million for the three months ended March 31, 2026 and 2025, respectively, related to the corporate offices, which is classified in selling, general and administrative expenses. The Company currently does not have any finance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for the three months ended March 31, 2026 and 2025 (in 000’s):</w:t>
      </w:r>
    </w:p>
    <w:tbl>
      <w:tblPr>
        <w:tblW w:w="8326" w:type="dxa"/>
        <w:jc w:val="left"/>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minimum rental payments under all non-cancellable operating lease agreements for the succeeding five years are as follows, excluding common area maintenance charges that may be required by the agreements (in 000’s):</w:t>
      </w:r>
    </w:p>
    <w:tbl>
      <w:tblPr>
        <w:tblW w:w="4370" w:type="dxa"/>
        <w:jc w:val="left"/>
        <w:tblInd w:w="0" w:type="dxa"/>
        <w:tblLayout w:type="fixed"/>
        <w:tblCellMar>
          <w:top w:w="28" w:type="dxa"/>
          <w:left w:w="28" w:type="dxa"/>
          <w:bottom w:w="28" w:type="dxa"/>
          <w:right w:w="28" w:type="dxa"/>
        </w:tblCellMar>
      </w:tblPr>
      <w:tblGrid>
        <w:gridCol w:w="1190"/>
        <w:gridCol w:w="1045"/>
        <w:gridCol w:w="1049"/>
        <w:gridCol w:w="211"/>
        <w:gridCol w:w="72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as of March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STOCKHOLDERS' EQUITY AND 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the Company granted 146,771 and 888,301 restricted stock units ("RSUs") to executive officers and employees under the 2021 Equity Incentive Plan. These RSUs are not considered outstanding until vested. These RSUs have a time-based vesting condition. These units will vest one-third per year over three years. Vesting and payment of these RSUs are generally subject to continuing service of the employee or non-employee director over the requisite vesting periods beginning one year from the date of grant to three years after the date of grant. The fair values of these RSUs were determined based on the closing price of the Company’s common stock on the trading date immediately prior to the grant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also granted 146,771 and 899,919 performance based stock units ("PSUs") which have market-based vesting conditions. The vesting is based on achievement of a total shareholder return relative to a specified peer group (“rTSR”) within the three year performance period. Based on the rTSR, the PSUs can settle in shares in a range from 0% to 200%. Additionally, during the three months ended March 31, 2026 and 2025 , our CEO was granted 0 and 220,836 PSUs, respectively, with vesting conditioned on the attainment of a 60-day volume weighted average price ("VWAP") in relation to the per share closing price on the date of grant. These awards are structured with one-fourth vesting at 125% VWAP, one-fourth vesting at 175% VWAP, one-fourth vesting at 200% VWAP, and the final one-fourth vesting at 225% VWAP. In addition to the achievement of the performance conditions, all PSUs are generally subject to the continuing service of the employee over the requisite vesting period from the earned date continuing through the settlement of the shares, subject to exceptions (in whole or in part) upon certain qualifying terminations of service, as provided in the applicable award agreement. For these PSUs, the shares settle in the first quarter of the year following the year in which the vesting criteria are met. The performance criterion is based on the Company’s actual performance condition results as compared to the targets.  These PSUs are not considered outstanding until settled. The fair values of PSUs with a market-based vesting condition were estimated using a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equity-based compensation expense of $0.6 million and $1.2 million for the three months ended March 31, 2026 and 2025, respectively, in selling, general and administrative expenses on the condensed consolidated statements of operations. Forfeitures are recognized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the Company entered into a sales agreement (the “ATM Agreement”) with Leerink, as sales agent, in connection with an at-the-market offering program under which the Company may offer and sell, from time to time in its sole discretion, shares of its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the Company under its Registration Statement on Form S-3 (File No. 333-285825). The Company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2026, we sold the following quantities of our common stock pursuant to the ATM Agreement for total net proceeds of approximately $14.6 million:</w:t>
      </w:r>
    </w:p>
    <w:p>
      <w:pPr>
        <w:pStyle w:val="TextBody"/>
        <w:bidi w:val="0"/>
        <w:spacing w:before="0" w:after="0"/>
        <w:jc w:val="both"/>
        <w:rPr/>
      </w:pPr>
      <w:r>
        <w:rPr/>
      </w:r>
    </w:p>
    <w:tbl>
      <w:tblPr>
        <w:tblW w:w="2590" w:type="dxa"/>
        <w:jc w:val="left"/>
        <w:tblInd w:w="0" w:type="dxa"/>
        <w:tblLayout w:type="fixed"/>
        <w:tblCellMar>
          <w:top w:w="28" w:type="dxa"/>
          <w:left w:w="28" w:type="dxa"/>
          <w:bottom w:w="28" w:type="dxa"/>
          <w:right w:w="28" w:type="dxa"/>
        </w:tblCellMar>
      </w:tblPr>
      <w:tblGrid>
        <w:gridCol w:w="407"/>
        <w:gridCol w:w="356"/>
        <w:gridCol w:w="361"/>
        <w:gridCol w:w="109"/>
        <w:gridCol w:w="109"/>
        <w:gridCol w:w="109"/>
        <w:gridCol w:w="333"/>
        <w:gridCol w:w="333"/>
        <w:gridCol w:w="473"/>
      </w:tblGrid>
      <w:tr>
        <w:trPr/>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7 – EARNINGS PER SHARE</w:t>
      </w:r>
    </w:p>
    <w:p>
      <w:pPr>
        <w:pStyle w:val="TextBody"/>
        <w:bidi w:val="0"/>
        <w:spacing w:before="0" w:after="0"/>
        <w:jc w:val="both"/>
        <w:rPr/>
      </w:pPr>
      <w:r>
        <w:rPr/>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of common stock is computed by dividing net loss for the three months ended March 31, 2026 and 2025 by the weighted-average number of shares of common stock outstanding during the same period. Diluted earnings per share of common stock is computed by dividing net loss for the three months ended March 31, 2026 and 2025 by the weighted-average number of shares of common stock adjusted to give effect to potentially dilutive securities. </w:t>
      </w:r>
    </w:p>
    <w:p>
      <w:pPr>
        <w:pStyle w:val="TextBody"/>
        <w:bidi w:val="0"/>
        <w:spacing w:lineRule="auto" w:line="276" w:before="0" w:after="16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per share of common stock is as follows (in 000’s except for shares and per share figures):</w:t>
      </w:r>
    </w:p>
    <w:tbl>
      <w:tblPr>
        <w:tblW w:w="8077" w:type="dxa"/>
        <w:jc w:val="left"/>
        <w:tblInd w:w="0" w:type="dxa"/>
        <w:tblLayout w:type="fixed"/>
        <w:tblCellMar>
          <w:top w:w="28" w:type="dxa"/>
          <w:left w:w="28" w:type="dxa"/>
          <w:bottom w:w="28" w:type="dxa"/>
          <w:right w:w="28" w:type="dxa"/>
        </w:tblCellMar>
      </w:tblPr>
      <w:tblGrid>
        <w:gridCol w:w="1926"/>
        <w:gridCol w:w="1693"/>
        <w:gridCol w:w="1706"/>
        <w:gridCol w:w="270"/>
        <w:gridCol w:w="811"/>
        <w:gridCol w:w="109"/>
        <w:gridCol w:w="270"/>
        <w:gridCol w:w="811"/>
        <w:gridCol w:w="109"/>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69,460,700 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58,536,950 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69,460,700 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58,536,950 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 outstanding - basic and diluted</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number of potentially dilutive shares were excluded from the calculation of diluted loss per share because the effect of including such potentially dilutive shares would have been antidilutive.</w:t>
      </w:r>
    </w:p>
    <w:tbl>
      <w:tblPr>
        <w:tblW w:w="6506" w:type="dxa"/>
        <w:jc w:val="left"/>
        <w:tblInd w:w="0" w:type="dxa"/>
        <w:tblLayout w:type="fixed"/>
        <w:tblCellMar>
          <w:top w:w="28" w:type="dxa"/>
          <w:left w:w="28" w:type="dxa"/>
          <w:bottom w:w="28" w:type="dxa"/>
          <w:right w:w="28" w:type="dxa"/>
        </w:tblCellMar>
      </w:tblPr>
      <w:tblGrid>
        <w:gridCol w:w="1275"/>
        <w:gridCol w:w="1121"/>
        <w:gridCol w:w="1128"/>
        <w:gridCol w:w="681"/>
        <w:gridCol w:w="310"/>
        <w:gridCol w:w="310"/>
        <w:gridCol w:w="678"/>
        <w:gridCol w:w="310"/>
        <w:gridCol w:w="321"/>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1,145,702 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1,288,748 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and market-based stock units</w:t>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1,212,795 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1,752,042 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benefit for the three months ended March 31, 2026 and 2025 was $(0.5) million and $(0.4) million, and the effective tax rate was 16.2% and 11.4%. The main driver of the difference between the effective and statutory rate is non-deductible executive compensation under Section 162(m) of the Internal Revenue Code. There are no uncertain tax positions as of March 31, 2026 or December 31, 2025. Cash paid for income taxes, net of refunds, for the three months ended March 31, 2026 and March 31, 2025 was $(0.2) million and $0.0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Professional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and one reportable segment: direct medical procedure services. This segment is made up of facilities and medical staff that provide the Company’s patented AirSculpt® procedures to patients. The accounting policies of the direct medical procedure services segment are the same as those presented in Note 1 - Organization and Summary of Key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income/(loss).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is defined as net loss excluding depreciation and amortization, net interest expense, income tax benefit, restructuring and related severance costs and equity-based compensation. Segment information is presented below showing revenue, significant expenses and net loss (the closest GAAP measure to Adjusted EBITDA), in the same manner that the CODM reviews the operating results in assessing performance and allocating resources. </w:t>
      </w:r>
    </w:p>
    <w:tbl>
      <w:tblPr>
        <w:tblW w:w="8748" w:type="dxa"/>
        <w:jc w:val="left"/>
        <w:tblInd w:w="0" w:type="dxa"/>
        <w:tblLayout w:type="fixed"/>
        <w:tblCellMar>
          <w:top w:w="28" w:type="dxa"/>
          <w:left w:w="28" w:type="dxa"/>
          <w:bottom w:w="28" w:type="dxa"/>
          <w:right w:w="28" w:type="dxa"/>
        </w:tblCellMar>
      </w:tblPr>
      <w:tblGrid>
        <w:gridCol w:w="1882"/>
        <w:gridCol w:w="1651"/>
        <w:gridCol w:w="1657"/>
        <w:gridCol w:w="109"/>
        <w:gridCol w:w="109"/>
        <w:gridCol w:w="128"/>
        <w:gridCol w:w="128"/>
        <w:gridCol w:w="248"/>
        <w:gridCol w:w="972"/>
        <w:gridCol w:w="128"/>
        <w:gridCol w:w="109"/>
        <w:gridCol w:w="109"/>
        <w:gridCol w:w="109"/>
        <w:gridCol w:w="211"/>
        <w:gridCol w:w="826"/>
        <w:gridCol w:w="109"/>
        <w:gridCol w:w="109"/>
        <w:gridCol w:w="154"/>
      </w:tblGrid>
      <w:tr>
        <w:trPr/>
        <w:tc>
          <w:tcPr>
            <w:tcW w:w="188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736" w:type="dxa"/>
            <w:gridSpan w:val="8"/>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39,389 </w:t>
            </w:r>
          </w:p>
        </w:tc>
        <w:tc>
          <w:tcPr>
            <w:tcW w:w="128"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Cost of service (exclusive of depreciation and amortization)</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2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selling, general, and administrative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2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41,191 </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40,960 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28"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2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28"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D2EDF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top w:val="single" w:sz="6"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2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7"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6"/>
              </w:rPr>
            </w:pPr>
            <w:r>
              <w:rPr>
                <w:rFonts w:ascii="Times New Roman;serif" w:hAnsi="Times New Roman;serif"/>
                <w:b w:val="false"/>
                <w:color w:val="000000"/>
                <w:sz w:val="16"/>
              </w:rPr>
              <w:t>Cost of services includes the costs of physicians, nursing, supplies and rent directly related to the performance of procedures at the facility level.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ACCRUED AND OTHER CURRENT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accrued and other current liabilities consists of the following (in 000’s):</w:t>
      </w:r>
    </w:p>
    <w:tbl>
      <w:tblPr>
        <w:tblW w:w="5448" w:type="dxa"/>
        <w:jc w:val="left"/>
        <w:tblInd w:w="0" w:type="dxa"/>
        <w:tblLayout w:type="fixed"/>
        <w:tblCellMar>
          <w:top w:w="28" w:type="dxa"/>
          <w:left w:w="28" w:type="dxa"/>
          <w:bottom w:w="28" w:type="dxa"/>
          <w:right w:w="28" w:type="dxa"/>
        </w:tblCellMar>
      </w:tblPr>
      <w:tblGrid>
        <w:gridCol w:w="1100"/>
        <w:gridCol w:w="971"/>
        <w:gridCol w:w="974"/>
        <w:gridCol w:w="211"/>
        <w:gridCol w:w="616"/>
        <w:gridCol w:w="109"/>
        <w:gridCol w:w="109"/>
        <w:gridCol w:w="109"/>
        <w:gridCol w:w="109"/>
        <w:gridCol w:w="245"/>
        <w:gridCol w:w="716"/>
        <w:gridCol w:w="179"/>
      </w:tblGrid>
      <w:tr>
        <w:trPr/>
        <w:tc>
          <w:tcPr>
            <w:tcW w:w="110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payable</w:t>
            </w:r>
          </w:p>
        </w:tc>
        <w:tc>
          <w:tcPr>
            <w:tcW w:w="8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Insurance premiums payable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financial statements and related notes and other financial information appearing in our Annual Report on Form 10-K dated April 6, 2026 filed with the Securities and Exchange Commission (“SEC”) pursuant to Section 13 or 15(d) of the Securities Exchange Act of 1934 (the “Exchange Act”). This discussion and analysis contains forward-looking statements that involve risks, uncertainties and assumptions. See the section entitled "Cautionary Note Regarding Forward-Looking Statements" in this Quarterly Report on Form 10-Q. Our actual results could differ materially from those anticipated in the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section titled “Cautionary Note Regarding Forward-Looking Statements” in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Quarterly Report to the “Company,” “AirSculpt,” “we,” “us” and “our” refer to AirSculpt Technologies, Inc. and its consolidated subsidiaries and its related Professional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AirSculpt is an experienced national provider of body contouring procedures delivering a premium consumer experience. At AirSculpt, we provide custom body contouring using our proprietary AirSculpt® method that removes unwanted fat in a minimally invasive procedure, producing dramatic results. We now deliver our AirSculpt® procedures through a nationwide footprint of 31 centers across 20 states and Canada as of May 8,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performed 3,082 cases and generated approximately $39.4 million of revenue, compared to 3,076 cases and $39.4 million in revenue for the three months ended March 31, 2025, reflecting essentially flat revenue year-over-year.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Operational and Business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measures presented in our condensed consolidated financial statements, we use the following key operational and business metrics to evaluate our business, measure our performance, develop financial forecasts and make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8"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Cases Performed and Revenue per Case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case volumes in the table below, which are used for calculating revenue per case, represent one patient visit although; a patient may have multiple areas treated during one visit. We believe this provides the best approach for assessing our revenue performance and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Total Case and Revenue Metrics</w:t>
      </w:r>
    </w:p>
    <w:tbl>
      <w:tblPr>
        <w:tblW w:w="6156" w:type="dxa"/>
        <w:jc w:val="left"/>
        <w:tblInd w:w="0" w:type="dxa"/>
        <w:tblLayout w:type="fixed"/>
        <w:tblCellMar>
          <w:top w:w="28" w:type="dxa"/>
          <w:left w:w="28" w:type="dxa"/>
          <w:bottom w:w="28" w:type="dxa"/>
          <w:right w:w="28" w:type="dxa"/>
        </w:tblCellMar>
      </w:tblPr>
      <w:tblGrid>
        <w:gridCol w:w="1005"/>
        <w:gridCol w:w="883"/>
        <w:gridCol w:w="901"/>
        <w:gridCol w:w="109"/>
        <w:gridCol w:w="109"/>
        <w:gridCol w:w="216"/>
        <w:gridCol w:w="216"/>
        <w:gridCol w:w="418"/>
        <w:gridCol w:w="216"/>
        <w:gridCol w:w="537"/>
        <w:gridCol w:w="109"/>
        <w:gridCol w:w="109"/>
        <w:gridCol w:w="109"/>
        <w:gridCol w:w="280"/>
        <w:gridCol w:w="334"/>
        <w:gridCol w:w="342"/>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46" w:type="dxa"/>
            <w:gridSpan w:val="8"/>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Same-Center Case and Revenue Metrics</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Same-Center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define same-center case and revenue growth as the growth in each of our cases and revenue at facilities that were owned and operated during the three months ended March 31, 2026 and 2025, respectively. At facilities that were not owned or operated for the entirety of the prior year period, the current year period has been pro-rated to reflect only growth experienced during the portion of the three months ended March 31, 2026 in which such facilities were owned and operated during the three months ended March 31, 2025. We define same-center facilities and procedure rooms based on whether a facility was owned or operated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59" w:type="dxa"/>
        <w:jc w:val="left"/>
        <w:tblInd w:w="0" w:type="dxa"/>
        <w:tblLayout w:type="fixed"/>
        <w:tblCellMar>
          <w:top w:w="28" w:type="dxa"/>
          <w:left w:w="28" w:type="dxa"/>
          <w:bottom w:w="28" w:type="dxa"/>
          <w:right w:w="28" w:type="dxa"/>
        </w:tblCellMar>
      </w:tblPr>
      <w:tblGrid>
        <w:gridCol w:w="1005"/>
        <w:gridCol w:w="883"/>
        <w:gridCol w:w="901"/>
        <w:gridCol w:w="109"/>
        <w:gridCol w:w="109"/>
        <w:gridCol w:w="109"/>
        <w:gridCol w:w="109"/>
        <w:gridCol w:w="109"/>
        <w:gridCol w:w="109"/>
        <w:gridCol w:w="211"/>
        <w:gridCol w:w="721"/>
        <w:gridCol w:w="271"/>
        <w:gridCol w:w="109"/>
        <w:gridCol w:w="109"/>
        <w:gridCol w:w="109"/>
        <w:gridCol w:w="211"/>
        <w:gridCol w:w="72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27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54"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27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8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same-center case increase is primarily attributed to no new clinics being opened in fiscal year ended December 31, 2025 and stronger than expected performance across the broader aesthetics industry in the 2026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Measures—Adjusted EBITDA, Adjusted EBITDA Margin, Adjusted Net Income, and Adjusted Net Income per Share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loss excluding depreciation and amortization, net interest expense, income tax benefit, restructuring and related severance costs, certain other non-recurring costs, unrealized (gain)/loss, and equity-based compensation.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as net loss excluding restructuring and related severance costs, equity-based compensation and the tax effect of these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9"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include Adjusted EBITDA and Adjusted Net Income because they are important measures which our management uses and believes investors should use to assess our operating performance. We consider Adjusted EBITDA and Adjusted Net Income to be important measures because they help illustrate underlying trends in our business and our historical operating performance on a more consistent basis. However, Adjusted EBITDA has limitations as an analytical tool including that it: (i) does not include results from equity-based compensation and (ii) does not reflect interest expense on our debt or the cash requirements necessary to service interest or principal payments. Similarly, Adjusted Net Income has limitations as an analytical tool because it does not include results from equity-based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uses, and believes investors should use to assess our operating performance. We consider Adjusted EBITDA Margin and Adjusted Net Income per Share to be important measures because they help illustrate underlying trends in our business and our historical operating performance on a more consistent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and Adjusted EBITDA Margin to net loss, the most directly comparable GAAP financial measure:</w:t>
      </w:r>
    </w:p>
    <w:tbl>
      <w:tblPr>
        <w:tblW w:w="7789" w:type="dxa"/>
        <w:jc w:val="left"/>
        <w:tblInd w:w="0" w:type="dxa"/>
        <w:tblLayout w:type="fixed"/>
        <w:tblCellMar>
          <w:top w:w="28" w:type="dxa"/>
          <w:left w:w="28" w:type="dxa"/>
          <w:bottom w:w="28" w:type="dxa"/>
          <w:right w:w="28" w:type="dxa"/>
        </w:tblCellMar>
      </w:tblPr>
      <w:tblGrid>
        <w:gridCol w:w="1501"/>
        <w:gridCol w:w="1316"/>
        <w:gridCol w:w="1322"/>
        <w:gridCol w:w="109"/>
        <w:gridCol w:w="109"/>
        <w:gridCol w:w="109"/>
        <w:gridCol w:w="109"/>
        <w:gridCol w:w="211"/>
        <w:gridCol w:w="691"/>
        <w:gridCol w:w="301"/>
        <w:gridCol w:w="109"/>
        <w:gridCol w:w="109"/>
        <w:gridCol w:w="109"/>
        <w:gridCol w:w="211"/>
        <w:gridCol w:w="691"/>
        <w:gridCol w:w="301"/>
        <w:gridCol w:w="109"/>
        <w:gridCol w:w="109"/>
        <w:gridCol w:w="109"/>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8"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684" w:type="dxa"/>
            <w:gridSpan w:val="7"/>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SOX compliance and other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3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720"/>
        <w:jc w:val="both"/>
        <w:rPr/>
      </w:pPr>
      <w:r>
        <w:rPr/>
      </w:r>
    </w:p>
    <w:p>
      <w:pPr>
        <w:pStyle w:val="TextBody"/>
        <w:bidi w:val="0"/>
        <w:spacing w:before="24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20"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Loss and Adjusted Net Loss per Share to net loss, the most directly comparable GAAP financial measure:</w:t>
      </w:r>
    </w:p>
    <w:tbl>
      <w:tblPr>
        <w:tblW w:w="7781" w:type="dxa"/>
        <w:jc w:val="left"/>
        <w:tblInd w:w="0" w:type="dxa"/>
        <w:tblLayout w:type="fixed"/>
        <w:tblCellMar>
          <w:top w:w="28" w:type="dxa"/>
          <w:left w:w="28" w:type="dxa"/>
          <w:bottom w:w="28" w:type="dxa"/>
          <w:right w:w="28" w:type="dxa"/>
        </w:tblCellMar>
      </w:tblPr>
      <w:tblGrid>
        <w:gridCol w:w="1501"/>
        <w:gridCol w:w="1316"/>
        <w:gridCol w:w="1322"/>
        <w:gridCol w:w="109"/>
        <w:gridCol w:w="109"/>
        <w:gridCol w:w="112"/>
        <w:gridCol w:w="112"/>
        <w:gridCol w:w="270"/>
        <w:gridCol w:w="811"/>
        <w:gridCol w:w="112"/>
        <w:gridCol w:w="112"/>
        <w:gridCol w:w="112"/>
        <w:gridCol w:w="112"/>
        <w:gridCol w:w="270"/>
        <w:gridCol w:w="811"/>
        <w:gridCol w:w="109"/>
        <w:gridCol w:w="109"/>
        <w:gridCol w:w="109"/>
        <w:gridCol w:w="109"/>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671" w:type="dxa"/>
            <w:gridSpan w:val="7"/>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12"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1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SOX compliance and other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(821)</w:t>
            </w:r>
          </w:p>
        </w:tc>
        <w:tc>
          <w:tcPr>
            <w:tcW w:w="112"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(1,108)</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net loss per share of common stock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2EDF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D2EDF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69,460,700 </w:t>
            </w:r>
          </w:p>
        </w:tc>
        <w:tc>
          <w:tcPr>
            <w:tcW w:w="11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2EDF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58,536,950 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69,460,700 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720"/>
        <w:jc w:val="both"/>
        <w:rPr/>
      </w:pPr>
      <w:r>
        <w:rPr/>
      </w:r>
    </w:p>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(1)    Diluted Adjusted Net Loss Per Share is computed by dividing adjusted net income by the weighted-average number of shares of common stock outstanding adjusted for the dilutive effect of all potential shares of common stock.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160" w:after="283"/>
        <w:jc w:val="both"/>
        <w:rPr/>
      </w:pPr>
      <w:r>
        <w:rPr>
          <w:rFonts w:ascii="Times New Roman;serif" w:hAnsi="Times New Roman;serif"/>
          <w:b w:val="false"/>
          <w:color w:val="000000"/>
          <w:sz w:val="20"/>
        </w:rPr>
        <w:t>Our revenue is generated from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Our policy is to require full payment for services in advance of performing a procedure. Payments received for which services have yet to been performed for all reported periods are included in deferred revenue and patient deposits on our balance sheets.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Cost of Service (excluding depreciation and amortization)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service is comprised of all service and product costs related to the delivery of procedures, including but not limited to compensation to our physicians and clinical staff, medical supply costs, and facility-related rent expense.</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76" w:before="160" w:after="283"/>
        <w:jc w:val="both"/>
        <w:rPr/>
      </w:pPr>
      <w:r>
        <w:rPr>
          <w:rFonts w:ascii="Times New Roman;serif" w:hAnsi="Times New Roman;serif"/>
          <w:b w:val="false"/>
          <w:color w:val="000000"/>
          <w:sz w:val="20"/>
        </w:rPr>
        <w:t>Selling, general and administrative consists of marketing and advertising expenses we incur to market our patented AirSculpt</w:t>
      </w:r>
      <w:r>
        <w:rPr>
          <w:rFonts w:ascii="Times New Roman;serif" w:hAnsi="Times New Roman;serif"/>
          <w:b w:val="false"/>
          <w:color w:val="000000"/>
          <w:sz w:val="15"/>
        </w:rPr>
        <w:t>®</w:t>
      </w:r>
      <w:r>
        <w:rPr>
          <w:color w:val="000000"/>
        </w:rPr>
        <w:t> </w:t>
      </w:r>
      <w:r>
        <w:rPr>
          <w:rFonts w:ascii="Times New Roman;serif" w:hAnsi="Times New Roman;serif"/>
          <w:b w:val="false"/>
          <w:color w:val="000000"/>
          <w:sz w:val="20"/>
        </w:rPr>
        <w:t>procedures to potential patients and general and administrative costs, including rent for our corporate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21"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Expenses</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We evaluate our selling expense as compared to growth in our sales volume and will invest accordingly to the extent we believe we can position ourselves for future growth without materially negatively impacting our Adjusted EBITDA Margins.</w:t>
      </w:r>
    </w:p>
    <w:p>
      <w:pPr>
        <w:pStyle w:val="TextBody"/>
        <w:bidi w:val="0"/>
        <w:spacing w:lineRule="auto" w:line="276"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consists primarily of interest costs on our outstanding borrowings under our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Three Months Ended March 31, 2026 Compared to Three Months Ended March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and notes summarize certain results from the statements of operations for each of the periods indicated and the changes between periods. The table also shows the percentage relationship to revenue for the periods indicated:</w:t>
      </w:r>
    </w:p>
    <w:tbl>
      <w:tblPr>
        <w:tblW w:w="8104" w:type="dxa"/>
        <w:jc w:val="left"/>
        <w:tblInd w:w="0" w:type="dxa"/>
        <w:tblLayout w:type="fixed"/>
        <w:tblCellMar>
          <w:top w:w="28" w:type="dxa"/>
          <w:left w:w="28" w:type="dxa"/>
          <w:bottom w:w="28" w:type="dxa"/>
          <w:right w:w="28" w:type="dxa"/>
        </w:tblCellMar>
      </w:tblPr>
      <w:tblGrid>
        <w:gridCol w:w="1105"/>
        <w:gridCol w:w="963"/>
        <w:gridCol w:w="886"/>
        <w:gridCol w:w="211"/>
        <w:gridCol w:w="721"/>
        <w:gridCol w:w="109"/>
        <w:gridCol w:w="109"/>
        <w:gridCol w:w="109"/>
        <w:gridCol w:w="109"/>
        <w:gridCol w:w="308"/>
        <w:gridCol w:w="308"/>
        <w:gridCol w:w="401"/>
        <w:gridCol w:w="109"/>
        <w:gridCol w:w="109"/>
        <w:gridCol w:w="109"/>
        <w:gridCol w:w="211"/>
        <w:gridCol w:w="721"/>
        <w:gridCol w:w="109"/>
        <w:gridCol w:w="109"/>
        <w:gridCol w:w="109"/>
        <w:gridCol w:w="109"/>
        <w:gridCol w:w="308"/>
        <w:gridCol w:w="308"/>
        <w:gridCol w:w="454"/>
      </w:tblGrid>
      <w:tr>
        <w:trPr/>
        <w:tc>
          <w:tcPr>
            <w:tcW w:w="110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w:t>
              <w:br/>
              <w:t>Revenue</w:t>
            </w:r>
          </w:p>
        </w:tc>
      </w:tr>
      <w:tr>
        <w:trPr/>
        <w:tc>
          <w:tcPr>
            <w:tcW w:w="295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 </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01"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5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Our revenue increased $0.02 million, or 0.05%, compared to the same period in 2025. </w:t>
      </w:r>
    </w:p>
    <w:p>
      <w:pPr>
        <w:pStyle w:val="TextBody"/>
        <w:bidi w:val="0"/>
        <w:spacing w:lineRule="auto" w:line="288" w:before="240" w:after="283"/>
        <w:jc w:val="both"/>
        <w:rPr/>
      </w:pPr>
      <w:r>
        <w:rPr>
          <w:rFonts w:ascii="Times New Roman;serif" w:hAnsi="Times New Roman;serif"/>
          <w:b w:val="false"/>
          <w:i/>
          <w:color w:val="000000"/>
          <w:sz w:val="20"/>
        </w:rPr>
        <w:t xml:space="preserve">Cost of Service— </w:t>
      </w:r>
      <w:r>
        <w:rPr>
          <w:rFonts w:ascii="Times New Roman;serif" w:hAnsi="Times New Roman;serif"/>
          <w:b w:val="false"/>
          <w:color w:val="000000"/>
          <w:sz w:val="20"/>
        </w:rPr>
        <w:t xml:space="preserve">Our cost of services decreased $0.4 million, or 2.3%, compared to the same period in 2025. The decrease in cost of service is driven by a $0.4 million decrease in medical payroll compared to the same period in 2025. Cost of service was 39.6% and 40.5% as a percentage of revenue for the three months ended March 31, 2026 and 2025, respectively. </w:t>
      </w:r>
    </w:p>
    <w:p>
      <w:pPr>
        <w:pStyle w:val="TextBody"/>
        <w:bidi w:val="0"/>
        <w:spacing w:lineRule="auto" w:line="288" w:before="240" w:after="283"/>
        <w:jc w:val="both"/>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Selling, general and administrative expenses increased $0.8 million, or 3.7%, for the three months ended March 31, 2026 compared to the same period in 2025. This decrease is driven by a $0.6 million decrease in stock compensation expense, offset by a $0.1 million increase in bank fees, a $0.7 million increase in professional service fees, a $0.1 million increase in travel expense, and a $0.6 million increase in advertising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22"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as a percent of revenue was 57.3% and 55.3% for the three months ended March 31, 2026 and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advertising costs for social, digital and traditional marketing and sales and marketing personnel. Total selling expenses were approximately $10.5 million and $9.6 million for the three months ended March 31, 2026 and 2025, respectively. Our customer acquisition costs were approximately $3,397 and $3,130 per customer in the three months ended March 31, 2026 and 2025, respectively. Selling expenses as a percentage of revenue may fluctuate from quarter to quarter based on the timing and scope of our initiatives and the related impact to our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$12.1 million and $12.2 million for the three months ended March 31, 2026 and 2025, respectively. </w:t>
      </w:r>
    </w:p>
    <w:p>
      <w:pPr>
        <w:pStyle w:val="TextBody"/>
        <w:bidi w:val="0"/>
        <w:spacing w:lineRule="auto" w:line="288" w:before="240" w:after="283"/>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decreased to approximately $3.0 million for the three months ended March 31, 2026 compared to $3.2 million for the same period in 2025. This decrease is driven primarily by the net reduction of one clinic location and one office location during the three months ended March 31, 2026 as compared to the 2025 period.</w:t>
      </w:r>
    </w:p>
    <w:p>
      <w:pPr>
        <w:pStyle w:val="TextBody"/>
        <w:bidi w:val="0"/>
        <w:spacing w:lineRule="auto" w:line="288" w:before="240" w:after="283"/>
        <w:jc w:val="both"/>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Interest expense was $1.2 million and $1.6 million for the three months ended March 31, 2026 and 2025, respectively. The $0.4 million decrease was related to principal prepayments which reduced the outstanding balance.</w:t>
      </w:r>
    </w:p>
    <w:p>
      <w:pPr>
        <w:pStyle w:val="TextBody"/>
        <w:bidi w:val="0"/>
        <w:spacing w:lineRule="auto" w:line="288" w:before="240" w:after="283"/>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Our effective tax rate was 16.2% and 11.4% for the three months ended March 31, 2026 and 2025, respectively. The main driver of the difference between the effective and statutory rate is non-deductible executive compensation under Section 162(m) of the Internal Revenue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principally rely on cash flows from operations as our primary source of liquidity and, if needed, up to $5.0 million in revolving loans under our revolving credit facility, subject to minimum liquidity draw requirements. In March 2025, we filed a Registration Statement on Form S-3 (File No. 333-285825) which covers the offer, issuance and sale, for an aggregate initial offering price not to exceed $100.0 million, of shares of common stock and preferred stock; debt securities; warrants to purchase common stock, preferred stock and/or debt securities; and units. We also commenced an at-the-market offering program, with Leerink Partners LLC (“Leerink”) acting as sales agent. This at-the-market offering program provides us with additional access to capital, as needed, subject to market conditions. During the quarter ended March 31, 2026, the Company sold approximately 5.9 million shares of common stock through its at-the-market offering program for total net proceeds of approximately $14.6 million. Additionally, during the quarter ended March 31, 2026,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uses of cash are for payroll, marketing and advertisements, rent, debt service, information technology and infrastructure, including our corporate office. Our cash flows are closely tied to the receipt of patient payments, and we have experienced revenue declines in the two most recent years due to a decline in overall cases performed. Our ability to improve operating results depends upon a significant number of factors, some of which are beyond our control. If we are unable to realize the anticipated savings or benefits of our growth strategies, or otherwise fail to implement those strategies successfully, the operating results and liquidity may be adversely affected.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term loan and revolver mature on May 11, 2027. These obligations will need to be refinanced prior to their maturity or paid out of then available cash. There can be no assurance that we will be able to refinance the debt with the current lender or obtain new financing.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cash expected to be generated from operations will be sufficient for our working capital requirements, liquidity obligations, and payments due under our existing credit facilities for at least the next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had $16.7 million in cash and cash equivalents and an available amount of $5.0 million under our revolving credit facility. We did not have any letters of credit outstanding as of March 31,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2025, we had $5.6 million in cash and cash equivalents and no availability under our revolving credit facility. We did not have any letters of credit outstanding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23"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cash provided by (used for) operating activities, investing activities and financing activities for the periods indicated:</w:t>
      </w:r>
    </w:p>
    <w:tbl>
      <w:tblPr>
        <w:tblW w:w="6877" w:type="dxa"/>
        <w:jc w:val="left"/>
        <w:tblInd w:w="0" w:type="dxa"/>
        <w:tblLayout w:type="fixed"/>
        <w:tblCellMar>
          <w:top w:w="28" w:type="dxa"/>
          <w:left w:w="28" w:type="dxa"/>
          <w:bottom w:w="28" w:type="dxa"/>
          <w:right w:w="28" w:type="dxa"/>
        </w:tblCellMar>
      </w:tblPr>
      <w:tblGrid>
        <w:gridCol w:w="1563"/>
        <w:gridCol w:w="1371"/>
        <w:gridCol w:w="1400"/>
        <w:gridCol w:w="211"/>
        <w:gridCol w:w="616"/>
        <w:gridCol w:w="109"/>
        <w:gridCol w:w="109"/>
        <w:gridCol w:w="109"/>
        <w:gridCol w:w="109"/>
        <w:gridCol w:w="215"/>
        <w:gridCol w:w="475"/>
        <w:gridCol w:w="109"/>
        <w:gridCol w:w="109"/>
        <w:gridCol w:w="109"/>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4" w:type="dxa"/>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000s)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w:t>
            </w:r>
          </w:p>
        </w:tc>
        <w:tc>
          <w:tcPr>
            <w:tcW w:w="93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w:t>
            </w:r>
          </w:p>
        </w:tc>
        <w:tc>
          <w:tcPr>
            <w:tcW w:w="82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source of our operating cash flow is the collection of patient payments received prior to performing surgical procedures. For the three months ended March 31, 2026, our operating cash flow increased by $4.4 million compared to the same period in 2025. This improvement was primarily driven by favorable working capital changes and the benefits realized from cost savings initiatives implemented during the prior year. At March 31, 2026, we had a working capital deficit of $(8.2) million compared to $(12.4) million at December 31, 2025.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2026 and 2025 was $0.1 million and $1.9 million, respectively. Investing activities in the three months ended March 31, 2026 relate primarily to maintenance capital expenditures. Investing activities during the three months ended March 31, 2025 relate primarily to final payments on our White Plains, NY location that opened in December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three months ended March 31, 2026 was $3.0 million. During the three months ended March 31, 2026, we received net proceeds of $14.6 million from the at-the-market offering, made principal payments on our debt of $11.4 million and made payments of taxes withheld through vested equity-based compensation of $0.2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three months ended March 31, 2025 was $1.6 million. For the three months ended March 31, 2025, we made principal payments on our debt of $1.1 million and made payments of taxes withheld through vested equity-based compensation of $0.1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Common Offering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March 14, 2025, we entered into a sales agreement (the “ATM Agreement”) with Leerink, as sales agent, in connection with an at-the-market offering program under which we may offer and sell, from time to time in our sole discretion, shares of our common stock having an aggregate offering price of up to $50.0 million at prices and on terms to be determined by market conditions at the time of offering. The $50.0 million of common stock that may be offered, issued and sold under the ATM Agreement is included in the $100.0 million of securities that may be offered, issued and sold by us under our Registration Statement on Form S-3 (File No. 333-285825). We and Leerink each have the right to suspend or terminate the ATM Agreement in each party’s sole discretion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2026, we sold the following quantities of our common stock pursuant to the ATM Agreement for total net proceeds of approximately $14.6 million:</w:t>
      </w:r>
    </w:p>
    <w:p>
      <w:pPr>
        <w:pStyle w:val="TextBody"/>
        <w:bidi w:val="0"/>
        <w:spacing w:before="0" w:after="0"/>
        <w:jc w:val="both"/>
        <w:rPr/>
      </w:pPr>
      <w:r>
        <w:rPr/>
      </w:r>
    </w:p>
    <w:tbl>
      <w:tblPr>
        <w:tblW w:w="2756" w:type="dxa"/>
        <w:jc w:val="left"/>
        <w:tblInd w:w="0" w:type="dxa"/>
        <w:tblLayout w:type="fixed"/>
        <w:tblCellMar>
          <w:top w:w="28" w:type="dxa"/>
          <w:left w:w="28" w:type="dxa"/>
          <w:bottom w:w="28" w:type="dxa"/>
          <w:right w:w="28" w:type="dxa"/>
        </w:tblCellMar>
      </w:tblPr>
      <w:tblGrid>
        <w:gridCol w:w="407"/>
        <w:gridCol w:w="356"/>
        <w:gridCol w:w="361"/>
        <w:gridCol w:w="109"/>
        <w:gridCol w:w="109"/>
        <w:gridCol w:w="109"/>
        <w:gridCol w:w="381"/>
        <w:gridCol w:w="381"/>
        <w:gridCol w:w="543"/>
      </w:tblGrid>
      <w:tr>
        <w:trPr/>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r>
        <w:trPr/>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24"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total indebtedness was $44.8 million and $56.0 million, which includes unamortized deferred financing costs and issuance discount of $0.8 million and $0.9 million as of March 31,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the Company entered into the Term Loan and Revolving Credit Facility pursuant to the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 Additionally, during the quarter-ended March 31, 2026, the Company voluntarily pre-paid $10.0 million of the principal balance of the term loans under the Credit Agreement using cash on hand.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entered into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 million as of the last day of the month ending March 31, 2025, (B) $5.0 million as of the last day of the month ending April 30, 2025, and (C) $7.5 million as of the last day of the months ending May 31, 2025 and thereafter (or the last day of each fiscal quarter thereafter upon the satisfaction of certain financial tests described therein); and (iv) new liquidity and financial reporting requirements have been added.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our Sponsor. In consideration of the Third Amendment, the Company paid a fee equal to 0.15% of the outstanding loans to consenting Lenders, and a $125 thousand arrangement fee to Silicon Valley Bank. On March 12, 2025, in connection with the Third Amendment, the Company, SVB and our Sponsor (through certain affiliated entities) entered into the Limited Guarantee, pursuant to which our Sponsor agreed to provide a $10.0 million limited guaranty of the Company’s obligations under the Credit Agreement. The Limited Guarantee was callable on June 15, 2025 (or upon the earlier occurrence of certain defaults described therein) in the Company had not prepaid the Term Loan (excluding regularly scheduled amortization) by $10.0 million as of such date. On June 13, 2025, the Company made a $10.0 million principal payment on the term loan in accordance with the Third Amendment using proceeds from its underwritten public offering completed on June 11, 2025. The Limited Guarantee automatically terminated on March 12, 2026 following the prepayment of the Term Loan in an aggregate amount of $20.0 million since the date of the Limited Guarantee.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interest rate under the Credit Agreement was 8.42%.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5"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significant accounting policies is disclosed in our Annual Report on Form 10-K for the year ended December 31, 2025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since the date of that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smaller reporting company as defined by Rule 12b-2 of the Exchange Act and is not required to provide the information required under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Management’s 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w:t>
        <w:noBreakHyphen/>
        <w:t>15(e) and 15d</w:t>
        <w:noBreakHyphen/>
        <w:t>15(e) under the Exchange Act) as of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principal executive officer and principal financial officer concluded that our disclosure controls and procedures were not effective as of March 31, 2026 due to the material weaknesses in our internal control over financial reporting described below, which were previously identified in our Annual Report on Form 10</w:t>
        <w:noBreakHyphen/>
        <w:t>K for the year ended December 31, 2025 and have not yet been remediated.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Material Weaknesses in Internal Control Over Financial Reporting</w:t>
      </w:r>
    </w:p>
    <w:p>
      <w:pPr>
        <w:pStyle w:val="TextBody"/>
        <w:bidi w:val="0"/>
        <w:spacing w:lineRule="auto" w:line="288" w:before="240" w:after="283"/>
        <w:ind w:left="0" w:right="0" w:hanging="360"/>
        <w:jc w:val="left"/>
        <w:rPr/>
      </w:pPr>
      <w:r>
        <w:rPr>
          <w:color w:val="000000"/>
          <w:u w:val="single"/>
        </w:rPr>
        <w:t>•</w:t>
      </w:r>
      <w:r>
        <w:rPr>
          <w:rFonts w:ascii="Times New Roman;serif" w:hAnsi="Times New Roman;serif"/>
          <w:b w:val="false"/>
          <w:i/>
          <w:color w:val="000000"/>
          <w:sz w:val="20"/>
          <w:u w:val="single"/>
        </w:rPr>
        <w:t>General Accounting and Financial Reporting Processes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in our Form 10</w:t>
        <w:noBreakHyphen/>
        <w:t>K for the year ended December 31, 2025, management identified the following material weaknesses in internal control over financial reporting, each of which continued to exist as of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identified a material weakness in controls related to aspects of the Company’s general accounting and financial reporting processes, design and maintenance of formal accounting policies, procedures, and controls to achieve complete, accurate, and timely financial accounting, reporting, and disclosures, including controls over the preparation and review of account reconciliations.</w:t>
      </w:r>
    </w:p>
    <w:p>
      <w:pPr>
        <w:pStyle w:val="TextBody"/>
        <w:bidi w:val="0"/>
        <w:spacing w:lineRule="auto" w:line="288" w:before="240" w:after="283"/>
        <w:ind w:left="0" w:right="0" w:hanging="360"/>
        <w:jc w:val="left"/>
        <w:rPr/>
      </w:pPr>
      <w:r>
        <w:rPr>
          <w:color w:val="000000"/>
          <w:u w:val="single"/>
        </w:rPr>
        <w:t>•</w:t>
      </w:r>
      <w:r>
        <w:rPr>
          <w:rFonts w:ascii="Times New Roman;serif" w:hAnsi="Times New Roman;serif"/>
          <w:b w:val="false"/>
          <w:i/>
          <w:color w:val="000000"/>
          <w:sz w:val="20"/>
          <w:u w:val="single"/>
        </w:rPr>
        <w:t>Lease Accounting under ASC 842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also identified a weakness related to controls over the accounting for leases, specifically the subsequent measurement and recording of lease transactions under ASC 842. The control deficiency resulted in errors in the measurement and presentation of right</w:t>
        <w:noBreakHyphen/>
        <w:t>of</w:t>
        <w:noBreakHyphen/>
        <w:t>use assets and lease liabilities, which required revision of previously issued financial statements. The Company did not maintain a sufficient complement of personnel possessing the appropriate technical accounting competency, training, and experience to address, review, and record financial reporting transactions under U.S. GAAP.</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Remediation Efforts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has initiated remediation plans to address the material weaknesses described above. During the first quarter of 2026, remediation efforts included, among other 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Enhancing controls over the review and approval of lease accounting, including subsequent measurement and periodic reassessment procedures;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Improving documentation and precision of controls related to complex accounting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26"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Engaging external accounting advisors to assist management in evaluating technical accounting matters, implementing enhanced controls, and providing additional support during the financial close and reporting process.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implementing and refining the above activities, we expect to continue to engage in additional activities in fiscal year 2026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evaluate the realignment of existing personnel and the addition of both internal and external resources to strengthen management’s review and documentation over internal control over financial reporting. As needed, we intend to hire qualified resources with the requisite background and knowledge to assist with accounting and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assess the specific training needs for newly hired and existing personnel and intend to deliver additional training programs designed to uphold our internal control standards.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review our current processes, procedures and systems to identify opportunities to enhance the design of our financial reporting controls.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assess the design and maintenance of formal accounting policies, procedures, and controls to achieve complete, accurate, and timely financial accounting, reporting, and disclosures, including controls over the preparation and review of account reconciliations.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will continue to report regularly to the audit committee on the progress and results of the remediation plan, including the identification, status, and resolution of internal control material weaknesses and deficiencies.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these actions are responsive to the identified material weaknesses; however, the remediation efforts are ongoing.</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Current Status of Remediation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 remediation actions described above had not been fully implemented and had not operated for a sufficient period of time to allow management to conclude that the material weaknesses have been fully remediated. Accordingly, the material weaknesses in internal control over financial reporting continued to exist as of the end of the period covered by this Quarterly Report on Form 10</w:t>
        <w:noBreakHyphen/>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there were no changes in the Company’s internal control over financial reporting during the quarter ended March 31, 2026 that materially affected, or are reasonably likely to materially affect, internal control over financial reporting.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7"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directors or officers adopted or terminated any "Rule 10b5-1 trading arrangement" or "non-Rule 10b5-1 trading arrangement" (each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8"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5"/>
        <w:gridCol w:w="285"/>
        <w:gridCol w:w="286"/>
        <w:gridCol w:w="2800"/>
        <w:gridCol w:w="2697"/>
        <w:gridCol w:w="3812"/>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1133126.htm">
              <w:r>
                <w:rPr>
                  <w:rStyle w:val="InternetLink"/>
                  <w:rFonts w:ascii="Times New Roman;serif" w:hAnsi="Times New Roman;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123312026.htm">
              <w:r>
                <w:rPr>
                  <w:rStyle w:val="InternetLink"/>
                  <w:rFonts w:ascii="Times New Roman;serif" w:hAnsi="Times New Roman;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hibit3213312026.htm">
              <w:r>
                <w:rPr>
                  <w:rStyle w:val="InternetLink"/>
                  <w:rFonts w:ascii="Times New Roman;serif" w:hAnsi="Times New Roman;serif"/>
                  <w:b w:val="false"/>
                  <w:color w:val="000000"/>
                  <w:sz w:val="20"/>
                  <w:u w:val="single"/>
                </w:rPr>
                <w:t>Certification of Principal Executive Officer Pursuant to 18 U.S.C. Section 1350, as Adopted Pursuant to Section 906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9309"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10-qex3223312026qsonly.htm">
              <w:r>
                <w:rPr>
                  <w:rStyle w:val="InternetLink"/>
                  <w:rFonts w:ascii="Times New Roman;serif" w:hAnsi="Times New Roman;serif"/>
                  <w:b w:val="false"/>
                  <w:color w:val="000000"/>
                  <w:sz w:val="20"/>
                  <w:u w:val="single"/>
                </w:rPr>
                <w:t>Certification of Principal Financial Officer Pursuant to 18 U.S.C. Section 1350, as Adopted Pursuant to Section 906 of the Sarbanes-Oxley Act of 2002</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3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certifications attached as Exhibit 32.1 and Exhibit 32.2 that accompany this Quarterly Report on Form 10-Q are being furnished herewith and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6e58094c1be64b70b98be49b27cda8bd_28">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67" w:type="dxa"/>
        <w:jc w:val="left"/>
        <w:tblInd w:w="0" w:type="dxa"/>
        <w:tblLayout w:type="fixed"/>
        <w:tblCellMar>
          <w:top w:w="28" w:type="dxa"/>
          <w:left w:w="28" w:type="dxa"/>
          <w:bottom w:w="28" w:type="dxa"/>
          <w:right w:w="28" w:type="dxa"/>
        </w:tblCellMar>
      </w:tblPr>
      <w:tblGrid>
        <w:gridCol w:w="124"/>
        <w:gridCol w:w="109"/>
        <w:gridCol w:w="109"/>
        <w:gridCol w:w="518"/>
        <w:gridCol w:w="518"/>
        <w:gridCol w:w="518"/>
        <w:gridCol w:w="1692"/>
        <w:gridCol w:w="1692"/>
        <w:gridCol w:w="17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AIRSCULPT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Arthur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Arthur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30"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Yogi Jashnani,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82" w:type="dxa"/>
        <w:jc w:val="left"/>
        <w:tblInd w:w="0" w:type="dxa"/>
        <w:tblLayout w:type="fixed"/>
        <w:tblCellMar>
          <w:top w:w="28" w:type="dxa"/>
          <w:left w:w="28" w:type="dxa"/>
          <w:bottom w:w="28" w:type="dxa"/>
          <w:right w:w="28" w:type="dxa"/>
        </w:tblCellMar>
      </w:tblPr>
      <w:tblGrid>
        <w:gridCol w:w="591"/>
        <w:gridCol w:w="520"/>
        <w:gridCol w:w="523"/>
        <w:gridCol w:w="393"/>
        <w:gridCol w:w="393"/>
        <w:gridCol w:w="393"/>
        <w:gridCol w:w="600"/>
        <w:gridCol w:w="600"/>
        <w:gridCol w:w="86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Michael Arthur,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AirSculpt Technologies,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23" w:type="dxa"/>
        <w:jc w:val="left"/>
        <w:tblInd w:w="0" w:type="dxa"/>
        <w:tblLayout w:type="fixed"/>
        <w:tblCellMar>
          <w:top w:w="28" w:type="dxa"/>
          <w:left w:w="28" w:type="dxa"/>
          <w:bottom w:w="28" w:type="dxa"/>
          <w:right w:w="28" w:type="dxa"/>
        </w:tblCellMar>
      </w:tblPr>
      <w:tblGrid>
        <w:gridCol w:w="591"/>
        <w:gridCol w:w="520"/>
        <w:gridCol w:w="523"/>
        <w:gridCol w:w="393"/>
        <w:gridCol w:w="393"/>
        <w:gridCol w:w="393"/>
        <w:gridCol w:w="583"/>
        <w:gridCol w:w="583"/>
        <w:gridCol w:w="84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Michael Arthur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AirSculpt Technologies, Inc. (the “Company”) on Form 10-Q for the period ended March 31, 2026, as filed with the Securities and Exchange Commission on the date hereof (the “Report”), the undersigned certifies, pursuant to 18 U.S.C. Sec.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410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604"/>
        <w:gridCol w:w="604"/>
        <w:gridCol w:w="86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/s/ Yogi Jashnani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Yogi Jashnani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AirSculpt Technologies, Inc. (the “Company”) on Form 10-Q for the period ended March 31, 2026, as filed with the Securities and Exchange Commission on the date hereof (the “Report”), the undersigned certifies, pursuant to 18 U.S.C. Sec. 1350, as adopted pursuant to Section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4048"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Arthur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14765</Words>
  <Characters>82110</Characters>
  <CharactersWithSpaces>95921</CharactersWithSpaces>
  <Paragraphs>1395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