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September 30, 2022</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001-40973</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Arial" w:cs="Arial" w:eastAsia="Arial" w:hAnsi="Arial"/>
                <w:sz w:val="20"/>
                <w:szCs w:val="20"/>
                <w:b w:val="1"/>
                <w:bCs w:val="1"/>
                <w:color w:val="auto"/>
                <w:w w:val="88"/>
              </w:rPr>
              <w:t>AirSculpt Technologies, Inc.</w:t>
            </w:r>
          </w:p>
        </w:tc>
        <w:tc>
          <w:tcPr>
            <w:tcW w:w="1480" w:type="dxa"/>
            <w:vAlign w:val="bottom"/>
          </w:tcPr>
          <w:p>
            <w:pPr>
              <w:spacing w:after="0"/>
              <w:rPr>
                <w:sz w:val="21"/>
                <w:szCs w:val="21"/>
                <w:color w:val="auto"/>
              </w:rPr>
            </w:pPr>
          </w:p>
        </w:tc>
      </w:tr>
      <w:tr>
        <w:trPr>
          <w:trHeight w:val="206"/>
        </w:trPr>
        <w:tc>
          <w:tcPr>
            <w:tcW w:w="6080" w:type="dxa"/>
            <w:vAlign w:val="bottom"/>
          </w:tcPr>
          <w:p>
            <w:pPr>
              <w:jc w:val="center"/>
              <w:ind w:left="2097"/>
              <w:spacing w:after="0"/>
              <w:rPr>
                <w:sz w:val="20"/>
                <w:szCs w:val="20"/>
                <w:color w:val="auto"/>
              </w:rPr>
            </w:pPr>
            <w:r>
              <w:rPr>
                <w:rFonts w:ascii="Arial" w:cs="Arial" w:eastAsia="Arial" w:hAnsi="Arial"/>
                <w:sz w:val="16"/>
                <w:szCs w:val="16"/>
                <w:color w:val="auto"/>
                <w:w w:val="91"/>
              </w:rPr>
              <w:t>(Exact name of registrant as specified in its charter)</w:t>
            </w:r>
          </w:p>
        </w:tc>
        <w:tc>
          <w:tcPr>
            <w:tcW w:w="1480" w:type="dxa"/>
            <w:vAlign w:val="bottom"/>
          </w:tcPr>
          <w:p>
            <w:pPr>
              <w:spacing w:after="0"/>
              <w:rPr>
                <w:sz w:val="17"/>
                <w:szCs w:val="17"/>
                <w:color w:val="auto"/>
              </w:rPr>
            </w:pPr>
          </w:p>
        </w:tc>
      </w:tr>
      <w:tr>
        <w:trPr>
          <w:trHeight w:val="351"/>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87-1471855</w:t>
            </w:r>
          </w:p>
        </w:tc>
      </w:tr>
      <w:tr>
        <w:trPr>
          <w:trHeight w:val="239"/>
        </w:trPr>
        <w:tc>
          <w:tcPr>
            <w:tcW w:w="6080" w:type="dxa"/>
            <w:vAlign w:val="bottom"/>
          </w:tcPr>
          <w:p>
            <w:pPr>
              <w:jc w:val="center"/>
              <w:ind w:right="3437"/>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3"/>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486"/>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8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6"/>
              </w:rPr>
              <w:t>Miami Beach, FL</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bl>
    <w:p>
      <w:pPr>
        <w:spacing w:after="0" w:line="19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(786) 709-9690</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400 Alton Road, Unit TH-103M</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Miami Beach, FL 33139</w:t>
      </w:r>
    </w:p>
    <w:p>
      <w:pPr>
        <w:jc w:val="center"/>
        <w:ind w:right="-19"/>
        <w:spacing w:after="0"/>
        <w:rPr>
          <w:sz w:val="20"/>
          <w:szCs w:val="20"/>
          <w:color w:val="auto"/>
        </w:rPr>
      </w:pPr>
      <w:r>
        <w:rPr>
          <w:rFonts w:ascii="Arial" w:cs="Arial" w:eastAsia="Arial" w:hAnsi="Arial"/>
          <w:sz w:val="16"/>
          <w:szCs w:val="16"/>
          <w:color w:val="auto"/>
        </w:rPr>
        <w:t>(Former Name, Former Address and Former Fiscal Year,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if Changed Since Last Report)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30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8"/>
        </w:trPr>
        <w:tc>
          <w:tcPr>
            <w:tcW w:w="4200" w:type="dxa"/>
            <w:vAlign w:val="bottom"/>
            <w:gridSpan w:val="3"/>
          </w:tcPr>
          <w:p>
            <w:pPr>
              <w:jc w:val="center"/>
              <w:ind w:right="1380"/>
              <w:spacing w:after="0"/>
              <w:rPr>
                <w:sz w:val="20"/>
                <w:szCs w:val="20"/>
                <w:color w:val="auto"/>
              </w:rPr>
            </w:pPr>
            <w:r>
              <w:rPr>
                <w:rFonts w:ascii="Arial" w:cs="Arial" w:eastAsia="Arial" w:hAnsi="Arial"/>
                <w:sz w:val="16"/>
                <w:szCs w:val="16"/>
                <w:color w:val="auto"/>
                <w:w w:val="91"/>
              </w:rPr>
              <w:t>Common Stock, par value $0.001 per share</w:t>
            </w: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12"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3"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140" w:type="dxa"/>
        <w:tblCellMar>
          <w:top w:w="0" w:type="dxa"/>
          <w:left w:w="0" w:type="dxa"/>
          <w:bottom w:w="0" w:type="dxa"/>
          <w:right w:w="0" w:type="dxa"/>
        </w:tblCellMar>
      </w:tblPr>
      <w:tr>
        <w:trPr>
          <w:trHeight w:val="206"/>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2"/>
              </w:rPr>
              <w:t>Large 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o</w:t>
            </w: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5"/>
              </w:rPr>
              <w:t>Accelerated filer</w:t>
            </w:r>
          </w:p>
        </w:tc>
        <w:tc>
          <w:tcPr>
            <w:tcW w:w="340" w:type="dxa"/>
            <w:vAlign w:val="bottom"/>
          </w:tcPr>
          <w:p>
            <w:pPr>
              <w:ind w:left="200"/>
              <w:spacing w:after="0"/>
              <w:rPr>
                <w:sz w:val="20"/>
                <w:szCs w:val="20"/>
                <w:color w:val="auto"/>
              </w:rPr>
            </w:pPr>
            <w:r>
              <w:rPr>
                <w:rFonts w:ascii="Arial" w:cs="Arial" w:eastAsia="Arial" w:hAnsi="Arial"/>
                <w:sz w:val="16"/>
                <w:szCs w:val="16"/>
                <w:color w:val="auto"/>
              </w:rPr>
              <w:t>o</w:t>
            </w:r>
          </w:p>
        </w:tc>
      </w:tr>
      <w:tr>
        <w:trPr>
          <w:trHeight w:val="250"/>
        </w:trPr>
        <w:tc>
          <w:tcPr>
            <w:tcW w:w="1640" w:type="dxa"/>
            <w:vAlign w:val="bottom"/>
          </w:tcPr>
          <w:p>
            <w:pPr>
              <w:jc w:val="center"/>
              <w:ind w:right="79"/>
              <w:spacing w:after="0"/>
              <w:rPr>
                <w:sz w:val="20"/>
                <w:szCs w:val="20"/>
                <w:color w:val="auto"/>
              </w:rPr>
            </w:pPr>
            <w:r>
              <w:rPr>
                <w:rFonts w:ascii="Arial" w:cs="Arial" w:eastAsia="Arial" w:hAnsi="Arial"/>
                <w:sz w:val="16"/>
                <w:szCs w:val="16"/>
                <w:color w:val="auto"/>
                <w:w w:val="92"/>
              </w:rPr>
              <w:t>Non-accelerated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x</w:t>
            </w: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3"/>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3"/>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980"/>
        <w:spacing w:after="0" w:line="27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11, 2022, there were 56,172,447 shares of the registrant’s common stock outstanding</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30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5"/>
          </w:tcPr>
          <w:p>
            <w:pPr>
              <w:spacing w:after="0"/>
              <w:rPr>
                <w:sz w:val="20"/>
                <w:szCs w:val="20"/>
                <w:color w:val="auto"/>
              </w:rPr>
            </w:pPr>
            <w:r>
              <w:rPr>
                <w:rFonts w:ascii="Arial" w:cs="Arial" w:eastAsia="Arial" w:hAnsi="Arial"/>
                <w:sz w:val="18"/>
                <w:szCs w:val="18"/>
                <w:b w:val="1"/>
                <w:bCs w:val="1"/>
                <w:color w:val="0000FF"/>
              </w:rPr>
              <w:t>PART I FINANCIAL INFORMATION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Financial Statements</w:t>
            </w:r>
          </w:p>
        </w:tc>
        <w:tc>
          <w:tcPr>
            <w:tcW w:w="7360" w:type="dxa"/>
            <w:vAlign w:val="bottom"/>
            <w:gridSpan w:val="12"/>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September 30, 2022 (Unaudited) and December 31, 2021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2022 and 2021</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(Unaudited)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Other Comprehensive Income/(Loss) for the Three and Nine Months Ended September</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9"/>
              </w:rPr>
              <w:t>30, 2022 and 2021 (Unaudited)</w:t>
            </w:r>
          </w:p>
        </w:tc>
        <w:tc>
          <w:tcPr>
            <w:tcW w:w="4200" w:type="dxa"/>
            <w:vAlign w:val="bottom"/>
            <w:tcBorders>
              <w:top w:val="single" w:sz="8" w:color="0000FF"/>
            </w:tcBorders>
            <w:gridSpan w:val="5"/>
          </w:tcPr>
          <w:p>
            <w:pPr>
              <w:spacing w:after="0"/>
              <w:rPr>
                <w:sz w:val="15"/>
                <w:szCs w:val="15"/>
                <w:color w:val="auto"/>
              </w:rPr>
            </w:pPr>
          </w:p>
        </w:tc>
        <w:tc>
          <w:tcPr>
            <w:tcW w:w="2320" w:type="dxa"/>
            <w:vAlign w:val="bottom"/>
            <w:tcBorders>
              <w:top w:val="single" w:sz="8" w:color="0000FF"/>
            </w:tcBorders>
            <w:gridSpan w:val="3"/>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6"/>
              </w:rPr>
              <w:t>Condensed Consolidated Statements of Changes in Member’s/Stockholders' Equity for the Three and Nine Months Ended</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8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September 30, 2022 and 2021 (Unaudited)</w:t>
            </w:r>
          </w:p>
        </w:tc>
        <w:tc>
          <w:tcPr>
            <w:tcW w:w="6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2022 and 2021 (Unaudited)</w:t>
            </w:r>
          </w:p>
        </w:tc>
        <w:tc>
          <w:tcPr>
            <w:tcW w:w="520" w:type="dxa"/>
            <w:vAlign w:val="bottom"/>
            <w:gridSpan w:val="2"/>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(Unaudited</w:t>
            </w:r>
            <w:r>
              <w:rPr>
                <w:rFonts w:ascii="Arial" w:cs="Arial" w:eastAsia="Arial" w:hAnsi="Arial"/>
                <w:sz w:val="18"/>
                <w:szCs w:val="18"/>
                <w:color w:val="000000"/>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20" w:type="dxa"/>
            <w:vAlign w:val="bottom"/>
            <w:tcBorders>
              <w:left w:val="single" w:sz="8" w:color="0000FF"/>
            </w:tcBorders>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120" w:type="dxa"/>
            <w:vAlign w:val="bottom"/>
            <w:gridSpan w:val="2"/>
          </w:tcPr>
          <w:p>
            <w:pPr>
              <w:spacing w:after="0"/>
              <w:rPr>
                <w:sz w:val="20"/>
                <w:szCs w:val="20"/>
                <w:color w:val="auto"/>
              </w:rPr>
            </w:pP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380" w:type="dxa"/>
            <w:vAlign w:val="bottom"/>
            <w:gridSpan w:val="25"/>
          </w:tcPr>
          <w:p>
            <w:pPr>
              <w:spacing w:after="0"/>
              <w:rPr>
                <w:sz w:val="20"/>
                <w:szCs w:val="20"/>
                <w:color w:val="auto"/>
              </w:rPr>
            </w:pPr>
            <w:r>
              <w:rPr>
                <w:rFonts w:ascii="Arial" w:cs="Arial" w:eastAsia="Arial" w:hAnsi="Arial"/>
                <w:sz w:val="18"/>
                <w:szCs w:val="18"/>
                <w:b w:val="1"/>
                <w:bCs w:val="1"/>
                <w:color w:val="0000FF"/>
              </w:rPr>
              <w:t>PART II 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480" w:type="dxa"/>
            <w:vAlign w:val="bottom"/>
            <w:tcBorders>
              <w:top w:val="single" w:sz="8" w:color="0000FF"/>
            </w:tcBorders>
            <w:gridSpan w:val="3"/>
          </w:tcPr>
          <w:p>
            <w:pPr>
              <w:spacing w:after="0"/>
              <w:rPr>
                <w:sz w:val="20"/>
                <w:szCs w:val="20"/>
                <w:color w:val="auto"/>
              </w:rPr>
            </w:pP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7600" w:type="dxa"/>
            <w:vAlign w:val="bottom"/>
            <w:gridSpan w:val="13"/>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3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4.</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5.</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4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have made statements in the sections titled “Quantitative and Qualitative Disclosures About Market Risk” and “Management’s Discussion and Analysis of Financial Condition and Results of Operations,”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spacing w:after="0" w:line="18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risk factors discussed in “Risk Factors” in our Annual Report on Form 10-K could cause our results to differ materially from those expressed in the forward-looking statements made in this Quarterly Report on Form 10-Q.</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also may be other risks that are currently unknown to us or that we are unable to predict at this time.</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4"/>
                <w:szCs w:val="14"/>
                <w:color w:val="auto"/>
              </w:rPr>
              <w:t>($000s)</w:t>
            </w:r>
          </w:p>
        </w:tc>
        <w:tc>
          <w:tcPr>
            <w:tcW w:w="2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Right of use operating lease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benefits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patient deposits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right of use operating lease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16,415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right of use operating lease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10)</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w w:val="91"/>
              </w:rPr>
              <w:t>Common stock, $0.001 par value; shares authorized - 450,000,000; shares issued and outstanding - 55,640,154</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160" w:type="dxa"/>
            <w:vAlign w:val="bottom"/>
          </w:tcPr>
          <w:p>
            <w:pPr>
              <w:jc w:val="center"/>
              <w:ind w:right="808"/>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c>
          <w:tcPr>
            <w:tcW w:w="2160" w:type="dxa"/>
            <w:vAlign w:val="bottom"/>
          </w:tcPr>
          <w:p>
            <w:pPr>
              <w:jc w:val="center"/>
              <w:ind w:right="8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9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vMerge w:val="continue"/>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2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38"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7"/>
          <w:szCs w:val="17"/>
          <w:color w:val="auto"/>
        </w:rPr>
        <w:t>Revenue</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360" w:right="280" w:hanging="161"/>
        <w:spacing w:after="0" w:line="277" w:lineRule="auto"/>
        <w:rPr>
          <w:sz w:val="20"/>
          <w:szCs w:val="20"/>
          <w:color w:val="auto"/>
        </w:rPr>
      </w:pPr>
      <w:r>
        <w:rPr>
          <w:rFonts w:ascii="Arial" w:cs="Arial" w:eastAsia="Arial" w:hAnsi="Arial"/>
          <w:sz w:val="18"/>
          <w:szCs w:val="18"/>
          <w:color w:val="auto"/>
        </w:rPr>
        <w:t>Cost of service (exclusive of depreciation and amortization shown below)</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debt modification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(Gain)/loss on disposal of long-lived assets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38,892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34,651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128,090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95,759</w:t>
            </w:r>
          </w:p>
        </w:tc>
      </w:tr>
      <w:tr>
        <w:trPr>
          <w:trHeight w:val="75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14,888</w:t>
            </w:r>
          </w:p>
        </w:tc>
        <w:tc>
          <w:tcPr>
            <w:tcW w:w="5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11,410</w:t>
            </w:r>
          </w:p>
        </w:tc>
        <w:tc>
          <w:tcPr>
            <w:tcW w:w="5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47,042</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31,462</w:t>
            </w:r>
          </w:p>
        </w:tc>
      </w:tr>
      <w:tr>
        <w:trPr>
          <w:trHeight w:val="27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23,397</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11,980</w:t>
            </w:r>
          </w:p>
        </w:tc>
        <w:tc>
          <w:tcPr>
            <w:tcW w:w="5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73,574</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30,926</w:t>
            </w:r>
          </w:p>
        </w:tc>
      </w:tr>
      <w:tr>
        <w:trPr>
          <w:trHeight w:val="270"/>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70"/>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1,994</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5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5,842</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4,664</w:t>
            </w:r>
          </w:p>
        </w:tc>
      </w:tr>
      <w:tr>
        <w:trPr>
          <w:trHeight w:val="270"/>
        </w:trPr>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-985520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-505460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720"/>
            <w:col w:w="528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40,267</w:t>
            </w:r>
          </w:p>
        </w:tc>
        <w:tc>
          <w:tcPr>
            <w:tcW w:w="1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126,673</w:t>
            </w: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67,734</w:t>
            </w: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(Loss)/income from operations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28,025</w:t>
            </w:r>
          </w:p>
        </w:tc>
      </w:tr>
      <w:tr>
        <w:trPr>
          <w:trHeight w:val="26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net (loss)/income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(loss)/income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Other Comprehensive Income/(Loss)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($000s)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(7,487)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(loss)/income</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4"/>
              </w:rPr>
              <w:t>(7,423)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77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Changes in Member's/Stockholders' Equity (Unaudited)</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($000s)</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Member’s</w:t>
            </w:r>
          </w:p>
        </w:tc>
        <w:tc>
          <w:tcPr>
            <w:tcW w:w="22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9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3"/>
                <w:szCs w:val="13"/>
                <w:color w:val="auto"/>
              </w:rPr>
            </w:pPr>
          </w:p>
        </w:tc>
        <w:tc>
          <w:tcPr>
            <w:tcW w:w="11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230"/>
        </w:trPr>
        <w:tc>
          <w:tcPr>
            <w:tcW w:w="308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126,725</w:t>
            </w:r>
          </w:p>
        </w:tc>
        <w:tc>
          <w:tcPr>
            <w:tcW w:w="0" w:type="dxa"/>
            <w:vAlign w:val="bottom"/>
          </w:tcPr>
          <w:p>
            <w:pPr>
              <w:spacing w:after="0"/>
              <w:rPr>
                <w:sz w:val="1"/>
                <w:szCs w:val="1"/>
                <w:color w:val="auto"/>
              </w:rPr>
            </w:pPr>
          </w:p>
        </w:tc>
      </w:tr>
      <w:tr>
        <w:trPr>
          <w:trHeight w:val="229"/>
        </w:trPr>
        <w:tc>
          <w:tcPr>
            <w:tcW w:w="308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(60,120)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8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7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Member’s</w:t>
            </w: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29"/>
        </w:trPr>
        <w:tc>
          <w:tcPr>
            <w:tcW w:w="3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29"/>
        </w:trPr>
        <w:tc>
          <w:tcPr>
            <w:tcW w:w="306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29"/>
        </w:trPr>
        <w:tc>
          <w:tcPr>
            <w:tcW w:w="306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($000s)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24,702</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4,664</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modification</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Loss on disposal of long-lived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6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6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r>
      <w:tr>
        <w:trPr>
          <w:trHeight w:val="257"/>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r>
      <w:tr>
        <w:trPr>
          <w:trHeight w:val="250"/>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on term loan, net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Distribution to member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(66,622)</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shareholders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loan costs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(17,254)</w:t>
            </w:r>
          </w:p>
        </w:tc>
      </w:tr>
      <w:tr>
        <w:trPr>
          <w:trHeight w:val="250"/>
        </w:trPr>
        <w:tc>
          <w:tcPr>
            <w:tcW w:w="8180" w:type="dxa"/>
            <w:vAlign w:val="bottom"/>
          </w:tcPr>
          <w:p>
            <w:pPr>
              <w:ind w:left="520"/>
              <w:spacing w:after="0"/>
              <w:rPr>
                <w:sz w:val="20"/>
                <w:szCs w:val="20"/>
                <w:color w:val="auto"/>
              </w:rPr>
            </w:pPr>
            <w:r>
              <w:rPr>
                <w:rFonts w:ascii="Arial" w:cs="Arial" w:eastAsia="Arial" w:hAnsi="Arial"/>
                <w:sz w:val="18"/>
                <w:szCs w:val="18"/>
                <w:color w:val="auto"/>
              </w:rPr>
              <w:t>Net (decrease)/increase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10,359</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Arial" w:cs="Arial" w:eastAsia="Arial" w:hAnsi="Arial"/>
          <w:sz w:val="13"/>
          <w:szCs w:val="13"/>
          <w:color w:val="auto"/>
        </w:rPr>
        <w:t>©</w:t>
      </w:r>
      <w:r>
        <w:rPr>
          <w:rFonts w:ascii="Arial" w:cs="Arial" w:eastAsia="Arial" w:hAnsi="Arial"/>
          <w:sz w:val="18"/>
          <w:szCs w:val="18"/>
          <w:color w:val="auto"/>
        </w:rPr>
        <w:t xml:space="preserve">, </w:t>
      </w:r>
      <w:r>
        <w:rPr>
          <w:rFonts w:ascii="Arial" w:cs="Arial" w:eastAsia="Arial" w:hAnsi="Arial"/>
          <w:sz w:val="13"/>
          <w:szCs w:val="13"/>
          <w:color w:val="auto"/>
        </w:rPr>
        <w:t>®</w:t>
      </w:r>
      <w:r>
        <w:rPr>
          <w:rFonts w:ascii="Arial" w:cs="Arial" w:eastAsia="Arial" w:hAnsi="Arial"/>
          <w:sz w:val="18"/>
          <w:szCs w:val="18"/>
          <w:color w:val="auto"/>
        </w:rPr>
        <w:t xml:space="preserve"> and ™ symbols, but we will assert, to the fullest extent under applicable law, our rights to our copyrights, trade names and trademarks.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condensed consolidated balance sheet as of September 30, 2022, the condensed consolidated statements of operations and member's/stockholders' equity for the three and nine months ended September 30, 2022 and 2021, and the condensed consolidated statements of cash flows for the nine months ended September 30, 2022 and 2021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September 30, 2022 and the results of operations and cash flows for the three and nine months ended September 30, 2022 and 2021.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and nine months ended September 30, 2022 and 2021 are also unaudited.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results of operations for the three and nine months ended September 30, 2022 are not necessarily indicative of results to be expected for the year ending December 31, 2022 or for any other future annual or interim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as of December 31, 2021 is derived from the Company’s annual audited consolidated financial statements for the year ended December 31, 2021, which should be read in conjunction with these condensed consolidated financial statements and which are included in the Company’s Annual Report dated March 11, 2022 filed with the Securities and Exchange Commission ("SEC") pursuant to Section 13 or 15(d) of the Securities Exchange Act of 1934.</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September 30, 2022 and December 31, 2021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$0.2 million and $0.2 million for the three months ended September 30, 2022 and 2021, respectively, and $0.7 million and $0.4 million for the nine months ended September 30, 2022 and 2021, respectively. Amortization of loan costs and discounts is included as a component of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nine months ended September 30, 2022 and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of common stock is computed by dividing net income/(loss) attributable to AirSculpt Technologies, Inc. for the three and nine months ended September 30, 2022 by the weighted-average number of shares of common stock outstanding during the same period. Diluted earnings per share of common stock is computed by dividing net income/(loss) attributable to AirSculpt Technologies, Inc. for the three and nine months ended September 30,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IPO, the EBS Intermediate Parent, LLC structure included only LLC common units. As a result, the Company does not believe earnings per share to be a meaningful presentation in the accompanying condensed consolidated financial statements for the three and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in the period when the costs are incurred and are included as a component of selling, general and administrative costs. Advertising expenses were approximately $5.4 million and $4.3 million for the three months ended September 30, 2022 and 2021, respectively, and $15.4 million and $9.4 million for the nine months ended September 30,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Reorganization, the Company was organized as a limited liability company and had elected to be treated as a partnership for federal and state income tax purposes. Accordingly, the tax consequences of the Company’s profits and losses were passed through to the members of the Company and were reported in their respective income tax returns. Therefore, historically no provision for income taxes has been provided in the accompanying condensed consolidated financial statements for the periods prior to the Reorganization.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Reorganization, the Company became subject to taxation as a C corporation for periods after October 28,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applies the provisions of ASC 740-10, </w:t>
      </w:r>
      <w:r>
        <w:rPr>
          <w:rFonts w:ascii="Arial" w:cs="Arial" w:eastAsia="Arial" w:hAnsi="Arial"/>
          <w:sz w:val="18"/>
          <w:szCs w:val="18"/>
          <w:i w:val="1"/>
          <w:iCs w:val="1"/>
          <w:color w:val="auto"/>
        </w:rPr>
        <w:t>Accounting for Uncertain Tax Positions</w:t>
      </w:r>
      <w:r>
        <w:rPr>
          <w:rFonts w:ascii="Arial" w:cs="Arial" w:eastAsia="Arial" w:hAnsi="Arial"/>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those positions that have only timing consequences are analyzed and separated based on ASC 740-10’s recognition and measurement model.</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September 30, 2022 or December 31, 2021. The Company is not subject to U.S. federal tax examination prior to 2021, when it was formed.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effective tax rates of approximately (134.6)% and (119.9)% for the three and nine months ended September 30, 2022, respectively, and —% and —% for the three and nine months ended September 30, 2021, respectively, inclusive of all applicable U.S. federal and state income taxes. Prior to the Reorganization, the Company was not subject to federal taxation.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GOODWILL AND INTANGIBLES,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review of goodwill impairment will be performed in October 2022. There were no triggering events during the three and nine months ended September 30,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September 30, 2022 and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2022 and December 31, 2021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14"/>
                <w:szCs w:val="14"/>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58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Useful Life</w:t>
            </w:r>
          </w:p>
        </w:tc>
      </w:tr>
      <w:tr>
        <w:trPr>
          <w:trHeight w:val="25"/>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know-how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tradenames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7"/>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Accumulated amortization of technology and know-how</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(11,613)</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 of tradenames and trademarks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55,852</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on intangible assets was approximately $1.2 million for both of the three months ended September 30, 2022 and 2021, and $3.6 million for both of the nine months ended September 30, 2022 and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property and equipment consists of the following: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approximately $0.8 million and $0.5 million for the three months ended September 30, 2022 and 2021, respectively, and $2.3 million and $1.1 million for the nine months ended September 30,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the Company entered into a credit agreement (the “Credit Agreement”) with a lender. Under the terms of the Credit Agreement, we obtained a $34.0 million term loan. In May 2021, the Company amended the Credit Agreement by adding an incremental $52.0 million senior secured term loan, resulting in an $83.6 million term loan in aggregate. The proceeds from this loan plus excess cash on the balance sheet were used to pay a distribution to EBS Parent, LLC (the "Parent") of approximately $59.7 million and the related fees for this transaction. Beginning on June 30, 2021, the quarterly principal payments increased from $100,000 to $212,500.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11, 2022 the Company amended the Credit Agreement to provide for (i) the payment of cash dividends in an amount not to exceed $23.0 million on or prior to September 30, 2022 and (ii) the payment of cash dividends in an amount not to exceed $2.0 million with respect to securities that are not vested at the time such cash dividend is paid. In doing so, the Company incurred an amendment fee of $0.2 million. There were no other changes in the terms of the Credit Agreement during the three and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September 30, 2022 and December 31, 2021 were as follows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September 30, 2022, the Company had $5.0 million available on the revolving credit facility.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The scheduled future maturities of long-term debt as of September 30, 2022 is as follows (in 000’s):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83,413</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borrowings under the Credit Agreement are cross collateralized by substantially all assets of the Company and are subject to certain restrictive covenants including quarterly total leverage ratio, fixed charge ratio requirements and a limit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on capital expenditures. The Company is in compliance with all covenants and has no letter of credit outstanding as of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operating leases are primarily for real estate, including medical office suites and corporate offices. For the three months ended September 30, 2022 and 2021, the Company incurred rent expense of $1.3 million and $0.7 million, respectively, for its medical office suites. For the nine months ended September 30, 2022 and 2021, the Company incurred rent expense of $3.4 million and $2.4 million, respectively, related to its medical office suites. The Company’s rent expense related to its medical office suites is classified in cost of services within the Company’s condensed consolidated statements of operations. The Company incurred rent expense of $91,000 and $22,000 for the three months ended September 30, 2022 and 2021, respectively, and $254,000 and $66,000 for the nine months ended September 30, 2022 and 2021, respectively, related to the corporate offices which is classified in selling, general and administrative expenses. The Company currently does not have any finance leases.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for the nine months ended September 30, 2022 and 2021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3,651</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nine months ended September 30, 2022)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4,979</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5,457</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w:t>
            </w:r>
          </w:p>
        </w:tc>
      </w:tr>
      <w:tr>
        <w:trPr>
          <w:trHeight w:val="256"/>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r>
      <w:tr>
        <w:trPr>
          <w:trHeight w:val="282"/>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the IPO and Reorganization, AirSculpt established the 2021 Equity Incentive Plan. During the nine months ended September 30, 2022, the Company granted 285,423 restricted stock units to executive officers and employees and 73,708 restricted stock units to directors. These RSUs are not considered outstanding until vested. Certain restricted stock units are subject to time-based vesting conditions while other restricted stock units are subject to performance-based vesting conditions. Of the total restricted stock units granted 103,936 had market-based performance vesting conditions. The market vesting criteria is based on the Company’s actual performance and/or market condition results as compared to the targets. In addition to the achievement of the performance conditions, these PSUs are generally subject to the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continuing service of the employee over the ratable vesting period from the earned date continuing through the settlement of the shares. For these PSUs, the shares settle in the first quarter of the year following the year in which the vesting criteria is met. The time-based vesting units fair values were determined based on the closing price of the Company’s common stock on the trading date immediately prior to the grant date. The fair values of restricted stock units with a market-based vesting condition were estimated using a Monte Carlo simulation model.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equity-based compensation expense of $7.4 million and $0.1 million for the three months ended September 30, 2022 and 2021, respectively, and $22.0 million and $0.3 million for the nine months ended September 30, 2022 and 2021, respectively, in selling, general and administrative expenses on the condensed consolidated statements of operations. Forfeitures are recognized as incurred.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2022, the Board of Directors of the Company approved a $0.41 per share special cash dividend. The dividend was paid on September 14, 2022, to shareholders of record at the close of business on August 26, 2022. Cash dividends paid totaled $22.8 million for the three and nine months ended September 30, 2022. The Company's unvested stock units participate in dividends and as such, the Company accrued $2.1 million in dividends payable, of which $0.5 million is current.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recognized distributions to the Parent of approximately $0.2 million and $2.8 million for the three months ended September 30, 2022 and 2021, respectively, and approximately $1.2 million and $66.6 million for the nine months ended September 30, 2022 and 2021,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Basic earnings per share of common stock is computed by dividing net income/loss attributable to AirSculpt Technologies, Inc. for the three and nine months ended September 30, 2022 by the weighted-average number of shares of common stock outstanding during the same period. Diluted earnings per share of common stock is computed by dividing net income/loss attributable to AirSculpt Technologies, Inc. for the three and nine months ended September 30,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common stock is as follows (in 000’s except for shares and per share figures):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2"/>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w w:val="87"/>
              </w:rPr>
              <w:t>September 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90"/>
              <w:spacing w:after="0"/>
              <w:rPr>
                <w:sz w:val="20"/>
                <w:szCs w:val="20"/>
                <w:color w:val="auto"/>
              </w:rPr>
            </w:pPr>
            <w:r>
              <w:rPr>
                <w:rFonts w:ascii="Arial" w:cs="Arial" w:eastAsia="Arial" w:hAnsi="Arial"/>
                <w:sz w:val="18"/>
                <w:szCs w:val="18"/>
                <w:color w:val="auto"/>
                <w:w w:val="87"/>
              </w:rPr>
              <w:t>(7,377)</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(7,487)</w:t>
            </w:r>
          </w:p>
        </w:tc>
        <w:tc>
          <w:tcPr>
            <w:tcW w:w="920" w:type="dxa"/>
            <w:vAlign w:val="bottom"/>
          </w:tcPr>
          <w:p>
            <w:pPr>
              <w:ind w:left="600"/>
              <w:spacing w:after="0"/>
              <w:rPr>
                <w:sz w:val="20"/>
                <w:szCs w:val="20"/>
                <w:color w:val="auto"/>
              </w:rPr>
            </w:pPr>
            <w:r>
              <w:rPr>
                <w:rFonts w:ascii="Arial" w:cs="Arial" w:eastAsia="Arial" w:hAnsi="Arial"/>
                <w:sz w:val="18"/>
                <w:szCs w:val="18"/>
                <w:color w:val="auto"/>
                <w:w w:val="99"/>
              </w:rPr>
              <w:t>N/A</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9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 - basic</w:t>
            </w:r>
          </w:p>
        </w:tc>
        <w:tc>
          <w:tcPr>
            <w:tcW w:w="2540" w:type="dxa"/>
            <w:vAlign w:val="bottom"/>
            <w:gridSpan w:val="2"/>
          </w:tcPr>
          <w:p>
            <w:pPr>
              <w:jc w:val="right"/>
              <w:ind w:right="1030"/>
              <w:spacing w:after="0"/>
              <w:rPr>
                <w:sz w:val="20"/>
                <w:szCs w:val="20"/>
                <w:color w:val="auto"/>
              </w:rPr>
            </w:pPr>
            <w:r>
              <w:rPr>
                <w:rFonts w:ascii="Arial" w:cs="Arial" w:eastAsia="Arial" w:hAnsi="Arial"/>
                <w:sz w:val="18"/>
                <w:szCs w:val="18"/>
                <w:color w:val="auto"/>
              </w:rPr>
              <w:t>55,640,154</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55,640,154</w:t>
            </w:r>
          </w:p>
        </w:tc>
        <w:tc>
          <w:tcPr>
            <w:tcW w:w="920" w:type="dxa"/>
            <w:vAlign w:val="bottom"/>
          </w:tcPr>
          <w:p>
            <w:pPr>
              <w:ind w:left="600"/>
              <w:spacing w:after="0"/>
              <w:rPr>
                <w:sz w:val="20"/>
                <w:szCs w:val="20"/>
                <w:color w:val="auto"/>
              </w:rPr>
            </w:pPr>
            <w:r>
              <w:rPr>
                <w:rFonts w:ascii="Arial" w:cs="Arial" w:eastAsia="Arial" w:hAnsi="Arial"/>
                <w:sz w:val="18"/>
                <w:szCs w:val="18"/>
                <w:color w:val="auto"/>
                <w:w w:val="99"/>
              </w:rPr>
              <w:t>N/A</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Effect of dilutive securities</w:t>
            </w:r>
          </w:p>
        </w:tc>
        <w:tc>
          <w:tcPr>
            <w:tcW w:w="9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N/A</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 - diluted</w:t>
            </w:r>
          </w:p>
        </w:tc>
        <w:tc>
          <w:tcPr>
            <w:tcW w:w="2540" w:type="dxa"/>
            <w:vAlign w:val="bottom"/>
            <w:gridSpan w:val="2"/>
          </w:tcPr>
          <w:p>
            <w:pPr>
              <w:jc w:val="right"/>
              <w:ind w:right="1030"/>
              <w:spacing w:after="0"/>
              <w:rPr>
                <w:sz w:val="20"/>
                <w:szCs w:val="20"/>
                <w:color w:val="auto"/>
              </w:rPr>
            </w:pPr>
            <w:r>
              <w:rPr>
                <w:rFonts w:ascii="Arial" w:cs="Arial" w:eastAsia="Arial" w:hAnsi="Arial"/>
                <w:sz w:val="18"/>
                <w:szCs w:val="18"/>
                <w:color w:val="auto"/>
              </w:rPr>
              <w:t>55,640,154</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55,640,154</w:t>
            </w:r>
          </w:p>
        </w:tc>
        <w:tc>
          <w:tcPr>
            <w:tcW w:w="920" w:type="dxa"/>
            <w:vAlign w:val="bottom"/>
          </w:tcPr>
          <w:p>
            <w:pPr>
              <w:ind w:left="600"/>
              <w:spacing w:after="0"/>
              <w:rPr>
                <w:sz w:val="20"/>
                <w:szCs w:val="20"/>
                <w:color w:val="auto"/>
              </w:rPr>
            </w:pPr>
            <w:r>
              <w:rPr>
                <w:rFonts w:ascii="Arial" w:cs="Arial" w:eastAsia="Arial" w:hAnsi="Arial"/>
                <w:sz w:val="18"/>
                <w:szCs w:val="18"/>
                <w:color w:val="auto"/>
                <w:w w:val="99"/>
              </w:rPr>
              <w:t>N/A</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of common stock outstanding - basic and diluted</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(0.13)</w:t>
            </w:r>
          </w:p>
        </w:tc>
        <w:tc>
          <w:tcPr>
            <w:tcW w:w="4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(0.13)</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N/A</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3300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2"/>
          </w:tcPr>
          <w:p>
            <w:pPr>
              <w:ind w:lef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ind w:left="94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0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2,565,267</w:t>
            </w: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2,565,267</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N/A</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market-based stock units</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2,435,917</w:t>
            </w:r>
          </w:p>
        </w:tc>
        <w:tc>
          <w:tcPr>
            <w:tcW w:w="5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060" w:type="dxa"/>
            <w:vAlign w:val="bottom"/>
          </w:tcPr>
          <w:p>
            <w:pPr>
              <w:ind w:left="700"/>
              <w:spacing w:after="0"/>
              <w:rPr>
                <w:sz w:val="20"/>
                <w:szCs w:val="20"/>
                <w:color w:val="auto"/>
              </w:rPr>
            </w:pPr>
            <w:r>
              <w:rPr>
                <w:rFonts w:ascii="Arial" w:cs="Arial" w:eastAsia="Arial" w:hAnsi="Arial"/>
                <w:sz w:val="18"/>
                <w:szCs w:val="18"/>
                <w:color w:val="auto"/>
              </w:rPr>
              <w:t>2,435,917</w:t>
            </w:r>
          </w:p>
        </w:tc>
        <w:tc>
          <w:tcPr>
            <w:tcW w:w="920" w:type="dxa"/>
            <w:vAlign w:val="bottom"/>
          </w:tcPr>
          <w:p>
            <w:pPr>
              <w:ind w:left="600"/>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300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Reorganization, the Company became subject to taxation as a C corporation for periods after October 28, 2021. The Company's income tax expense for the three and nine months ended September 30, 2022 was $4.2 million and $4.1 million, respectively, and the effective tax rate for the three and nine months ended September 30, 2022 was (134.6)% and (119.9)%, respectively. The main driver of the difference between the effective and statutory rate is non-deductible executive compensation under Section 162(m) of the Internal Revenue Code. There are no uncertain tax positions as of September 30,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entered into a professional services agreements, effective October 2, 2018, with Vesey Street Capital Partners, LLC, JCBI II, LLC, and Dr. Aaron Rollins (collectively the “Advisors”), where the Advisors provided certain managerial and advisory services to the Company. Each of the Advisors had an ownership interest in the Parent. Under the professional services agreements, the Company agreed to pay the Advisors an aggregate annual fee (also referred to as the sponsor management fee) of the greater of $500,000 or 2% of consolidated earnings before interest, tax, depreciation and amortization, payable in advance quarterly installments, and the fee was allocated between the Advisors based on the outstanding Parent Class A Units held. Under the agreements, the Company also reimbursed the Advisors for any out-of-pocket expenses incurred related to providing their services. In conjunction with the IPO and Reorganization, the professional services agreements with the Advisors were terminated. During the three months ended September 30, 2022 and 2021, the Company incurred sponsor management fees of approximately $— and $417,000, respectively. During the nine months ended September 30, 2022 and 2021, the Company incurred sponsor management fees of approximately $— and $667,000,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Adjusted EBITDA. Gross profit is defined as revenues less cost of service incurred and Adjusted EBITDA as net income/loss excluding depreciation and amortization, net interest expense, loss on debt modification, sponsor management fee, pre-opening de novo and relocation costs, restructuring and related severance costs, IPO related costs, loss on disposal of long-lived assets, and equity-based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2022, the Company entered into a new credit agreement with a syndicate of lenders (the "new Credit Agreement") maturing November 7, 2027. Pursuant to the new Credit Agreement, there is (i) an $85.0 million aggregate principal amount of term loans and (ii) a revolving loan facility in an aggregate principal amount of up to $5.0 million. The proceeds were used, in part, to pay off the Borrower’s $83.6 million outstanding principal balance under its existing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new Credit Agreement, all outstanding loans bear interest based on either a base rate or SOFR plus an applicable per annum margin of 2.0% (base rate) or 3.0% (SOFR) if the Company's total leverage ratio is equal to or greater than 2.0x. If the Company's total leverage ratio is equal to or greater than 1.0x and less than 2.0x, the interest rate is based on either a base rate or SOFR plus an applicable per annum margin of 1.5% (base rate) or 2.5% (SOFR). If the Company's total leverage ratio is below 1.0x, the interest rate is based on either a base rate or SOFR plus an applicable per annum margin of 1.0% (base rate) or 2.0%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11, 2022 filed with the Securities and Exchange Commission (“SEC”) pursuant to Section 13 or 15(d) of the Securities Exchange Act of 1934.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 as a result of many factors, including those discussed in “Risk Factors” and elsewhere in this Quarterly Report on Form 10-Q.</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AirSculpt is an experienced, fast-growing national provider of body contouring procedures delivering a premium consumer experience under its brand, Elite Body Sculpture. At Elite Body Sculpture, we provide custom body contouring using our proprietary AirSculpt® method that removes unwanted fat in a minimally invasive procedure, producing dramatic results. We opened a new center in Las Vegas, NV in March 2022, in Boston, MA in July 2022, and in Philadelphia, PA in November 2022. We deliver our AirSculpt® procedures through a growing nationwide footprint of 21 centers across 17 states as of November 14, 2022.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2022, we performed 2,879 and 9,726 cases, respectively. For the three and nine months ended September 30, 2022, we generated approximately $38.9 million and $128.1 million of revenue, respectively, compared to $34.7 million and $95.8 million for the three and nine months ended September 30, 2021, respectively. This represents approximately 12% growth for the three months ended September 30, 2022 over the same period in prior year and approximately 34% growth for the nine months ended September 30, 2022 over the same period in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Our cases per procedure room is lower in the current period due to the recent addition of four de novo centers and expansions of existing centers which increased our procedure rooms by 16 over the prior year. We believe this decline to be temporary as the new procedure rooms ramp up. The expansion of procedure rooms will provide an ample platform for the Company's continued future growth.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49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9,726</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8,165</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13,509</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13,170</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11,728</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three months ended September 30, 2022 and 2021, we define same-center case and revenue growth as the growth in each of our cases and revenue at facilities that have been owned and operated since July 1, 2021. We define same-center facilities and procedure rooms based on if a facility has been owned or operated since July 1, 2021.</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and 2021, we define same-center case and revenue growth as the growth in each of our cases and revenue at facilities that have been owned and operated since January 1, 2021. We define same-center facilities and procedure rooms as facilities and procedure rooms that have been owned or operated since January 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2,535</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7,983</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7,863</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13,381</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12,632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13,132</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11,697</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Measures—Adjusted EBITDA and Adjusted EBITDA Margin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financial results in accordance with GAAP, however, management believes the evaluation of our ongoing operating results may be enhanced by a presentation of Adjusted EBITDA and Adjusted EBITDA Margin, which are non-GAAP financial measures.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Adjusted EBITDA as net income/(loss) excluding depreciation and amortization, net interest expense, income tax expense/(benefit), sponsor management fee, pre-opening de novo and relocation costs, restructuring and related severance costs, IPO related costs, (gain)/loss on disposal of long-lived assets, and equity-based compensation.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Adjusted EBITDA Margin as Adjusted EBITDA as a percentage of revenue.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Adjusted EBITDA and Adjusted EBITDA Margin to net (loss)/income, the most directly comparable GAAP financial measure: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r>
      <w:tr>
        <w:trPr>
          <w:trHeight w:val="196"/>
        </w:trPr>
        <w:tc>
          <w:tcPr>
            <w:tcW w:w="466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29"/>
        </w:trPr>
        <w:tc>
          <w:tcPr>
            <w:tcW w:w="466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(loss)/income</w:t>
            </w:r>
          </w:p>
        </w:tc>
        <w:tc>
          <w:tcPr>
            <w:tcW w:w="36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DFE"/>
          </w:tcPr>
          <w:p>
            <w:pPr>
              <w:jc w:val="right"/>
              <w:ind w:right="113"/>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2EDFE"/>
          </w:tcPr>
          <w:p>
            <w:pPr>
              <w:jc w:val="right"/>
              <w:ind w:right="171"/>
              <w:spacing w:after="0"/>
              <w:rPr>
                <w:sz w:val="20"/>
                <w:szCs w:val="20"/>
                <w:color w:val="auto"/>
              </w:rPr>
            </w:pPr>
            <w:r>
              <w:rPr>
                <w:rFonts w:ascii="Arial" w:cs="Arial" w:eastAsia="Arial" w:hAnsi="Arial"/>
                <w:sz w:val="18"/>
                <w:szCs w:val="18"/>
                <w:color w:val="auto"/>
              </w:rPr>
              <w:t>8,054</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2EDFE"/>
          </w:tcPr>
          <w:p>
            <w:pPr>
              <w:jc w:val="right"/>
              <w:ind w:right="113"/>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24,702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Sponsor management fee</w:t>
            </w:r>
          </w:p>
        </w:tc>
        <w:tc>
          <w:tcPr>
            <w:tcW w:w="360" w:type="dxa"/>
            <w:vAlign w:val="bottom"/>
            <w:shd w:val="clear" w:color="auto" w:fill="D2EDFE"/>
          </w:tcPr>
          <w:p>
            <w:pPr>
              <w:spacing w:after="0"/>
              <w:rPr>
                <w:sz w:val="19"/>
                <w:szCs w:val="19"/>
                <w:color w:val="auto"/>
              </w:rPr>
            </w:pPr>
          </w:p>
        </w:tc>
        <w:tc>
          <w:tcPr>
            <w:tcW w:w="1300" w:type="dxa"/>
            <w:vAlign w:val="bottom"/>
            <w:gridSpan w:val="2"/>
            <w:shd w:val="clear" w:color="auto" w:fill="D2EDFE"/>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1"/>
              <w:spacing w:after="0"/>
              <w:rPr>
                <w:sz w:val="20"/>
                <w:szCs w:val="20"/>
                <w:color w:val="auto"/>
              </w:rPr>
            </w:pPr>
            <w:r>
              <w:rPr>
                <w:rFonts w:ascii="Arial" w:cs="Arial" w:eastAsia="Arial" w:hAnsi="Arial"/>
                <w:sz w:val="18"/>
                <w:szCs w:val="18"/>
                <w:color w:val="auto"/>
              </w:rPr>
              <w:t>417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300" w:type="dxa"/>
            <w:vAlign w:val="bottom"/>
            <w:gridSpan w:val="2"/>
            <w:shd w:val="clear" w:color="auto" w:fill="D2EDFE"/>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667</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21,961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258</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Loss on debt modification</w:t>
            </w:r>
          </w:p>
        </w:tc>
        <w:tc>
          <w:tcPr>
            <w:tcW w:w="360" w:type="dxa"/>
            <w:vAlign w:val="bottom"/>
            <w:shd w:val="clear" w:color="auto" w:fill="D2EDFE"/>
          </w:tcPr>
          <w:p>
            <w:pPr>
              <w:spacing w:after="0"/>
              <w:rPr>
                <w:sz w:val="19"/>
                <w:szCs w:val="19"/>
                <w:color w:val="auto"/>
              </w:rPr>
            </w:pPr>
          </w:p>
        </w:tc>
        <w:tc>
          <w:tcPr>
            <w:tcW w:w="1300" w:type="dxa"/>
            <w:vAlign w:val="bottom"/>
            <w:gridSpan w:val="2"/>
            <w:shd w:val="clear" w:color="auto" w:fill="D2EDFE"/>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D2EDFE"/>
          </w:tcPr>
          <w:p>
            <w:pPr>
              <w:spacing w:after="0"/>
              <w:rPr>
                <w:sz w:val="19"/>
                <w:szCs w:val="19"/>
                <w:color w:val="auto"/>
              </w:rPr>
            </w:pPr>
          </w:p>
        </w:tc>
        <w:tc>
          <w:tcPr>
            <w:tcW w:w="1040" w:type="dxa"/>
            <w:vAlign w:val="bottom"/>
            <w:gridSpan w:val="2"/>
            <w:shd w:val="clear" w:color="auto" w:fill="D2EDFE"/>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D2EDFE"/>
          </w:tcPr>
          <w:p>
            <w:pPr>
              <w:spacing w:after="0"/>
              <w:rPr>
                <w:sz w:val="19"/>
                <w:szCs w:val="19"/>
                <w:color w:val="auto"/>
              </w:rPr>
            </w:pPr>
          </w:p>
        </w:tc>
        <w:tc>
          <w:tcPr>
            <w:tcW w:w="1300" w:type="dxa"/>
            <w:vAlign w:val="bottom"/>
            <w:gridSpan w:val="2"/>
            <w:shd w:val="clear" w:color="auto" w:fill="D2EDFE"/>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682</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Pre-opening de novo and relocation costs</w:t>
            </w:r>
          </w:p>
        </w:tc>
        <w:tc>
          <w:tcPr>
            <w:tcW w:w="36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1"/>
              <w:spacing w:after="0"/>
              <w:rPr>
                <w:sz w:val="20"/>
                <w:szCs w:val="20"/>
                <w:color w:val="auto"/>
              </w:rPr>
            </w:pPr>
            <w:r>
              <w:rPr>
                <w:rFonts w:ascii="Arial" w:cs="Arial" w:eastAsia="Arial" w:hAnsi="Arial"/>
                <w:sz w:val="18"/>
                <w:szCs w:val="18"/>
                <w:color w:val="auto"/>
              </w:rPr>
              <w:t>307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1,289</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314</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1"/>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4,664</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36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1"/>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3"/>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1"/>
              <w:spacing w:after="0"/>
              <w:rPr>
                <w:sz w:val="20"/>
                <w:szCs w:val="20"/>
                <w:color w:val="auto"/>
              </w:rPr>
            </w:pPr>
            <w:r>
              <w:rPr>
                <w:rFonts w:ascii="Arial" w:cs="Arial" w:eastAsia="Arial" w:hAnsi="Arial"/>
                <w:sz w:val="18"/>
                <w:szCs w:val="18"/>
                <w:color w:val="auto"/>
              </w:rPr>
              <w:t>3,323</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shd w:val="clear" w:color="auto" w:fill="D2EDFE"/>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D2EDFE"/>
          </w:tcPr>
          <w:p>
            <w:pPr>
              <w:jc w:val="right"/>
              <w:ind w:right="153"/>
              <w:spacing w:after="0"/>
              <w:rPr>
                <w:sz w:val="20"/>
                <w:szCs w:val="20"/>
                <w:color w:val="auto"/>
              </w:rPr>
            </w:pPr>
            <w:r>
              <w:rPr>
                <w:rFonts w:ascii="Arial" w:cs="Arial" w:eastAsia="Arial" w:hAnsi="Arial"/>
                <w:sz w:val="18"/>
                <w:szCs w:val="18"/>
                <w:b w:val="1"/>
                <w:bCs w:val="1"/>
                <w:color w:val="auto"/>
              </w:rPr>
              <w:t>9,174</w:t>
            </w:r>
          </w:p>
        </w:tc>
        <w:tc>
          <w:tcPr>
            <w:tcW w:w="100" w:type="dxa"/>
            <w:vAlign w:val="bottom"/>
            <w:tcBorders>
              <w:top w:val="single" w:sz="8" w:color="D2EDFE"/>
            </w:tcBorders>
            <w:shd w:val="clear" w:color="auto" w:fill="D2EDFE"/>
          </w:tcPr>
          <w:p>
            <w:pPr>
              <w:spacing w:after="0"/>
              <w:rPr>
                <w:sz w:val="19"/>
                <w:szCs w:val="19"/>
                <w:color w:val="auto"/>
              </w:rPr>
            </w:pPr>
          </w:p>
        </w:tc>
        <w:tc>
          <w:tcPr>
            <w:tcW w:w="620" w:type="dxa"/>
            <w:vAlign w:val="bottom"/>
            <w:tcBorders>
              <w:top w:val="single" w:sz="8" w:color="auto"/>
              <w:bottom w:val="single" w:sz="8" w:color="auto"/>
            </w:tcBorders>
            <w:shd w:val="clear" w:color="auto" w:fill="D2EDFE"/>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D2EDFE"/>
          </w:tcPr>
          <w:p>
            <w:pPr>
              <w:jc w:val="right"/>
              <w:ind w:right="171"/>
              <w:spacing w:after="0"/>
              <w:rPr>
                <w:sz w:val="20"/>
                <w:szCs w:val="20"/>
                <w:color w:val="auto"/>
              </w:rPr>
            </w:pPr>
            <w:r>
              <w:rPr>
                <w:rFonts w:ascii="Arial" w:cs="Arial" w:eastAsia="Arial" w:hAnsi="Arial"/>
                <w:sz w:val="18"/>
                <w:szCs w:val="18"/>
                <w:b w:val="1"/>
                <w:bCs w:val="1"/>
                <w:color w:val="auto"/>
              </w:rPr>
              <w:t>12,116</w:t>
            </w:r>
          </w:p>
        </w:tc>
        <w:tc>
          <w:tcPr>
            <w:tcW w:w="80" w:type="dxa"/>
            <w:vAlign w:val="bottom"/>
            <w:tcBorders>
              <w:top w:val="single" w:sz="8" w:color="D2EDFE"/>
            </w:tcBorders>
            <w:shd w:val="clear" w:color="auto" w:fill="D2EDFE"/>
          </w:tcPr>
          <w:p>
            <w:pPr>
              <w:spacing w:after="0"/>
              <w:rPr>
                <w:sz w:val="19"/>
                <w:szCs w:val="19"/>
                <w:color w:val="auto"/>
              </w:rPr>
            </w:pPr>
          </w:p>
        </w:tc>
        <w:tc>
          <w:tcPr>
            <w:tcW w:w="380" w:type="dxa"/>
            <w:vAlign w:val="bottom"/>
            <w:tcBorders>
              <w:top w:val="single" w:sz="8" w:color="auto"/>
              <w:bottom w:val="single" w:sz="8" w:color="auto"/>
            </w:tcBorders>
            <w:shd w:val="clear" w:color="auto" w:fill="D2EDFE"/>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D2EDFE"/>
          </w:tcPr>
          <w:p>
            <w:pPr>
              <w:jc w:val="right"/>
              <w:ind w:right="153"/>
              <w:spacing w:after="0"/>
              <w:rPr>
                <w:sz w:val="20"/>
                <w:szCs w:val="20"/>
                <w:color w:val="auto"/>
              </w:rPr>
            </w:pPr>
            <w:r>
              <w:rPr>
                <w:rFonts w:ascii="Arial" w:cs="Arial" w:eastAsia="Arial" w:hAnsi="Arial"/>
                <w:sz w:val="18"/>
                <w:szCs w:val="18"/>
                <w:b w:val="1"/>
                <w:bCs w:val="1"/>
                <w:color w:val="auto"/>
              </w:rPr>
              <w:t>34,189</w:t>
            </w:r>
          </w:p>
        </w:tc>
        <w:tc>
          <w:tcPr>
            <w:tcW w:w="100" w:type="dxa"/>
            <w:vAlign w:val="bottom"/>
            <w:tcBorders>
              <w:top w:val="single" w:sz="8" w:color="D2EDFE"/>
            </w:tcBorders>
            <w:shd w:val="clear" w:color="auto" w:fill="D2EDFE"/>
          </w:tcPr>
          <w:p>
            <w:pPr>
              <w:spacing w:after="0"/>
              <w:rPr>
                <w:sz w:val="19"/>
                <w:szCs w:val="19"/>
                <w:color w:val="auto"/>
              </w:rPr>
            </w:pPr>
          </w:p>
        </w:tc>
        <w:tc>
          <w:tcPr>
            <w:tcW w:w="600" w:type="dxa"/>
            <w:vAlign w:val="bottom"/>
            <w:tcBorders>
              <w:top w:val="single" w:sz="8" w:color="auto"/>
              <w:bottom w:val="single" w:sz="8" w:color="auto"/>
            </w:tcBorders>
            <w:shd w:val="clear" w:color="auto" w:fill="D2EDFE"/>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D2EDFE"/>
          </w:tcPr>
          <w:p>
            <w:pPr>
              <w:jc w:val="right"/>
              <w:ind w:right="151"/>
              <w:spacing w:after="0"/>
              <w:rPr>
                <w:sz w:val="20"/>
                <w:szCs w:val="20"/>
                <w:color w:val="auto"/>
              </w:rPr>
            </w:pPr>
            <w:r>
              <w:rPr>
                <w:rFonts w:ascii="Arial" w:cs="Arial" w:eastAsia="Arial" w:hAnsi="Arial"/>
                <w:sz w:val="18"/>
                <w:szCs w:val="18"/>
                <w:b w:val="1"/>
                <w:bCs w:val="1"/>
                <w:color w:val="auto"/>
              </w:rPr>
              <w:t>35,899</w:t>
            </w:r>
          </w:p>
        </w:tc>
      </w:tr>
      <w:tr>
        <w:trPr>
          <w:trHeight w:val="228"/>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23.6 %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37.5 %</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the first nine months of 2022, we experienced only minor impact at our centers, primarily due to staffing challenges brought on by COVID-19. We continue to monitor the current COVID-19 situation in each market we perform procedures and will react accordingly.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 the percentage relationship to revenue for the periods indicated: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jc w:val="center"/>
        <w:ind w:right="4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354"/>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332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38,892</w:t>
            </w:r>
          </w:p>
        </w:tc>
        <w:tc>
          <w:tcPr>
            <w:tcW w:w="80" w:type="dxa"/>
            <w:vAlign w:val="bottom"/>
            <w:tcBorders>
              <w:top w:val="single" w:sz="8" w:color="D2EDFE"/>
            </w:tcBorders>
            <w:shd w:val="clear" w:color="auto" w:fill="D2EDFE"/>
          </w:tcPr>
          <w:p>
            <w:pPr>
              <w:spacing w:after="0"/>
              <w:rPr>
                <w:sz w:val="19"/>
                <w:szCs w:val="19"/>
                <w:color w:val="auto"/>
              </w:rPr>
            </w:pPr>
          </w:p>
        </w:tc>
        <w:tc>
          <w:tcPr>
            <w:tcW w:w="26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34,651</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D2EDFE"/>
          </w:tcPr>
          <w:p>
            <w:pPr>
              <w:ind w:left="140"/>
              <w:spacing w:after="0" w:line="176" w:lineRule="exact"/>
              <w:rPr>
                <w:sz w:val="20"/>
                <w:szCs w:val="20"/>
                <w:color w:val="auto"/>
              </w:rPr>
            </w:pPr>
            <w:r>
              <w:rPr>
                <w:rFonts w:ascii="Arial" w:cs="Arial" w:eastAsia="Arial" w:hAnsi="Arial"/>
                <w:sz w:val="18"/>
                <w:szCs w:val="18"/>
                <w:color w:val="auto"/>
                <w:w w:val="96"/>
              </w:rPr>
              <w:t>Cost of service (exclusive of depreciation</w:t>
            </w:r>
          </w:p>
        </w:tc>
        <w:tc>
          <w:tcPr>
            <w:tcW w:w="180" w:type="dxa"/>
            <w:vAlign w:val="bottom"/>
            <w:shd w:val="clear" w:color="auto" w:fill="D2EDFE"/>
          </w:tcPr>
          <w:p>
            <w:pPr>
              <w:spacing w:after="0"/>
              <w:rPr>
                <w:sz w:val="15"/>
                <w:szCs w:val="15"/>
                <w:color w:val="auto"/>
              </w:rPr>
            </w:pPr>
          </w:p>
        </w:tc>
        <w:tc>
          <w:tcPr>
            <w:tcW w:w="820" w:type="dxa"/>
            <w:vAlign w:val="bottom"/>
            <w:shd w:val="clear" w:color="auto" w:fill="D2EDFE"/>
          </w:tcPr>
          <w:p>
            <w:pPr>
              <w:spacing w:after="0"/>
              <w:rPr>
                <w:sz w:val="15"/>
                <w:szCs w:val="15"/>
                <w:color w:val="auto"/>
              </w:rPr>
            </w:pPr>
          </w:p>
        </w:tc>
        <w:tc>
          <w:tcPr>
            <w:tcW w:w="80" w:type="dxa"/>
            <w:vAlign w:val="bottom"/>
            <w:shd w:val="clear" w:color="auto" w:fill="D2EDFE"/>
          </w:tcPr>
          <w:p>
            <w:pPr>
              <w:spacing w:after="0"/>
              <w:rPr>
                <w:sz w:val="15"/>
                <w:szCs w:val="15"/>
                <w:color w:val="auto"/>
              </w:rPr>
            </w:pPr>
          </w:p>
        </w:tc>
        <w:tc>
          <w:tcPr>
            <w:tcW w:w="260" w:type="dxa"/>
            <w:vAlign w:val="bottom"/>
            <w:shd w:val="clear" w:color="auto" w:fill="D2EDFE"/>
          </w:tcPr>
          <w:p>
            <w:pPr>
              <w:spacing w:after="0"/>
              <w:rPr>
                <w:sz w:val="15"/>
                <w:szCs w:val="15"/>
                <w:color w:val="auto"/>
              </w:rPr>
            </w:pPr>
          </w:p>
        </w:tc>
        <w:tc>
          <w:tcPr>
            <w:tcW w:w="900" w:type="dxa"/>
            <w:vAlign w:val="bottom"/>
            <w:shd w:val="clear" w:color="auto" w:fill="D2EDFE"/>
          </w:tcPr>
          <w:p>
            <w:pPr>
              <w:spacing w:after="0"/>
              <w:rPr>
                <w:sz w:val="15"/>
                <w:szCs w:val="15"/>
                <w:color w:val="auto"/>
              </w:rPr>
            </w:pPr>
          </w:p>
        </w:tc>
        <w:tc>
          <w:tcPr>
            <w:tcW w:w="80" w:type="dxa"/>
            <w:vAlign w:val="bottom"/>
            <w:shd w:val="clear" w:color="auto" w:fill="D2EDFE"/>
          </w:tcPr>
          <w:p>
            <w:pPr>
              <w:spacing w:after="0"/>
              <w:rPr>
                <w:sz w:val="15"/>
                <w:szCs w:val="15"/>
                <w:color w:val="auto"/>
              </w:rPr>
            </w:pPr>
          </w:p>
        </w:tc>
        <w:tc>
          <w:tcPr>
            <w:tcW w:w="180" w:type="dxa"/>
            <w:vAlign w:val="bottom"/>
            <w:shd w:val="clear" w:color="auto" w:fill="D2EDFE"/>
          </w:tcPr>
          <w:p>
            <w:pPr>
              <w:spacing w:after="0"/>
              <w:rPr>
                <w:sz w:val="15"/>
                <w:szCs w:val="15"/>
                <w:color w:val="auto"/>
              </w:rPr>
            </w:pPr>
          </w:p>
        </w:tc>
        <w:tc>
          <w:tcPr>
            <w:tcW w:w="780" w:type="dxa"/>
            <w:vAlign w:val="bottom"/>
            <w:shd w:val="clear" w:color="auto" w:fill="D2EDFE"/>
          </w:tcPr>
          <w:p>
            <w:pPr>
              <w:spacing w:after="0"/>
              <w:rPr>
                <w:sz w:val="15"/>
                <w:szCs w:val="15"/>
                <w:color w:val="auto"/>
              </w:rPr>
            </w:pPr>
          </w:p>
        </w:tc>
        <w:tc>
          <w:tcPr>
            <w:tcW w:w="40" w:type="dxa"/>
            <w:vAlign w:val="bottom"/>
            <w:shd w:val="clear" w:color="auto" w:fill="D2EDFE"/>
          </w:tcPr>
          <w:p>
            <w:pPr>
              <w:spacing w:after="0"/>
              <w:rPr>
                <w:sz w:val="15"/>
                <w:szCs w:val="15"/>
                <w:color w:val="auto"/>
              </w:rPr>
            </w:pPr>
          </w:p>
        </w:tc>
        <w:tc>
          <w:tcPr>
            <w:tcW w:w="100" w:type="dxa"/>
            <w:vAlign w:val="bottom"/>
            <w:shd w:val="clear" w:color="auto" w:fill="D2EDFE"/>
          </w:tcPr>
          <w:p>
            <w:pPr>
              <w:spacing w:after="0"/>
              <w:rPr>
                <w:sz w:val="15"/>
                <w:szCs w:val="15"/>
                <w:color w:val="auto"/>
              </w:rPr>
            </w:pPr>
          </w:p>
        </w:tc>
        <w:tc>
          <w:tcPr>
            <w:tcW w:w="1140" w:type="dxa"/>
            <w:vAlign w:val="bottom"/>
            <w:shd w:val="clear" w:color="auto" w:fill="D2EDF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and amortization shown below)</w:t>
            </w:r>
          </w:p>
        </w:tc>
        <w:tc>
          <w:tcPr>
            <w:tcW w:w="180" w:type="dxa"/>
            <w:vAlign w:val="bottom"/>
            <w:shd w:val="clear" w:color="auto" w:fill="D2EDFE"/>
          </w:tcPr>
          <w:p>
            <w:pPr>
              <w:spacing w:after="0"/>
              <w:rPr>
                <w:sz w:val="21"/>
                <w:szCs w:val="21"/>
                <w:color w:val="auto"/>
              </w:rPr>
            </w:pPr>
          </w:p>
        </w:tc>
        <w:tc>
          <w:tcPr>
            <w:tcW w:w="8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14,888</w:t>
            </w:r>
          </w:p>
        </w:tc>
        <w:tc>
          <w:tcPr>
            <w:tcW w:w="80" w:type="dxa"/>
            <w:vAlign w:val="bottom"/>
            <w:shd w:val="clear" w:color="auto" w:fill="D2EDFE"/>
          </w:tcPr>
          <w:p>
            <w:pPr>
              <w:spacing w:after="0"/>
              <w:rPr>
                <w:sz w:val="21"/>
                <w:szCs w:val="21"/>
                <w:color w:val="auto"/>
              </w:rPr>
            </w:pPr>
          </w:p>
        </w:tc>
        <w:tc>
          <w:tcPr>
            <w:tcW w:w="260" w:type="dxa"/>
            <w:vAlign w:val="bottom"/>
            <w:shd w:val="clear" w:color="auto" w:fill="D2EDFE"/>
          </w:tcPr>
          <w:p>
            <w:pPr>
              <w:spacing w:after="0"/>
              <w:rPr>
                <w:sz w:val="21"/>
                <w:szCs w:val="21"/>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38.3 %</w:t>
            </w:r>
          </w:p>
        </w:tc>
        <w:tc>
          <w:tcPr>
            <w:tcW w:w="80" w:type="dxa"/>
            <w:vAlign w:val="bottom"/>
            <w:shd w:val="clear" w:color="auto" w:fill="D2EDFE"/>
          </w:tcPr>
          <w:p>
            <w:pPr>
              <w:spacing w:after="0"/>
              <w:rPr>
                <w:sz w:val="21"/>
                <w:szCs w:val="21"/>
                <w:color w:val="auto"/>
              </w:rPr>
            </w:pPr>
          </w:p>
        </w:tc>
        <w:tc>
          <w:tcPr>
            <w:tcW w:w="180" w:type="dxa"/>
            <w:vAlign w:val="bottom"/>
            <w:shd w:val="clear" w:color="auto" w:fill="D2EDFE"/>
          </w:tcPr>
          <w:p>
            <w:pPr>
              <w:spacing w:after="0"/>
              <w:rPr>
                <w:sz w:val="21"/>
                <w:szCs w:val="21"/>
                <w:color w:val="auto"/>
              </w:rPr>
            </w:pPr>
          </w:p>
        </w:tc>
        <w:tc>
          <w:tcPr>
            <w:tcW w:w="7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11,410</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29"/>
        </w:trPr>
        <w:tc>
          <w:tcPr>
            <w:tcW w:w="3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Loss on debt modification</w:t>
            </w:r>
          </w:p>
        </w:tc>
        <w:tc>
          <w:tcPr>
            <w:tcW w:w="180" w:type="dxa"/>
            <w:vAlign w:val="bottom"/>
            <w:shd w:val="clear" w:color="auto" w:fill="D2EDFE"/>
          </w:tcPr>
          <w:p>
            <w:pPr>
              <w:spacing w:after="0"/>
              <w:rPr>
                <w:sz w:val="19"/>
                <w:szCs w:val="19"/>
                <w:color w:val="auto"/>
              </w:rPr>
            </w:pPr>
          </w:p>
        </w:tc>
        <w:tc>
          <w:tcPr>
            <w:tcW w:w="1160" w:type="dxa"/>
            <w:vAlign w:val="bottom"/>
            <w:gridSpan w:val="3"/>
            <w:shd w:val="clear" w:color="auto" w:fill="D2EDFE"/>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2EDFE"/>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9"/>
        </w:trPr>
        <w:tc>
          <w:tcPr>
            <w:tcW w:w="3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(Gain) on disposal of long-lived assets</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980" w:type="dxa"/>
            <w:vAlign w:val="bottom"/>
            <w:gridSpan w:val="2"/>
            <w:shd w:val="clear" w:color="auto" w:fill="D2EDFE"/>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D2EDFE"/>
            </w:tcBorders>
          </w:tcPr>
          <w:p>
            <w:pPr>
              <w:ind w:left="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40,267</w:t>
            </w:r>
          </w:p>
        </w:tc>
        <w:tc>
          <w:tcPr>
            <w:tcW w:w="80" w:type="dxa"/>
            <w:vAlign w:val="bottom"/>
            <w:tcBorders>
              <w:bottom w:val="single" w:sz="8" w:color="D2EDF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103.5 %</w:t>
            </w:r>
          </w:p>
        </w:tc>
        <w:tc>
          <w:tcPr>
            <w:tcW w:w="80" w:type="dxa"/>
            <w:vAlign w:val="bottom"/>
            <w:tcBorders>
              <w:bottom w:val="single" w:sz="8" w:color="D2EDF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223"/>
        </w:trPr>
        <w:tc>
          <w:tcPr>
            <w:tcW w:w="3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9,620</w:t>
            </w:r>
          </w:p>
        </w:tc>
        <w:tc>
          <w:tcPr>
            <w:tcW w:w="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3"/>
        </w:trPr>
        <w:tc>
          <w:tcPr>
            <w:tcW w:w="3320" w:type="dxa"/>
            <w:vAlign w:val="bottom"/>
            <w:tcBorders>
              <w:top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Pre-tax net (loss)/income</w:t>
            </w:r>
          </w:p>
        </w:tc>
        <w:tc>
          <w:tcPr>
            <w:tcW w:w="180" w:type="dxa"/>
            <w:vAlign w:val="bottom"/>
            <w:tcBorders>
              <w:top w:val="single" w:sz="8" w:color="auto"/>
            </w:tcBorders>
            <w:shd w:val="clear" w:color="auto" w:fill="D2EDFE"/>
          </w:tcPr>
          <w:p>
            <w:pPr>
              <w:spacing w:after="0"/>
              <w:rPr>
                <w:sz w:val="19"/>
                <w:szCs w:val="19"/>
                <w:color w:val="auto"/>
              </w:rPr>
            </w:pPr>
          </w:p>
        </w:tc>
        <w:tc>
          <w:tcPr>
            <w:tcW w:w="8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Borders>
              <w:top w:val="single" w:sz="8" w:color="D2EDFE"/>
            </w:tcBorders>
            <w:shd w:val="clear" w:color="auto" w:fill="D2EDFE"/>
          </w:tcPr>
          <w:p>
            <w:pPr>
              <w:spacing w:after="0"/>
              <w:rPr>
                <w:sz w:val="19"/>
                <w:szCs w:val="19"/>
                <w:color w:val="auto"/>
              </w:rPr>
            </w:pPr>
          </w:p>
        </w:tc>
        <w:tc>
          <w:tcPr>
            <w:tcW w:w="26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7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8,054</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8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Net (loss)/income</w:t>
            </w:r>
          </w:p>
        </w:tc>
        <w:tc>
          <w:tcPr>
            <w:tcW w:w="1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Borders>
              <w:bottom w:val="single" w:sz="8" w:color="D2EDFE"/>
            </w:tcBorders>
            <w:shd w:val="clear" w:color="auto" w:fill="D2EDFE"/>
          </w:tcPr>
          <w:p>
            <w:pPr>
              <w:spacing w:after="0"/>
              <w:rPr>
                <w:sz w:val="21"/>
                <w:szCs w:val="21"/>
                <w:color w:val="auto"/>
              </w:rPr>
            </w:pPr>
          </w:p>
        </w:tc>
        <w:tc>
          <w:tcPr>
            <w:tcW w:w="260" w:type="dxa"/>
            <w:vAlign w:val="bottom"/>
            <w:tcBorders>
              <w:bottom w:val="single" w:sz="8" w:color="auto"/>
            </w:tcBorders>
            <w:shd w:val="clear" w:color="auto" w:fill="D2EDFE"/>
          </w:tcPr>
          <w:p>
            <w:pPr>
              <w:spacing w:after="0"/>
              <w:rPr>
                <w:sz w:val="21"/>
                <w:szCs w:val="21"/>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D2EDFE"/>
            </w:tcBorders>
            <w:shd w:val="clear" w:color="auto" w:fill="D2EDFE"/>
          </w:tcPr>
          <w:p>
            <w:pPr>
              <w:spacing w:after="0"/>
              <w:rPr>
                <w:sz w:val="21"/>
                <w:szCs w:val="21"/>
                <w:color w:val="auto"/>
              </w:rPr>
            </w:pPr>
          </w:p>
        </w:tc>
        <w:tc>
          <w:tcPr>
            <w:tcW w:w="1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8,054</w:t>
            </w:r>
          </w:p>
        </w:tc>
        <w:tc>
          <w:tcPr>
            <w:tcW w:w="40" w:type="dxa"/>
            <w:vAlign w:val="bottom"/>
            <w:tcBorders>
              <w:bottom w:val="single" w:sz="8" w:color="auto"/>
            </w:tcBorders>
            <w:shd w:val="clear" w:color="auto" w:fill="D2EDFE"/>
          </w:tcPr>
          <w:p>
            <w:pPr>
              <w:spacing w:after="0"/>
              <w:rPr>
                <w:sz w:val="21"/>
                <w:szCs w:val="21"/>
                <w:color w:val="auto"/>
              </w:rPr>
            </w:pPr>
          </w:p>
        </w:tc>
        <w:tc>
          <w:tcPr>
            <w:tcW w:w="100" w:type="dxa"/>
            <w:vAlign w:val="bottom"/>
            <w:tcBorders>
              <w:bottom w:val="single" w:sz="8" w:color="D2EDFE"/>
            </w:tcBorders>
            <w:shd w:val="clear" w:color="auto" w:fill="D2EDFE"/>
          </w:tcPr>
          <w:p>
            <w:pPr>
              <w:spacing w:after="0"/>
              <w:rPr>
                <w:sz w:val="21"/>
                <w:szCs w:val="21"/>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
        </w:trPr>
        <w:tc>
          <w:tcPr>
            <w:tcW w:w="332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26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80" w:type="dxa"/>
            <w:vAlign w:val="bottom"/>
            <w:tcBorders>
              <w:top w:val="single" w:sz="8" w:color="D2EDFE"/>
              <w:bottom w:val="single" w:sz="8" w:color="auto"/>
            </w:tcBorders>
          </w:tcPr>
          <w:p>
            <w:pPr>
              <w:spacing w:after="0" w:line="20" w:lineRule="exact"/>
              <w:rPr>
                <w:sz w:val="1"/>
                <w:szCs w:val="1"/>
                <w:color w:val="auto"/>
              </w:rPr>
            </w:pPr>
          </w:p>
        </w:tc>
        <w:tc>
          <w:tcPr>
            <w:tcW w:w="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three months ended September 30, 2022 compared to the three months ended September 30, 2021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four de novo centers and expansions of existing centers which increased our procedure rooms by 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$4.2 million, or 12.2%, compared to the same period in 2021. The increase is the result of adding four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expanded our footprint from 16 centers to 20 centers and our number of procedure rooms from 27 to 43 as of September 30, 2022. We have also experienced strong revenue per case growth over the prior year of 6.9%.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7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Same store revenue for the three months ended September 30, 2022, declined by 2.1%. This was driven by a more pronounced seasonality during the quarter as several doctors at some of our larger centers took extended vacations which deferred cases into future periods.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Cost of Service—</w:t>
      </w:r>
      <w:r>
        <w:rPr>
          <w:rFonts w:ascii="Arial" w:cs="Arial" w:eastAsia="Arial" w:hAnsi="Arial"/>
          <w:sz w:val="17"/>
          <w:szCs w:val="17"/>
          <w:color w:val="auto"/>
        </w:rPr>
        <w:t>Our cost of services increased $3.5 million, or 30.5%, compared to the three months ended September 30, 2021. This increase is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opening four centers since the 2021 period. Cost of service was 38.3% and 32.9% as a percentage of revenue for the three months ended September 30,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services was also impacted by clinical additions to our nursing teams. These investments will further enhance quality and safety for our patients and better prepare us for future growth in both existing centers and the new centers we are developing.</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Selling, general and administrative expenses increased $11.4 million, or 95.3%,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compared to the same period in 2021. This increase is primarily related to the addition of public company costs of approximately $1.8 million and an increase in equity-based compensation of $7.2 million. This increase is also related to additional expenses we incurred for marketing and corporate support as we grow our center count through de novo expansion and providing support for our centers. We expect these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to continue to increase as we open new de novo centers and expand the support we provide to our centers. Selling, general and administrative expenses as a percent of revenue was at 60.2% and 34.6% for the three months ended September 30, 2022 and 2021, respectively.</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Total selling expenses were approximately $7.6 million and $6.0 million for the three months ended September 30, 2022 and 2021, respectively. Our customer acquisition costs were approximately $2,650 and $2,200 per customer in the three months ended September 30,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$15.8 million and $6.0 million for the three months ended September 30, 2022 and 2021, respectively. As previously mentioned, equity-based compensation, increasing our corporate overhead, and public company costs were the three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$2.0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 million for the same period in 2021. This increase is the result of having four additional de novo centers during the three months ended September 30, 2022 as compared to the 2021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disposal of long-lived assets—</w:t>
      </w:r>
      <w:r>
        <w:rPr>
          <w:rFonts w:ascii="Arial" w:cs="Arial" w:eastAsia="Arial" w:hAnsi="Arial"/>
          <w:sz w:val="18"/>
          <w:szCs w:val="18"/>
          <w:color w:val="auto"/>
        </w:rPr>
        <w:t>We recognized a $12,000 gain related to the disposal of previous leasehold improvements as a result of relocation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certain centers.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Interest expense increased to $1.8 million from $1.6 million for the three months ended September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rising interest rates in the current quarter.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As a result of the Reorganization, the Company became subject to taxation as a C corporation for periods after October 28,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is (134.6)% for the three months ended September 30,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 the percentage relationship to revenue for the periods indicated:</w:t>
      </w:r>
    </w:p>
    <w:p>
      <w:pPr>
        <w:spacing w:after="0" w:line="192"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Nine Months Ended</w:t>
      </w:r>
    </w:p>
    <w:p>
      <w:pPr>
        <w:jc w:val="center"/>
        <w:ind w:left="48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ind w:right="133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35"/>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1"/>
                <w:szCs w:val="11"/>
                <w:color w:val="auto"/>
              </w:rPr>
            </w:pPr>
          </w:p>
        </w:tc>
        <w:tc>
          <w:tcPr>
            <w:tcW w:w="11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4"/>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45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0"/>
        </w:trPr>
        <w:tc>
          <w:tcPr>
            <w:tcW w:w="488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128,090</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95,759</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47,042</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36.7 %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31,462</w:t>
            </w:r>
          </w:p>
        </w:tc>
        <w:tc>
          <w:tcPr>
            <w:tcW w:w="174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73,574</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57.4 %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Loss on debt modification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680" w:type="dxa"/>
            <w:vAlign w:val="bottom"/>
            <w:gridSpan w:val="2"/>
            <w:shd w:val="clear" w:color="auto" w:fill="D2EDF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682</w:t>
            </w:r>
          </w:p>
        </w:tc>
        <w:tc>
          <w:tcPr>
            <w:tcW w:w="174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5,842</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Loss on disposal of long-lived assets</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215</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D2EDFE"/>
            </w:tcBorders>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126,673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98.9 %</w:t>
            </w:r>
          </w:p>
        </w:tc>
        <w:tc>
          <w:tcPr>
            <w:tcW w:w="80" w:type="dxa"/>
            <w:vAlign w:val="bottom"/>
            <w:tcBorders>
              <w:bottom w:val="single" w:sz="8" w:color="D2EDF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70.7 %</w:t>
            </w:r>
          </w:p>
        </w:tc>
        <w:tc>
          <w:tcPr>
            <w:tcW w:w="0" w:type="dxa"/>
            <w:vAlign w:val="bottom"/>
          </w:tcPr>
          <w:p>
            <w:pPr>
              <w:spacing w:after="0"/>
              <w:rPr>
                <w:sz w:val="1"/>
                <w:szCs w:val="1"/>
                <w:color w:val="auto"/>
              </w:rPr>
            </w:pPr>
          </w:p>
        </w:tc>
      </w:tr>
      <w:tr>
        <w:trPr>
          <w:trHeight w:val="223"/>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1,417</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28,025</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4,821</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Pre-tax net (loss)/income</w:t>
            </w:r>
          </w:p>
        </w:tc>
        <w:tc>
          <w:tcPr>
            <w:tcW w:w="300" w:type="dxa"/>
            <w:vAlign w:val="bottom"/>
            <w:tcBorders>
              <w:top w:val="single" w:sz="8" w:color="auto"/>
            </w:tcBorders>
            <w:shd w:val="clear" w:color="auto" w:fill="D2EDFE"/>
          </w:tcPr>
          <w:p>
            <w:pPr>
              <w:spacing w:after="0"/>
              <w:rPr>
                <w:sz w:val="19"/>
                <w:szCs w:val="19"/>
                <w:color w:val="auto"/>
              </w:rPr>
            </w:pPr>
          </w:p>
        </w:tc>
        <w:tc>
          <w:tcPr>
            <w:tcW w:w="11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spacing w:after="0"/>
              <w:rPr>
                <w:sz w:val="19"/>
                <w:szCs w:val="19"/>
                <w:color w:val="auto"/>
              </w:rPr>
            </w:pPr>
          </w:p>
        </w:tc>
        <w:tc>
          <w:tcPr>
            <w:tcW w:w="11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24,702</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4880" w:type="dxa"/>
            <w:vAlign w:val="bottom"/>
            <w:tcBorders>
              <w:top w:val="single" w:sz="8" w:color="D2EDFE"/>
              <w:bottom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Net (loss)/income</w:t>
            </w:r>
          </w:p>
        </w:tc>
        <w:tc>
          <w:tcPr>
            <w:tcW w:w="300" w:type="dxa"/>
            <w:vAlign w:val="bottom"/>
            <w:tcBorders>
              <w:top w:val="single" w:sz="8" w:color="auto"/>
              <w:bottom w:val="single" w:sz="8" w:color="auto"/>
            </w:tcBorders>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Borders>
              <w:top w:val="single" w:sz="8" w:color="auto"/>
              <w:bottom w:val="single" w:sz="8" w:color="auto"/>
            </w:tcBorders>
            <w:shd w:val="clear" w:color="auto" w:fill="D2EDFE"/>
          </w:tcPr>
          <w:p>
            <w:pPr>
              <w:spacing w:after="0"/>
              <w:rPr>
                <w:sz w:val="21"/>
                <w:szCs w:val="21"/>
                <w:color w:val="auto"/>
              </w:rPr>
            </w:pP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300" w:type="dxa"/>
            <w:vAlign w:val="bottom"/>
            <w:tcBorders>
              <w:top w:val="single" w:sz="8" w:color="auto"/>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24,702</w:t>
            </w:r>
          </w:p>
        </w:tc>
        <w:tc>
          <w:tcPr>
            <w:tcW w:w="60" w:type="dxa"/>
            <w:vAlign w:val="bottom"/>
            <w:tcBorders>
              <w:top w:val="single" w:sz="8" w:color="auto"/>
              <w:bottom w:val="single" w:sz="8" w:color="auto"/>
            </w:tcBorders>
            <w:shd w:val="clear" w:color="auto" w:fill="D2EDFE"/>
          </w:tcPr>
          <w:p>
            <w:pPr>
              <w:spacing w:after="0"/>
              <w:rPr>
                <w:sz w:val="21"/>
                <w:szCs w:val="21"/>
                <w:color w:val="auto"/>
              </w:rPr>
            </w:pP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0"/>
        </w:trPr>
        <w:tc>
          <w:tcPr>
            <w:tcW w:w="4880" w:type="dxa"/>
            <w:vAlign w:val="bottom"/>
            <w:tcBorders>
              <w:top w:val="single" w:sz="8" w:color="D2EDFE"/>
            </w:tcBorders>
          </w:tcPr>
          <w:p>
            <w:pPr>
              <w:spacing w:after="0" w:line="20" w:lineRule="exact"/>
              <w:rPr>
                <w:sz w:val="1"/>
                <w:szCs w:val="1"/>
                <w:color w:val="auto"/>
              </w:rPr>
            </w:pPr>
          </w:p>
        </w:tc>
        <w:tc>
          <w:tcPr>
            <w:tcW w:w="300" w:type="dxa"/>
            <w:vAlign w:val="bottom"/>
            <w:tcBorders>
              <w:top w:val="single" w:sz="8" w:color="D2EDFE"/>
              <w:bottom w:val="single" w:sz="8" w:color="auto"/>
            </w:tcBorders>
          </w:tcPr>
          <w:p>
            <w:pPr>
              <w:spacing w:after="0" w:line="20" w:lineRule="exact"/>
              <w:rPr>
                <w:sz w:val="1"/>
                <w:szCs w:val="1"/>
                <w:color w:val="auto"/>
              </w:rPr>
            </w:pPr>
          </w:p>
        </w:tc>
        <w:tc>
          <w:tcPr>
            <w:tcW w:w="1120" w:type="dxa"/>
            <w:vAlign w:val="bottom"/>
            <w:tcBorders>
              <w:top w:val="single" w:sz="8" w:color="D2EDFE"/>
              <w:bottom w:val="single" w:sz="8" w:color="auto"/>
            </w:tcBorders>
          </w:tcPr>
          <w:p>
            <w:pPr>
              <w:spacing w:after="0" w:line="20" w:lineRule="exact"/>
              <w:rPr>
                <w:sz w:val="1"/>
                <w:szCs w:val="1"/>
                <w:color w:val="auto"/>
              </w:rPr>
            </w:pPr>
          </w:p>
        </w:tc>
        <w:tc>
          <w:tcPr>
            <w:tcW w:w="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60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300" w:type="dxa"/>
            <w:vAlign w:val="bottom"/>
            <w:tcBorders>
              <w:top w:val="single" w:sz="8" w:color="D2EDFE"/>
              <w:bottom w:val="single" w:sz="8" w:color="auto"/>
            </w:tcBorders>
          </w:tcPr>
          <w:p>
            <w:pPr>
              <w:spacing w:after="0" w:line="20" w:lineRule="exact"/>
              <w:rPr>
                <w:sz w:val="1"/>
                <w:szCs w:val="1"/>
                <w:color w:val="auto"/>
              </w:rPr>
            </w:pPr>
          </w:p>
        </w:tc>
        <w:tc>
          <w:tcPr>
            <w:tcW w:w="1100" w:type="dxa"/>
            <w:vAlign w:val="bottom"/>
            <w:tcBorders>
              <w:top w:val="single" w:sz="8" w:color="D2EDFE"/>
              <w:bottom w:val="single" w:sz="8" w:color="auto"/>
            </w:tcBorders>
          </w:tcPr>
          <w:p>
            <w:pPr>
              <w:spacing w:after="0" w:line="20" w:lineRule="exact"/>
              <w:rPr>
                <w:sz w:val="1"/>
                <w:szCs w:val="1"/>
                <w:color w:val="auto"/>
              </w:rPr>
            </w:pPr>
          </w:p>
        </w:tc>
        <w:tc>
          <w:tcPr>
            <w:tcW w:w="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60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Our financial results for the nine months ended September 30, 2022 compared to the nine months ended September 30, 2021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four de novo centers and expansions of existing centers which increased our procedure rooms by 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$32.3 million, or 33.8%, compared to the same period in 2021. The increase is the result of adding 4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expanded our footprint from 16 centers to 20 centers and our number of procedure rooms from 27 to 43 as of September 30, 2022. We have also experienced strong revenue per case growth over the prior year of 12.3%.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also increased due to our same-center case volume, which increased to 7,983 cases from 7,863 cases for the nine months ended September 30, 2022 compared to the same period in 2021. This increase at our existing centers relates to continued expansion of our social media and marketing capabilities to drive further brand awareness and increase consumer acceptance for our procedures.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Cost of Service—</w:t>
      </w:r>
      <w:r>
        <w:rPr>
          <w:rFonts w:ascii="Arial" w:cs="Arial" w:eastAsia="Arial" w:hAnsi="Arial"/>
          <w:sz w:val="16"/>
          <w:szCs w:val="16"/>
          <w:color w:val="auto"/>
        </w:rPr>
        <w:t>Our cost of service increased $15.6 million, or 49.5%, compared to the nine months ended September 30, 2021. This increase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opening four de novo centers since the 2021 period and an increase in our same center volumes and revenue. Cost of service was 36.7% and 32.9% as a percentage of revenue for the nine months ended September 30,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services was also impacted by clinical additions to our nursing teams. These investments will further enhance quality and safety for our patients and better prepare us for future growth in both existing centers and the new centers we are developing.</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Selling, general and administrative expenses increased $42.6 million, or 137.9%,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compared to the same period in 2021. This increase is primarily related to the addition of public company costs of approximately $6.0 million and an increase in equity-based compensation of $21.7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as a percent of revenue were 57.4% and 32.3% for the nine months ended September 30, 2022 and 2021,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spend for social, digital and traditional marketing and sales and marketing personnel. Total selling expenses were approximately $22.4 million and $13.5 million for the nine months ended September 30, 2022 and 2021, respectively. Our customer acquisition costs were approximately $2,300 and $1,650 per customer in the nine months ended September 30,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include employee-related expenses, including salaries and related costs (excluding physician and clinical cost included in cost of service), unit-based compensation, technology, operations, finance, legal, corporate office rent and human resources. General and administrative expense were approximately $51.2 million and $17.4 million for the nine months ended September 30, 2022 and 2021, respectively. As previously mentioned, equity-based compensation and public company costs were the two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debt modification—</w:t>
      </w:r>
      <w:r>
        <w:rPr>
          <w:rFonts w:ascii="Arial" w:cs="Arial" w:eastAsia="Arial" w:hAnsi="Arial"/>
          <w:sz w:val="18"/>
          <w:szCs w:val="18"/>
          <w:color w:val="auto"/>
        </w:rPr>
        <w:t>We recognized a $682,000 loss related to amending our existing credit agreement in May 2021, adding an incremental $52.0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senior secured term loans.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$5.8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$4.7 million for the same period in 2021. This increase is the result of having four additional de novo centers during the nine months ended September 30, 2022 as compared to the 2021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disposal of long-lived assets—</w:t>
      </w:r>
      <w:r>
        <w:rPr>
          <w:rFonts w:ascii="Arial" w:cs="Arial" w:eastAsia="Arial" w:hAnsi="Arial"/>
          <w:sz w:val="18"/>
          <w:szCs w:val="18"/>
          <w:color w:val="auto"/>
        </w:rPr>
        <w:t>We recognized a $0.2 million loss related to the disposal of previous leasehold improvements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relocation to expand certain centers.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Interest expense increased to $4.8 million from $3.3 million for the nine months ended September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the result of adding an incremental $52.0 million of senior secured term loans in May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As a result of the Reorganization, the Company became subject to taxation as a C corporation for periods after October 28,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is (120)% for the nine months ended 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adding new procedure rooms to our existing locations, and payments due under our existing credit facilities for at least the next 12 months.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we had $7.6 million in cash and cash equivalents and an available amount of $5.0 million under our revolving credit facility. We do not have any letters of credit outstanding as of September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2021</w:t>
            </w:r>
          </w:p>
        </w:tc>
      </w:tr>
      <w:tr>
        <w:trPr>
          <w:trHeight w:val="216"/>
        </w:trPr>
        <w:tc>
          <w:tcPr>
            <w:tcW w:w="816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80" w:type="dxa"/>
            <w:vAlign w:val="bottom"/>
            <w:shd w:val="clear" w:color="auto" w:fill="D2EDFE"/>
          </w:tcPr>
          <w:p>
            <w:pPr>
              <w:spacing w:after="0"/>
              <w:rPr>
                <w:sz w:val="18"/>
                <w:szCs w:val="18"/>
                <w:color w:val="auto"/>
              </w:rPr>
            </w:pPr>
          </w:p>
        </w:tc>
        <w:tc>
          <w:tcPr>
            <w:tcW w:w="900" w:type="dxa"/>
            <w:vAlign w:val="bottom"/>
            <w:shd w:val="clear" w:color="auto" w:fill="D2EDFE"/>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418"/>
              <w:spacing w:after="0"/>
              <w:rPr>
                <w:sz w:val="20"/>
                <w:szCs w:val="20"/>
                <w:color w:val="auto"/>
              </w:rPr>
            </w:pPr>
            <w:r>
              <w:rPr>
                <w:rFonts w:ascii="Arial" w:cs="Arial" w:eastAsia="Arial" w:hAnsi="Arial"/>
                <w:sz w:val="18"/>
                <w:szCs w:val="18"/>
                <w:color w:val="auto"/>
                <w:w w:val="90"/>
              </w:rPr>
              <w:t>17,807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32,339</w:t>
            </w:r>
          </w:p>
        </w:tc>
      </w:tr>
      <w:tr>
        <w:trPr>
          <w:trHeight w:val="230"/>
        </w:trPr>
        <w:tc>
          <w:tcPr>
            <w:tcW w:w="81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center"/>
              <w:ind w:left="378"/>
              <w:spacing w:after="0"/>
              <w:rPr>
                <w:sz w:val="20"/>
                <w:szCs w:val="20"/>
                <w:color w:val="auto"/>
              </w:rPr>
            </w:pPr>
            <w:r>
              <w:rPr>
                <w:rFonts w:ascii="Arial" w:cs="Arial" w:eastAsia="Arial" w:hAnsi="Arial"/>
                <w:sz w:val="18"/>
                <w:szCs w:val="18"/>
                <w:color w:val="auto"/>
                <w:w w:val="92"/>
              </w:rPr>
              <w:t>(10,726)</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(4,726)</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center"/>
              <w:ind w:left="378"/>
              <w:spacing w:after="0"/>
              <w:rPr>
                <w:sz w:val="20"/>
                <w:szCs w:val="20"/>
                <w:color w:val="auto"/>
              </w:rPr>
            </w:pPr>
            <w:r>
              <w:rPr>
                <w:rFonts w:ascii="Arial" w:cs="Arial" w:eastAsia="Arial" w:hAnsi="Arial"/>
                <w:sz w:val="18"/>
                <w:szCs w:val="18"/>
                <w:color w:val="auto"/>
                <w:w w:val="92"/>
              </w:rPr>
              <w:t>(24,828)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(17,254)</w:t>
            </w:r>
          </w:p>
        </w:tc>
      </w:tr>
      <w:tr>
        <w:trPr>
          <w:trHeight w:val="229"/>
        </w:trPr>
        <w:tc>
          <w:tcPr>
            <w:tcW w:w="81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Net (decrease)/increase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center"/>
              <w:ind w:left="378"/>
              <w:spacing w:after="0"/>
              <w:rPr>
                <w:sz w:val="20"/>
                <w:szCs w:val="20"/>
                <w:color w:val="auto"/>
              </w:rPr>
            </w:pPr>
            <w:r>
              <w:rPr>
                <w:rFonts w:ascii="Arial" w:cs="Arial" w:eastAsia="Arial" w:hAnsi="Arial"/>
                <w:sz w:val="18"/>
                <w:szCs w:val="18"/>
                <w:color w:val="auto"/>
                <w:w w:val="92"/>
              </w:rPr>
              <w:t>(17,747)</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10,359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source of our operating cash flow is the collection of patient payments received prior to performing surgical procedures. For the nine months ended September 30, 2022, our operating cash flow decreased by $14.5 million compared to the same period in 2021. This decrease is primarily driven by $6.0 million of public company costs in the nine months ended September 30, 2022 which did not exist in the prior year period. Further, we have increased spending on our clinical infrastructure and brand awareness to support future growth. At September 30, 2022, we had working capital of $(3.8) million compared to $13.0 million at December 31,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increasing risk of a recession as well as other macroeconomic and geopolitical headwinds, we may experience reduced cash flow from operations if we experience decreased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2022 and 2021 was $10.7 million and $4.7 million, respectively. The increase in investing activities during the nine months ended September 30, 2022 as compared to the nine months ended September 30, 2021 was attributable to capital expenditures for de novo center activities, construction related to adding procedure rooms to existing facilities, and investments in improving our medical equipment and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during the nine months ended September 30, 2022 was $24.8 million. During the nine months ended September 30, 2022, we made distributions to our former member of $1.2 million, paid cash dividends to shareholders of $22.8 million, and made scheduled principal payments on our debt of $0.6 million.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used in financing activities for the nine months ended September 30, 2021 was $17.3 million. For the nine months ended September 30, 2021, we made distributions to EBS Parent, LLC of $66.6 million, had borrowings under our credit agreement of $50.0 million and paid scheduled principal payments on our debt of $0.6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total indebtedness was $82.5 million and $82.6 million, which includes unamortized deferred financing costs and issuance discount of $1.2 million and $1.7 million, as of September 30,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2018, we entered into our credit agreement with First Eagle Alternative Capital (formerly known as THL Corporate Finance). Under the terms of the credit agreement, we obtained a $34.0 million term loan and a $5.0 million revolving credit facility. Principal payments on the term loan commenced in January 2019 and are paid quarterly in the amount of $100,000 through the maturity date on October 2, 2023 when all remaining unpaid principal shall be due. The term loan is presented as long-term debt, net of debt issuance costs.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2021, we amended the credit agreement by adding an incremental $52.0 million senior secured term loan to the existing term loan. The proceeds from this incremental loan plus excess cash on our balance sheet were used to pay a distribution to our member of approximately $59.7 million and the related fees for this transaction. Beginning on June 30, 2021, our quarterly principal payments increased from $100,000 to $212,500.</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credit agreement, we are obligated to make interest payments on the last day of each month. All outstanding loans bear interest based on either a base rate or LIBOR (in all cases, the LIBOR component has a floor of 1%) plus an applicable per annum margin of 4.5% (base rate) or 5.5% (LIBOR) if our total leverage ratio, as defined in the credit agreement,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September 30, 2022, the applicable per annum margins under the credit agreement were 4.0% (base rate) and 5.0% (LIBOR). Additionally, we are required to pay an unused credit facility fee equal to 0.5% per annum on the unused amount of the revolving line of credit.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total leverage ratio exceeds 4.25x for the preceding twelve-month period the principal payment on the term loan is $250,000 per quarter or, beginning on September 30, 2021, $531,250 per quarter. Also, additional principal prepayments could be required if excess cash flow exists, as defined in the credit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borrowings under the credit facility are collateralized by substantially all our assets. We are subject to certain restrictive financial covenants including quarterly total leverage ratio and fixed charge ratio requirements and a limit on capital expenditures. We are in compliance with all covenants and have no letters of credit outstanding as of September 30, 2022 and December 31, 2021.</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2021, we amended certain provisions in our credit agreement related to the IPO transaction. The amendment revises certain definitions and covenant requirements but does not change the timing or amount of principal payments or interest due under the agreement. Additionally, on August 11, 2022 the Company amended the Credit Agreement to provide for the payment of cash dividends, including certain securities that are not vested at the time such cash dividend is paid. In doing so, we incurred an amendment fee of $0.2 million. As of September 30, 2022, we were in compliance with all revised covenant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of September 30, 2022 and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significant accounting policies is disclosed in our Annual Report on Form 10-K dated March 11, 2022 filed with the Securities and Exchange Commission (“SEC”) pursuant to Section 13 or 15d of the Securities Exchange Act of 1934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since March 11,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Our Credit Agreement bears interest at a floating rate equal to either LIBOR plus 5.5% or a base rate plus 4.5% if the Company’s total leverage is equal to or greater than 2.5x and less than 4.25x as defined in our Credit Agreement. As of September 30, 2022, we had term loan borrowings of $83.6 million in principal amount under the Loan Agreement. Based on the amount outstanding, a 100 basis point increase or decrease in market interest rates over a twelve-month period would result in a change to interest expense of approximately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10-Q Report,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2021 dated March 11, 2022 and filed with the Securities and Exchange Commission ("SEC") pursuant to Section 13 or 15(d) of the Securities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Macroeconomic trends including inflation and rising interest rates may adversely affect our financial condition and results of operations.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Macroeconomic trends, including increases in inflation and rising interest rates, may adversely impact our business, financial condition and results of operations. Inflation in the United States has recently accelerated and is currently expected to continue at an elevated level in the near-term. Rising inflation could have an adverse impact on our operating expenses and our credit facilities. There is no guarantee we will be able to mitigate the impact of rising inflation. The Federal Reserve has recently started raising interest rates to combat inflation and restore price stability and it is expected that rates will continue to rise throughout the remainder of 2022. Increases in interest rates on any of our debt will result in higher debt service costs, which will adversely affect our cash flows. We cannot assure you that our access to capital and other sources of funding will not become constrained, which could adversely affect the availability and terms of future borrowings. Such future constraints could increase our borrowing costs, which would make it more difficult or expensive to obtain additional financing or refinance existing obligations and commitments, which could slow or deter future growth.</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by disruptions in the global economy resulting from the ongoing military conflict between Russia and Ukraine.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economy has been negatively impacted by increasing tension, uncertainty and tragedy resulting from ongoing military conflict between Russia and Ukraine. The adverse and uncertain economic conditions resulting therefrom have and may further negatively impact global demand, cause supply chain disruptions and increase costs for transportation, energy and other raw materials. Furthermore, governments in the United States, the European Union, the United Kingdom, Canada and others have imposed financial and economic sanctions on certain industry segments and various parties in Russia and Belarus. We are monitoring the conflict including the potential impact of financial and economic sanctions on the global economy. Increased trade barriers, sanctions and other restrictions on global or regional trade could adversely affect our business, financial condition and results of operations. The length and impact of the ongoing military conflict is highly unpredictable, and resulted in market disruptions, including significant volatility in commodity prices, credit and capital markets, an increase in cyber security incidents as well as supply chain disruptions. Further escalation of geopolitical tensions related to this military conflict and/or its expansion could result in increased volatility and disruption to the global economy and the markets in which we operate adversely impacting our business, financial condition or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28, 2021, our Registration Statement on Form S-1, as amended (File No. 333-260067) was declared effective in connection with our initial public offering, pursuant to which we sold an aggregate of 8,050,000 shares of our common stock, including the full exercise of the underwriters’ option to purchase additional shares, at a price to the public of $11.00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per share. Morgan Stanley &amp; Co. LLC, Piper Sandler &amp; Co. and SVB Leerink LLC acted as representatives of the underwriters.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public offering closed on November 2, 2021. The aggregate net proceeds received by the Company from the initial public offering were approximately $17.7 million, after deducting underwriting discounts and commissions of $6.2 million, but before deducting offering expenses payable by the Company, which were approximately $4.2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October 29,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Description of Exhibit</w:t>
      </w:r>
    </w:p>
    <w:p>
      <w:pPr>
        <w:spacing w:after="0" w:line="162" w:lineRule="exact"/>
        <w:rPr>
          <w:sz w:val="20"/>
          <w:szCs w:val="20"/>
          <w:color w:val="auto"/>
        </w:rPr>
      </w:pPr>
    </w:p>
    <w:p>
      <w:pPr>
        <w:jc w:val="both"/>
        <w:ind w:right="20"/>
        <w:spacing w:after="0" w:line="262" w:lineRule="auto"/>
        <w:rPr>
          <w:rFonts w:ascii="Arial" w:cs="Arial" w:eastAsia="Arial" w:hAnsi="Arial"/>
          <w:sz w:val="17"/>
          <w:szCs w:val="17"/>
          <w:u w:val="single" w:color="auto"/>
          <w:color w:val="auto"/>
        </w:rPr>
      </w:pPr>
      <w:hyperlink r:id="rId51">
        <w:r>
          <w:rPr>
            <w:rFonts w:ascii="Arial" w:cs="Arial" w:eastAsia="Arial" w:hAnsi="Arial"/>
            <w:sz w:val="17"/>
            <w:szCs w:val="17"/>
            <w:u w:val="single" w:color="auto"/>
            <w:color w:val="auto"/>
          </w:rPr>
          <w:t>Sixth Amendment to Credit Agreement by and among the Company, EBS Enterprises LLC, the Guarantors party thereto, the Lenders</w:t>
        </w:r>
      </w:hyperlink>
      <w:r>
        <w:rPr>
          <w:rFonts w:ascii="Arial" w:cs="Arial" w:eastAsia="Arial" w:hAnsi="Arial"/>
          <w:sz w:val="17"/>
          <w:szCs w:val="17"/>
          <w:u w:val="single" w:color="auto"/>
          <w:color w:val="auto"/>
        </w:rPr>
        <w:t xml:space="preserve"> </w:t>
      </w:r>
      <w:hyperlink r:id="rId51">
        <w:r>
          <w:rPr>
            <w:rFonts w:ascii="Arial" w:cs="Arial" w:eastAsia="Arial" w:hAnsi="Arial"/>
            <w:sz w:val="17"/>
            <w:szCs w:val="17"/>
            <w:u w:val="single" w:color="auto"/>
            <w:color w:val="auto"/>
          </w:rPr>
          <w:t>party thereto and First Eagle Alternative Capital Agents, Inc. (formerly known as THL Corporate Finance), as administrative agent and</w:t>
        </w:r>
      </w:hyperlink>
      <w:r>
        <w:rPr>
          <w:rFonts w:ascii="Arial" w:cs="Arial" w:eastAsia="Arial" w:hAnsi="Arial"/>
          <w:sz w:val="17"/>
          <w:szCs w:val="17"/>
          <w:u w:val="single" w:color="auto"/>
          <w:color w:val="auto"/>
        </w:rPr>
        <w:t xml:space="preserve"> </w:t>
      </w:r>
      <w:hyperlink r:id="rId51">
        <w:r>
          <w:rPr>
            <w:rFonts w:ascii="Arial" w:cs="Arial" w:eastAsia="Arial" w:hAnsi="Arial"/>
            <w:sz w:val="17"/>
            <w:szCs w:val="17"/>
            <w:u w:val="single" w:color="auto"/>
            <w:color w:val="auto"/>
          </w:rPr>
          <w:t>collateral agent for the Lenders (incorporated by reference to Exhibit 10.1 of the Company’s Current Report on Form 8-K (File No.</w:t>
        </w:r>
      </w:hyperlink>
      <w:r>
        <w:rPr>
          <w:rFonts w:ascii="Arial" w:cs="Arial" w:eastAsia="Arial" w:hAnsi="Arial"/>
          <w:sz w:val="17"/>
          <w:szCs w:val="17"/>
          <w:u w:val="single" w:color="auto"/>
          <w:color w:val="auto"/>
        </w:rPr>
        <w:t xml:space="preserve"> </w:t>
      </w:r>
      <w:hyperlink r:id="rId51">
        <w:r>
          <w:rPr>
            <w:rFonts w:ascii="Arial" w:cs="Arial" w:eastAsia="Arial" w:hAnsi="Arial"/>
            <w:sz w:val="17"/>
            <w:szCs w:val="17"/>
            <w:u w:val="single" w:color="auto"/>
            <w:color w:val="auto"/>
          </w:rPr>
          <w:t>001-40973), filed with the Securities and Exchange Commission on August 12, 2022).</w:t>
        </w:r>
      </w:hyperlink>
    </w:p>
    <w:p>
      <w:pPr>
        <w:spacing w:after="0" w:line="7" w:lineRule="exact"/>
        <w:rPr>
          <w:rFonts w:ascii="Arial" w:cs="Arial" w:eastAsia="Arial" w:hAnsi="Arial"/>
          <w:sz w:val="17"/>
          <w:szCs w:val="17"/>
          <w:u w:val="single" w:color="auto"/>
          <w:color w:val="auto"/>
        </w:rPr>
      </w:pPr>
    </w:p>
    <w:p>
      <w:pPr>
        <w:sectPr>
          <w:pgSz w:w="11900" w:h="16838" w:orient="portrait"/>
          <w:cols w:equalWidth="0" w:num="2">
            <w:col w:w="1240" w:space="180"/>
            <w:col w:w="9820"/>
          </w:cols>
          <w:pgMar w:left="320" w:top="517"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17"/>
                <w:szCs w:val="17"/>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w w:val="92"/>
              </w:rPr>
              <w:t>Certification of Principal Executive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w w:val="93"/>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4"/>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4"/>
              </w:rPr>
              <w:t>Oxley Act of 2002</w:t>
            </w:r>
          </w:p>
        </w:tc>
        <w:tc>
          <w:tcPr>
            <w:tcW w:w="844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XBRL tags are</w:t>
            </w:r>
          </w:p>
        </w:tc>
      </w:tr>
      <w:tr>
        <w:trPr>
          <w:trHeight w:val="230"/>
        </w:trPr>
        <w:tc>
          <w:tcPr>
            <w:tcW w:w="920" w:type="dxa"/>
            <w:vAlign w:val="bottom"/>
          </w:tcPr>
          <w:p>
            <w:pPr>
              <w:spacing w:after="0"/>
              <w:rPr>
                <w:sz w:val="20"/>
                <w:szCs w:val="20"/>
                <w:color w:val="auto"/>
              </w:rPr>
            </w:pP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101.SCH*</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8"/>
              </w:rPr>
              <w:t>101.CAL*</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101.DEF*</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9"/>
              </w:rPr>
              <w:t>101.LAB*</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3"/>
              </w:rPr>
              <w:t>101.PRE*</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7"/>
              </w:rPr>
              <w:t>104*</w:t>
            </w: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0" w:lineRule="exact"/>
        <w:rPr>
          <w:rFonts w:ascii="Arial" w:cs="Arial" w:eastAsia="Arial" w:hAnsi="Arial"/>
          <w:sz w:val="17"/>
          <w:szCs w:val="17"/>
          <w:u w:val="single" w:color="auto"/>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rFonts w:ascii="Arial" w:cs="Arial" w:eastAsia="Arial" w:hAnsi="Arial"/>
          <w:sz w:val="17"/>
          <w:szCs w:val="17"/>
          <w:u w:val="single" w:color="auto"/>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rFonts w:ascii="Arial" w:cs="Arial" w:eastAsia="Arial" w:hAnsi="Arial"/>
          <w:sz w:val="17"/>
          <w:szCs w:val="17"/>
          <w:u w:val="single" w:color="auto"/>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rFonts w:ascii="Arial" w:cs="Arial" w:eastAsia="Arial" w:hAnsi="Arial"/>
          <w:sz w:val="17"/>
          <w:szCs w:val="17"/>
          <w:u w:val="single" w:color="auto"/>
          <w:color w:val="auto"/>
        </w:rPr>
      </w:pPr>
    </w:p>
    <w:p>
      <w:pPr>
        <w:ind w:left="660" w:hanging="652"/>
        <w:spacing w:after="0" w:line="253"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rFonts w:ascii="Arial" w:cs="Arial" w:eastAsia="Arial" w:hAnsi="Arial"/>
          <w:sz w:val="17"/>
          <w:szCs w:val="17"/>
          <w:u w:val="single" w:color="auto"/>
          <w:color w:val="auto"/>
        </w:rPr>
      </w:pPr>
    </w:p>
    <w:p>
      <w:pPr>
        <w:spacing w:after="0" w:line="384" w:lineRule="exact"/>
        <w:rPr>
          <w:rFonts w:ascii="Arial" w:cs="Arial" w:eastAsia="Arial" w:hAnsi="Arial"/>
          <w:sz w:val="17"/>
          <w:szCs w:val="17"/>
          <w:u w:val="single" w:color="auto"/>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7"/>
          <w:szCs w:val="17"/>
          <w:u w:val="single" w:color="auto"/>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jc w:val="center"/>
              <w:ind w:right="330"/>
              <w:spacing w:after="0"/>
              <w:rPr>
                <w:sz w:val="20"/>
                <w:szCs w:val="20"/>
                <w:color w:val="auto"/>
              </w:rPr>
            </w:pPr>
            <w:r>
              <w:rPr>
                <w:rFonts w:ascii="Arial" w:cs="Arial" w:eastAsia="Arial" w:hAnsi="Arial"/>
                <w:sz w:val="18"/>
                <w:szCs w:val="18"/>
                <w:color w:val="auto"/>
                <w:w w:val="99"/>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Dean</w:t>
            </w:r>
          </w:p>
        </w:tc>
      </w:tr>
      <w:tr>
        <w:trPr>
          <w:trHeight w:val="222"/>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r>
        <w:trPr>
          <w:trHeight w:val="513"/>
        </w:trPr>
        <w:tc>
          <w:tcPr>
            <w:tcW w:w="2320" w:type="dxa"/>
            <w:vAlign w:val="bottom"/>
          </w:tcPr>
          <w:p>
            <w:pPr>
              <w:jc w:val="center"/>
              <w:ind w:right="350"/>
              <w:spacing w:after="0"/>
              <w:rPr>
                <w:sz w:val="20"/>
                <w:szCs w:val="20"/>
                <w:color w:val="auto"/>
              </w:rPr>
            </w:pPr>
            <w:r>
              <w:rPr>
                <w:rFonts w:ascii="Arial" w:cs="Arial" w:eastAsia="Arial" w:hAnsi="Arial"/>
                <w:sz w:val="18"/>
                <w:szCs w:val="18"/>
                <w:color w:val="auto"/>
                <w:w w:val="91"/>
              </w:rPr>
              <w:t>Date: November 14, 2022</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51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Dr. Aaron Rollins,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1"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Aaron Rollins</w:t>
            </w:r>
          </w:p>
        </w:tc>
      </w:tr>
      <w:tr>
        <w:trPr>
          <w:trHeight w:val="222"/>
        </w:trPr>
        <w:tc>
          <w:tcPr>
            <w:tcW w:w="8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Dr. Aaron Rollins</w:t>
            </w:r>
          </w:p>
        </w:tc>
      </w:tr>
      <w:tr>
        <w:trPr>
          <w:trHeight w:val="230"/>
        </w:trPr>
        <w:tc>
          <w:tcPr>
            <w:tcW w:w="8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ind w:left="360"/>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114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Dean, certify that: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58"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5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2451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Dennis Dean</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114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September 30, 2022,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27"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35915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Dr. Aaron Rollins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114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September 30, 2022,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27" w:lineRule="exact"/>
        <w:rPr>
          <w:sz w:val="20"/>
          <w:szCs w:val="20"/>
          <w:color w:val="auto"/>
        </w:rPr>
      </w:pPr>
    </w:p>
    <w:p>
      <w:pPr>
        <w:ind w:left="1040"/>
        <w:spacing w:after="0"/>
        <w:tabs>
          <w:tab w:leader="none" w:pos="1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14605</wp:posOffset>
            </wp:positionV>
            <wp:extent cx="3591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Dennis Dean</w:t>
      </w:r>
    </w:p>
    <w:p>
      <w:pPr>
        <w:spacing w:after="0" w:line="239"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14,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1" Type="http://schemas.openxmlformats.org/officeDocument/2006/relationships/hyperlink" Target="https://www.sec.gov/Archives/edgar/data/1870940/000187094022000043/airs-202206308xk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2022-11-14T08:43:03Z</dcterms:created>
  <dcterms:modified xsi:type="dcterms:W3CDTF">2022-11-14T08:43:03Z</dcterms:modified>
</cp:coreProperties>
</file>