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September 30, 2025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18"/>
          <w:shd w:fill="FFFFFF" w:val="clear"/>
        </w:rPr>
        <w:t>For the transition period from __________ to __________</w:t>
      </w:r>
      <w:r>
        <w:rPr>
          <w:rFonts w:ascii="Times New Roman;serif" w:hAnsi="Times New Roman;serif"/>
          <w:b/>
          <w:color w:val="000000"/>
          <w:sz w:val="18"/>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001-40973</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AirSculpt Technologies,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87-1471855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1" w:type="dxa"/>
        <w:jc w:val="left"/>
        <w:tblInd w:w="0" w:type="dxa"/>
        <w:tblLayout w:type="fixed"/>
        <w:tblCellMar>
          <w:top w:w="28" w:type="dxa"/>
          <w:left w:w="28" w:type="dxa"/>
          <w:bottom w:w="28" w:type="dxa"/>
          <w:right w:w="28" w:type="dxa"/>
        </w:tblCellMar>
      </w:tblPr>
      <w:tblGrid>
        <w:gridCol w:w="1057"/>
        <w:gridCol w:w="932"/>
        <w:gridCol w:w="936"/>
        <w:gridCol w:w="109"/>
        <w:gridCol w:w="109"/>
        <w:gridCol w:w="109"/>
        <w:gridCol w:w="272"/>
        <w:gridCol w:w="272"/>
        <w:gridCol w:w="385"/>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1111 Lincoln Road, Suite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Miami Beach, FL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33139</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w:t>
      </w:r>
      <w:r>
        <w:rPr>
          <w:color w:val="000000"/>
        </w:rPr>
        <w:t xml:space="preserve"> </w:t>
      </w:r>
      <w:r>
        <w:rPr>
          <w:rFonts w:ascii="Times New Roman;serif" w:hAnsi="Times New Roman;serif"/>
          <w:b/>
          <w:color w:val="000000"/>
          <w:sz w:val="18"/>
        </w:rPr>
        <w:t>(786) 709-9690</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registrant had 62,436,670 shares of common stock outstanding as of November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91"/>
        <w:gridCol w:w="431"/>
        <w:gridCol w:w="431"/>
        <w:gridCol w:w="2863"/>
        <w:gridCol w:w="2699"/>
        <w:gridCol w:w="2715"/>
        <w:gridCol w:w="167"/>
        <w:gridCol w:w="167"/>
        <w:gridCol w:w="241"/>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76" w:before="0" w:after="40"/>
              <w:jc w:val="left"/>
              <w:rPr/>
            </w:pPr>
            <w:hyperlink w:anchor="ib27f62f5b8bb442aa28202fbd229535f_70">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76">
              <w:r>
                <w:rPr>
                  <w:rStyle w:val="InternetLink"/>
                  <w:rFonts w:ascii="Times New Roman;serif" w:hAnsi="Times New Roman;serif"/>
                  <w:b w:val="false"/>
                  <w:color w:val="0000FF"/>
                  <w:sz w:val="20"/>
                  <w:u w:val="single"/>
                </w:rPr>
                <w:t>Item 1.</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76">
              <w:r>
                <w:rPr>
                  <w:rStyle w:val="InternetLink"/>
                  <w:rFonts w:ascii="Times New Roman;serif" w:hAnsi="Times New Roman;serif"/>
                  <w:b w:val="false"/>
                  <w:color w:val="0000FF"/>
                  <w:sz w:val="20"/>
                  <w:u w:val="single"/>
                </w:rPr>
                <w:t>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76">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827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85">
              <w:r>
                <w:rPr>
                  <w:rStyle w:val="InternetLink"/>
                  <w:rFonts w:ascii="Times New Roman;serif" w:hAnsi="Times New Roman;serif"/>
                  <w:b w:val="false"/>
                  <w:color w:val="000080"/>
                  <w:sz w:val="20"/>
                  <w:u w:val="single"/>
                </w:rPr>
                <w:t xml:space="preserve">Condensed Consolidated Balance Sheets as of </w:t>
              </w:r>
            </w:hyperlink>
            <w:hyperlink w:anchor="ib27f62f5b8bb442aa28202fbd229535f_85">
              <w:r>
                <w:rPr>
                  <w:rStyle w:val="InternetLink"/>
                  <w:rFonts w:ascii="Times New Roman;serif" w:hAnsi="Times New Roman;serif"/>
                  <w:b w:val="false"/>
                  <w:color w:val="000080"/>
                  <w:sz w:val="20"/>
                  <w:u w:val="single"/>
                </w:rPr>
                <w:t>September</w:t>
              </w:r>
            </w:hyperlink>
            <w:hyperlink w:anchor="ib27f62f5b8bb442aa28202fbd229535f_85">
              <w:r>
                <w:rPr>
                  <w:rStyle w:val="InternetLink"/>
                  <w:rFonts w:ascii="Times New Roman;serif" w:hAnsi="Times New Roman;serif"/>
                  <w:b w:val="false"/>
                  <w:color w:val="000080"/>
                  <w:sz w:val="20"/>
                  <w:u w:val="single"/>
                </w:rPr>
                <w:t xml:space="preserve"> 30, 2025 (Unaudited) and December 31, 2024</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85">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88">
              <w:r>
                <w:rPr>
                  <w:rStyle w:val="InternetLink"/>
                  <w:rFonts w:ascii="Times New Roman;serif" w:hAnsi="Times New Roman;serif"/>
                  <w:b w:val="false"/>
                  <w:color w:val="000080"/>
                  <w:sz w:val="20"/>
                  <w:u w:val="single"/>
                </w:rPr>
                <w:t xml:space="preserve">Condensed Consolidated Statements of Operations for the Three and </w:t>
              </w:r>
            </w:hyperlink>
            <w:hyperlink w:anchor="ib27f62f5b8bb442aa28202fbd229535f_88">
              <w:r>
                <w:rPr>
                  <w:rStyle w:val="InternetLink"/>
                  <w:rFonts w:ascii="Times New Roman;serif" w:hAnsi="Times New Roman;serif"/>
                  <w:b w:val="false"/>
                  <w:color w:val="000080"/>
                  <w:sz w:val="20"/>
                  <w:u w:val="single"/>
                </w:rPr>
                <w:t>Nine</w:t>
              </w:r>
            </w:hyperlink>
            <w:hyperlink w:anchor="ib27f62f5b8bb442aa28202fbd229535f_88">
              <w:r>
                <w:rPr>
                  <w:rStyle w:val="InternetLink"/>
                  <w:rFonts w:ascii="Times New Roman;serif" w:hAnsi="Times New Roman;serif"/>
                  <w:b w:val="false"/>
                  <w:color w:val="000080"/>
                  <w:sz w:val="20"/>
                  <w:u w:val="single"/>
                </w:rPr>
                <w:t xml:space="preserve"> Months Ended </w:t>
              </w:r>
            </w:hyperlink>
            <w:hyperlink w:anchor="ib27f62f5b8bb442aa28202fbd229535f_88">
              <w:r>
                <w:rPr>
                  <w:rStyle w:val="InternetLink"/>
                  <w:rFonts w:ascii="Times New Roman;serif" w:hAnsi="Times New Roman;serif"/>
                  <w:b w:val="false"/>
                  <w:color w:val="000080"/>
                  <w:sz w:val="20"/>
                  <w:u w:val="single"/>
                </w:rPr>
                <w:t>September</w:t>
              </w:r>
            </w:hyperlink>
            <w:hyperlink w:anchor="ib27f62f5b8bb442aa28202fbd229535f_88">
              <w:r>
                <w:rPr>
                  <w:rStyle w:val="InternetLink"/>
                  <w:rFonts w:ascii="Times New Roman;serif" w:hAnsi="Times New Roman;serif"/>
                  <w:b w:val="false"/>
                  <w:color w:val="000080"/>
                  <w:sz w:val="20"/>
                  <w:u w:val="single"/>
                </w:rPr>
                <w:t xml:space="preserve"> 30, 2025 and 2024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88">
              <w:r>
                <w:rPr>
                  <w:rStyle w:val="InternetLink"/>
                  <w:rFonts w:ascii="Times New Roman;serif" w:hAnsi="Times New Roman;serif"/>
                  <w:b w:val="false"/>
                  <w:strike w:val="false"/>
                  <w:dstrike w:val="false"/>
                  <w:color w:val="000000"/>
                  <w:sz w:val="20"/>
                  <w:u w:val="none"/>
                  <w:effect w:val="none"/>
                </w:rPr>
                <w:t>3</w:t>
              </w:r>
            </w:hyperlink>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91">
              <w:r>
                <w:rPr>
                  <w:rStyle w:val="InternetLink"/>
                  <w:rFonts w:ascii="Times New Roman;serif" w:hAnsi="Times New Roman;serif"/>
                  <w:b w:val="false"/>
                  <w:color w:val="0000FF"/>
                  <w:sz w:val="20"/>
                  <w:u w:val="single"/>
                </w:rPr>
                <w:t>Condensed Consolidated Statements of Other Comprehensive Loss for the Three and Nine Months Ended September 30, 2025 and 2024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91">
              <w:r>
                <w:rPr>
                  <w:rStyle w:val="InternetLink"/>
                  <w:rFonts w:ascii="Times New Roman;serif" w:hAnsi="Times New Roman;serif"/>
                  <w:b w:val="false"/>
                  <w:strike w:val="false"/>
                  <w:dstrike w:val="false"/>
                  <w:color w:val="000000"/>
                  <w:sz w:val="20"/>
                  <w:u w:val="none"/>
                  <w:effect w:val="none"/>
                </w:rPr>
                <w:t>4</w:t>
              </w:r>
            </w:hyperlink>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97">
              <w:r>
                <w:rPr>
                  <w:rStyle w:val="InternetLink"/>
                  <w:rFonts w:ascii="Times New Roman;serif" w:hAnsi="Times New Roman;serif"/>
                  <w:b w:val="false"/>
                  <w:color w:val="000080"/>
                  <w:sz w:val="20"/>
                  <w:u w:val="single"/>
                </w:rPr>
                <w:t xml:space="preserve">Condensed Consolidated Statements of Changes in Stockholders' Equity for the Three and </w:t>
              </w:r>
            </w:hyperlink>
            <w:hyperlink w:anchor="ib27f62f5b8bb442aa28202fbd229535f_97">
              <w:r>
                <w:rPr>
                  <w:rStyle w:val="InternetLink"/>
                  <w:rFonts w:ascii="Times New Roman;serif" w:hAnsi="Times New Roman;serif"/>
                  <w:b w:val="false"/>
                  <w:color w:val="000080"/>
                  <w:sz w:val="20"/>
                  <w:u w:val="single"/>
                </w:rPr>
                <w:t>Nine</w:t>
              </w:r>
            </w:hyperlink>
            <w:hyperlink w:anchor="ib27f62f5b8bb442aa28202fbd229535f_97">
              <w:r>
                <w:rPr>
                  <w:rStyle w:val="InternetLink"/>
                  <w:rFonts w:ascii="Times New Roman;serif" w:hAnsi="Times New Roman;serif"/>
                  <w:b w:val="false"/>
                  <w:color w:val="000080"/>
                  <w:sz w:val="20"/>
                  <w:u w:val="single"/>
                </w:rPr>
                <w:t xml:space="preserve"> Months Ended </w:t>
              </w:r>
            </w:hyperlink>
            <w:hyperlink w:anchor="ib27f62f5b8bb442aa28202fbd229535f_97">
              <w:r>
                <w:rPr>
                  <w:rStyle w:val="InternetLink"/>
                  <w:rFonts w:ascii="Times New Roman;serif" w:hAnsi="Times New Roman;serif"/>
                  <w:b w:val="false"/>
                  <w:color w:val="000080"/>
                  <w:sz w:val="20"/>
                  <w:u w:val="single"/>
                </w:rPr>
                <w:t>September</w:t>
              </w:r>
            </w:hyperlink>
            <w:hyperlink w:anchor="ib27f62f5b8bb442aa28202fbd229535f_97">
              <w:r>
                <w:rPr>
                  <w:rStyle w:val="InternetLink"/>
                  <w:rFonts w:ascii="Times New Roman;serif" w:hAnsi="Times New Roman;serif"/>
                  <w:b w:val="false"/>
                  <w:color w:val="000080"/>
                  <w:sz w:val="20"/>
                  <w:u w:val="single"/>
                </w:rPr>
                <w:t xml:space="preserve"> 30, 2025 and 2024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97">
              <w:r>
                <w:rPr>
                  <w:rStyle w:val="InternetLink"/>
                  <w:rFonts w:ascii="Times New Roman;serif" w:hAnsi="Times New Roman;serif"/>
                  <w:b w:val="false"/>
                  <w:strike w:val="false"/>
                  <w:dstrike w:val="false"/>
                  <w:color w:val="000000"/>
                  <w:sz w:val="20"/>
                  <w:u w:val="none"/>
                  <w:effect w:val="none"/>
                </w:rPr>
                <w:t>5</w:t>
              </w:r>
            </w:hyperlink>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7f62f5b8bb442aa28202fbd229535f_100">
              <w:r>
                <w:rPr>
                  <w:rStyle w:val="InternetLink"/>
                  <w:rFonts w:ascii="Times New Roman;serif" w:hAnsi="Times New Roman;serif"/>
                  <w:b w:val="false"/>
                  <w:color w:val="000080"/>
                  <w:sz w:val="20"/>
                  <w:u w:val="single"/>
                </w:rPr>
                <w:t xml:space="preserve">Condensed Consolidated Statements of Cash Flows for the </w:t>
              </w:r>
            </w:hyperlink>
            <w:hyperlink w:anchor="ib27f62f5b8bb442aa28202fbd229535f_100">
              <w:r>
                <w:rPr>
                  <w:rStyle w:val="InternetLink"/>
                  <w:rFonts w:ascii="Times New Roman;serif" w:hAnsi="Times New Roman;serif"/>
                  <w:b w:val="false"/>
                  <w:color w:val="000080"/>
                  <w:sz w:val="20"/>
                  <w:u w:val="single"/>
                </w:rPr>
                <w:t>Nine</w:t>
              </w:r>
            </w:hyperlink>
            <w:hyperlink w:anchor="ib27f62f5b8bb442aa28202fbd229535f_100">
              <w:r>
                <w:rPr>
                  <w:rStyle w:val="InternetLink"/>
                  <w:rFonts w:ascii="Times New Roman;serif" w:hAnsi="Times New Roman;serif"/>
                  <w:b w:val="false"/>
                  <w:color w:val="000080"/>
                  <w:sz w:val="20"/>
                  <w:u w:val="single"/>
                </w:rPr>
                <w:t xml:space="preserve"> Months Ended </w:t>
              </w:r>
            </w:hyperlink>
            <w:hyperlink w:anchor="ib27f62f5b8bb442aa28202fbd229535f_100">
              <w:r>
                <w:rPr>
                  <w:rStyle w:val="InternetLink"/>
                  <w:rFonts w:ascii="Times New Roman;serif" w:hAnsi="Times New Roman;serif"/>
                  <w:b w:val="false"/>
                  <w:color w:val="000080"/>
                  <w:sz w:val="20"/>
                  <w:u w:val="single"/>
                </w:rPr>
                <w:t>September</w:t>
              </w:r>
            </w:hyperlink>
            <w:hyperlink w:anchor="ib27f62f5b8bb442aa28202fbd229535f_100">
              <w:r>
                <w:rPr>
                  <w:rStyle w:val="InternetLink"/>
                  <w:rFonts w:ascii="Times New Roman;serif" w:hAnsi="Times New Roman;serif"/>
                  <w:b w:val="false"/>
                  <w:color w:val="000080"/>
                  <w:sz w:val="20"/>
                  <w:u w:val="single"/>
                </w:rPr>
                <w:t xml:space="preserve"> 30, 2025 and 2024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100">
              <w:r>
                <w:rPr>
                  <w:rStyle w:val="InternetLink"/>
                  <w:rFonts w:ascii="Times New Roman;serif" w:hAnsi="Times New Roman;serif"/>
                  <w:b w:val="false"/>
                  <w:strike w:val="false"/>
                  <w:dstrike w:val="false"/>
                  <w:color w:val="000000"/>
                  <w:sz w:val="20"/>
                  <w:u w:val="none"/>
                  <w:effect w:val="none"/>
                </w:rPr>
                <w:t>6</w:t>
              </w:r>
            </w:hyperlink>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103">
              <w:r>
                <w:rPr>
                  <w:rStyle w:val="InternetLink"/>
                  <w:rFonts w:ascii="Times New Roman;serif" w:hAnsi="Times New Roman;serif"/>
                  <w:b w:val="false"/>
                  <w:color w:val="0000FF"/>
                  <w:sz w:val="20"/>
                  <w:u w:val="single"/>
                </w:rPr>
                <w:t>Notes to Condensed Consolidated Financial Statements (Unaudited</w:t>
              </w:r>
            </w:hyperlink>
            <w:r>
              <w:rPr>
                <w:rFonts w:ascii="Times New Roman;serif" w:hAnsi="Times New Roman;serif"/>
                <w:b w:val="false"/>
                <w:color w:val="000000"/>
                <w:sz w:val="20"/>
              </w:rPr>
              <w:t>)</w:t>
            </w:r>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103">
              <w:r>
                <w:rPr>
                  <w:rStyle w:val="InternetLink"/>
                  <w:rFonts w:ascii="Times New Roman;serif" w:hAnsi="Times New Roman;serif"/>
                  <w:b w:val="false"/>
                  <w:strike w:val="false"/>
                  <w:dstrike w:val="false"/>
                  <w:color w:val="000000"/>
                  <w:sz w:val="20"/>
                  <w:u w:val="none"/>
                  <w:effect w:val="none"/>
                </w:rPr>
                <w:t>7</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220">
              <w:r>
                <w:rPr>
                  <w:rStyle w:val="InternetLink"/>
                  <w:rFonts w:ascii="Times New Roman;serif" w:hAnsi="Times New Roman;serif"/>
                  <w:b w:val="false"/>
                  <w:color w:val="0000FF"/>
                  <w:sz w:val="20"/>
                  <w:u w:val="single"/>
                </w:rPr>
                <w:t>Item 2.</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22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220">
              <w:r>
                <w:rPr>
                  <w:rStyle w:val="InternetLink"/>
                  <w:rFonts w:ascii="Times New Roman;serif" w:hAnsi="Times New Roman;serif"/>
                  <w:b w:val="false"/>
                  <w:strike w:val="false"/>
                  <w:dstrike w:val="false"/>
                  <w:color w:val="000000"/>
                  <w:sz w:val="20"/>
                  <w:u w:val="none"/>
                  <w:effect w:val="none"/>
                </w:rPr>
                <w:t>17</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64">
              <w:r>
                <w:rPr>
                  <w:rStyle w:val="InternetLink"/>
                  <w:rFonts w:ascii="Times New Roman;serif" w:hAnsi="Times New Roman;serif"/>
                  <w:b w:val="false"/>
                  <w:color w:val="0000FF"/>
                  <w:sz w:val="20"/>
                  <w:u w:val="single"/>
                </w:rPr>
                <w:t>Item 3.</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64">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64">
              <w:r>
                <w:rPr>
                  <w:rStyle w:val="InternetLink"/>
                  <w:rFonts w:ascii="Times New Roman;serif" w:hAnsi="Times New Roman;serif"/>
                  <w:b w:val="false"/>
                  <w:strike w:val="false"/>
                  <w:dstrike w:val="false"/>
                  <w:color w:val="000000"/>
                  <w:sz w:val="20"/>
                  <w:u w:val="none"/>
                  <w:effect w:val="none"/>
                </w:rPr>
                <w:t>29</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67">
              <w:r>
                <w:rPr>
                  <w:rStyle w:val="InternetLink"/>
                  <w:rFonts w:ascii="Times New Roman;serif" w:hAnsi="Times New Roman;serif"/>
                  <w:b w:val="false"/>
                  <w:color w:val="0000FF"/>
                  <w:sz w:val="20"/>
                  <w:u w:val="single"/>
                </w:rPr>
                <w:t>Item 4.</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67">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67">
              <w:r>
                <w:rPr>
                  <w:rStyle w:val="InternetLink"/>
                  <w:rFonts w:ascii="Times New Roman;serif" w:hAnsi="Times New Roman;serif"/>
                  <w:b w:val="false"/>
                  <w:strike w:val="false"/>
                  <w:dstrike w:val="false"/>
                  <w:color w:val="000000"/>
                  <w:sz w:val="20"/>
                  <w:u w:val="none"/>
                  <w:effect w:val="none"/>
                </w:rPr>
                <w:t>29</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73">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76">
              <w:r>
                <w:rPr>
                  <w:rStyle w:val="InternetLink"/>
                  <w:rFonts w:ascii="Times New Roman;serif" w:hAnsi="Times New Roman;serif"/>
                  <w:b w:val="false"/>
                  <w:color w:val="0000FF"/>
                  <w:sz w:val="20"/>
                  <w:u w:val="single"/>
                </w:rPr>
                <w:t>Item 1.</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76">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76">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79">
              <w:r>
                <w:rPr>
                  <w:rStyle w:val="InternetLink"/>
                  <w:rFonts w:ascii="Times New Roman;serif" w:hAnsi="Times New Roman;serif"/>
                  <w:b w:val="false"/>
                  <w:color w:val="0000FF"/>
                  <w:sz w:val="20"/>
                  <w:u w:val="single"/>
                </w:rPr>
                <w:t>Item 1A.</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79">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79">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2">
              <w:r>
                <w:rPr>
                  <w:rStyle w:val="InternetLink"/>
                  <w:rFonts w:ascii="Times New Roman;serif" w:hAnsi="Times New Roman;serif"/>
                  <w:b w:val="false"/>
                  <w:color w:val="0000FF"/>
                  <w:sz w:val="20"/>
                  <w:u w:val="single"/>
                </w:rPr>
                <w:t>Item 2.</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2">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82">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5">
              <w:r>
                <w:rPr>
                  <w:rStyle w:val="InternetLink"/>
                  <w:rFonts w:ascii="Times New Roman;serif" w:hAnsi="Times New Roman;serif"/>
                  <w:b w:val="false"/>
                  <w:color w:val="0000FF"/>
                  <w:sz w:val="20"/>
                  <w:u w:val="single"/>
                </w:rPr>
                <w:t>Item 3.</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5">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85">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8">
              <w:r>
                <w:rPr>
                  <w:rStyle w:val="InternetLink"/>
                  <w:rFonts w:ascii="Times New Roman;serif" w:hAnsi="Times New Roman;serif"/>
                  <w:b w:val="false"/>
                  <w:color w:val="0000FF"/>
                  <w:sz w:val="20"/>
                  <w:u w:val="single"/>
                </w:rPr>
                <w:t>Item 4.</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88">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88">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91">
              <w:r>
                <w:rPr>
                  <w:rStyle w:val="InternetLink"/>
                  <w:rFonts w:ascii="Times New Roman;serif" w:hAnsi="Times New Roman;serif"/>
                  <w:b w:val="false"/>
                  <w:color w:val="0000FF"/>
                  <w:sz w:val="20"/>
                  <w:u w:val="single"/>
                </w:rPr>
                <w:t>Item 5.</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91">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91">
              <w:r>
                <w:rPr>
                  <w:rStyle w:val="InternetLink"/>
                  <w:rFonts w:ascii="Times New Roman;serif" w:hAnsi="Times New Roman;serif"/>
                  <w:b w:val="false"/>
                  <w:strike w:val="false"/>
                  <w:dstrike w:val="false"/>
                  <w:color w:val="000000"/>
                  <w:sz w:val="20"/>
                  <w:u w:val="none"/>
                  <w:effect w:val="none"/>
                </w:rPr>
                <w:t>31</w:t>
              </w:r>
            </w:hyperlink>
          </w:p>
        </w:tc>
      </w:tr>
      <w:tr>
        <w:trPr/>
        <w:tc>
          <w:tcPr>
            <w:tcW w:w="135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94">
              <w:r>
                <w:rPr>
                  <w:rStyle w:val="InternetLink"/>
                  <w:rFonts w:ascii="Times New Roman;serif" w:hAnsi="Times New Roman;serif"/>
                  <w:b w:val="false"/>
                  <w:color w:val="0000FF"/>
                  <w:sz w:val="20"/>
                  <w:u w:val="single"/>
                </w:rPr>
                <w:t>Item 6.</w:t>
              </w:r>
            </w:hyperlink>
          </w:p>
        </w:tc>
        <w:tc>
          <w:tcPr>
            <w:tcW w:w="82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94">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94">
              <w:r>
                <w:rPr>
                  <w:rStyle w:val="InternetLink"/>
                  <w:rFonts w:ascii="Times New Roman;serif" w:hAnsi="Times New Roman;serif"/>
                  <w:b w:val="false"/>
                  <w:strike w:val="false"/>
                  <w:dstrike w:val="false"/>
                  <w:color w:val="000000"/>
                  <w:sz w:val="20"/>
                  <w:u w:val="none"/>
                  <w:effect w:val="none"/>
                </w:rPr>
                <w:t>32</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b27f62f5b8bb442aa28202fbd229535f_397">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27f62f5b8bb442aa28202fbd229535f_397">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made statements in the sections titled “Risk Factors,”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risk factors discussed in the section titled “Item 1A. Risk Factors” in our Annual Report on Form 10-K could cause our results to differ materially from those anticipated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306"/>
        <w:gridCol w:w="2327"/>
        <w:gridCol w:w="211"/>
        <w:gridCol w:w="826"/>
        <w:gridCol w:w="109"/>
        <w:gridCol w:w="109"/>
        <w:gridCol w:w="109"/>
        <w:gridCol w:w="109"/>
        <w:gridCol w:w="211"/>
        <w:gridCol w:w="82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($000s, except for shares)</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185,920 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209,996 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24,162 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funds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103,815 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130,706 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shares authorized - 450,000,000; shares issued and outstanding - 62,436,670 and 58,369,138,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209,996 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18"/>
        <w:gridCol w:w="1288"/>
        <w:gridCol w:w="1294"/>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09"/>
        <w:gridCol w:w="109"/>
        <w:gridCol w:w="155"/>
      </w:tblGrid>
      <w:tr>
        <w:trPr/>
        <w:tc>
          <w:tcPr>
            <w:tcW w:w="161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$000s, except for shares and per share figures)</w:t>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(exclusive of 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impairment of long-lived assets</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57,543,678 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57,543,678 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third quarter of fiscal year 2025, the Company recorded $1.0 million in rent expense due to the accelerated amortization of the right-of-use asset related to its London facility. See Note 1 to the condensed consolidated financial statements included in this Quarterly Report on Form 10-Q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third quarter of fiscal year 2025, the Company recorded a $4.6 million loss related impairing a portion of the Salesforce implementation project and a $2.3 million loss related to the planned closure of the London facility and impairment of its fixed assets. See Note 1 to the condensed consolidated financial statements included in this Quarterly Report on Form 10-Q for further discussion.</w:t>
            </w:r>
          </w:p>
        </w:tc>
      </w:tr>
    </w:tbl>
    <w:p>
      <w:pPr>
        <w:pStyle w:val="TextBody"/>
        <w:bidi w:val="0"/>
        <w:spacing w:lineRule="auto" w:line="288" w:before="240" w:after="283"/>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Other Comprehensive Loss (Unaudited)</w:t>
      </w:r>
    </w:p>
    <w:p>
      <w:pPr>
        <w:pStyle w:val="TextBody"/>
        <w:bidi w:val="0"/>
        <w:spacing w:before="0" w:after="0"/>
        <w:jc w:val="center"/>
        <w:rPr/>
      </w:pPr>
      <w:r>
        <w:rPr/>
      </w:r>
    </w:p>
    <w:p>
      <w:pPr>
        <w:pStyle w:val="TextBody"/>
        <w:bidi w:val="0"/>
        <w:spacing w:before="0" w:after="0"/>
        <w:jc w:val="center"/>
        <w:rPr/>
      </w:pPr>
      <w:r>
        <w:rPr/>
      </w:r>
    </w:p>
    <w:tbl>
      <w:tblPr>
        <w:tblW w:w="9593" w:type="dxa"/>
        <w:jc w:val="left"/>
        <w:tblInd w:w="0" w:type="dxa"/>
        <w:tblLayout w:type="fixed"/>
        <w:tblCellMar>
          <w:top w:w="28" w:type="dxa"/>
          <w:left w:w="28" w:type="dxa"/>
          <w:bottom w:w="28" w:type="dxa"/>
          <w:right w:w="28" w:type="dxa"/>
        </w:tblCellMar>
      </w:tblPr>
      <w:tblGrid>
        <w:gridCol w:w="1514"/>
        <w:gridCol w:w="1334"/>
        <w:gridCol w:w="1352"/>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(loss)/income: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tbl>
      <w:tblPr>
        <w:tblW w:w="10205" w:type="dxa"/>
        <w:jc w:val="center"/>
        <w:tblInd w:w="0" w:type="dxa"/>
        <w:tblLayout w:type="fixed"/>
        <w:tblCellMar>
          <w:top w:w="28" w:type="dxa"/>
          <w:left w:w="28" w:type="dxa"/>
          <w:bottom w:w="28" w:type="dxa"/>
          <w:right w:w="28" w:type="dxa"/>
        </w:tblCellMar>
      </w:tblPr>
      <w:tblGrid>
        <w:gridCol w:w="905"/>
        <w:gridCol w:w="398"/>
        <w:gridCol w:w="401"/>
        <w:gridCol w:w="109"/>
        <w:gridCol w:w="109"/>
        <w:gridCol w:w="109"/>
        <w:gridCol w:w="480"/>
        <w:gridCol w:w="481"/>
        <w:gridCol w:w="196"/>
        <w:gridCol w:w="109"/>
        <w:gridCol w:w="109"/>
        <w:gridCol w:w="109"/>
        <w:gridCol w:w="212"/>
        <w:gridCol w:w="359"/>
        <w:gridCol w:w="120"/>
        <w:gridCol w:w="109"/>
        <w:gridCol w:w="109"/>
        <w:gridCol w:w="109"/>
        <w:gridCol w:w="200"/>
        <w:gridCol w:w="753"/>
        <w:gridCol w:w="111"/>
        <w:gridCol w:w="109"/>
        <w:gridCol w:w="109"/>
        <w:gridCol w:w="109"/>
        <w:gridCol w:w="336"/>
        <w:gridCol w:w="979"/>
        <w:gridCol w:w="187"/>
        <w:gridCol w:w="109"/>
        <w:gridCol w:w="109"/>
        <w:gridCol w:w="109"/>
        <w:gridCol w:w="227"/>
        <w:gridCol w:w="769"/>
        <w:gridCol w:w="127"/>
        <w:gridCol w:w="109"/>
        <w:gridCol w:w="109"/>
        <w:gridCol w:w="109"/>
        <w:gridCol w:w="196"/>
        <w:gridCol w:w="646"/>
        <w:gridCol w:w="160"/>
      </w:tblGrid>
      <w:tr>
        <w:trPr/>
        <w:tc>
          <w:tcPr>
            <w:tcW w:w="9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($000s, except shares and per share figures)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57,355,676 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57,537,393 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57,574,244 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85,014 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57,809,121 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58,369,138 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58,661,268 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public offerings,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3,752,582 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62,436,670 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62,436,670 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124,782 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152" w:type="dxa"/>
        <w:jc w:val="left"/>
        <w:tblInd w:w="0" w:type="dxa"/>
        <w:tblLayout w:type="fixed"/>
        <w:tblCellMar>
          <w:top w:w="28" w:type="dxa"/>
          <w:left w:w="28" w:type="dxa"/>
          <w:bottom w:w="28" w:type="dxa"/>
          <w:right w:w="28" w:type="dxa"/>
        </w:tblCellMar>
      </w:tblPr>
      <w:tblGrid>
        <w:gridCol w:w="2320"/>
        <w:gridCol w:w="2041"/>
        <w:gridCol w:w="2074"/>
        <w:gridCol w:w="211"/>
        <w:gridCol w:w="796"/>
        <w:gridCol w:w="109"/>
        <w:gridCol w:w="109"/>
        <w:gridCol w:w="109"/>
        <w:gridCol w:w="109"/>
        <w:gridCol w:w="211"/>
        <w:gridCol w:w="691"/>
        <w:gridCol w:w="109"/>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amortization of debt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modification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ORGANIZATION AND SUMMARY OF KEY ACCOUNTING POLICIES</w:t>
      </w:r>
    </w:p>
    <w:p>
      <w:pPr>
        <w:pStyle w:val="TextBody"/>
        <w:bidi w:val="0"/>
        <w:spacing w:lineRule="auto" w:line="288" w:before="240" w:after="283"/>
        <w:jc w:val="both"/>
        <w:rPr/>
      </w:pPr>
      <w:r>
        <w:rPr>
          <w:rFonts w:ascii="Times New Roman;serif" w:hAnsi="Times New Roman;serif"/>
          <w:b w:val="false"/>
          <w:color w:val="000000"/>
          <w:sz w:val="20"/>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serif" w:hAnsi="Times New Roman;serif"/>
          <w:b w:val="false"/>
          <w:color w:val="000000"/>
          <w:sz w:val="15"/>
        </w:rPr>
        <w:t>©</w:t>
      </w:r>
      <w:r>
        <w:rPr>
          <w:rFonts w:ascii="Times New Roman;serif" w:hAnsi="Times New Roman;serif"/>
          <w:b w:val="false"/>
          <w:color w:val="000000"/>
          <w:sz w:val="20"/>
        </w:rPr>
        <w:t xml:space="preserv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and ™ symbols, but we will assert, to the fullest extent under applicable law, our rights to our copyrights, trade names and trademarks.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Interim Financial Statement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accompanying notes have been prepared in accordance with accounting principles generally accepted in the United States of America (“U.S. GAAP”).</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Estimates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Concentration of Credit Risk</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original maturities of three months or less when purchased to be cash equivalents. The Company’s revenues are concentrated in the specialty, minimally invasive liposuction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cash balances at financial institutions which may at times exceed the amount covered by the Federal Deposit Insurance Corporation. The Company has not experienced any losses in such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$0.1 million for the three months ended September 30, 2025 and 2024, respectively. Total amortization of deferred financing costs was approximately $0.4 million and $0.2 million for the nine months ended September 30, 2025 and 2024, respectively. Amortization of loan costs and discounts is included as a component of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impairment of long-lived assets in accordance with the provisions of the Financial Accounting Standards Board (“FASB”) Accounting Standards Codification (“ASC”) Topic 350, </w:t>
      </w:r>
      <w:r>
        <w:rPr>
          <w:rFonts w:ascii="Times New Roman;serif" w:hAnsi="Times New Roman;serif"/>
          <w:b w:val="false"/>
          <w:i/>
          <w:color w:val="000000"/>
          <w:sz w:val="20"/>
        </w:rPr>
        <w:t xml:space="preserve">Intangibles – Goodwill and Other </w:t>
      </w:r>
      <w:r>
        <w:rPr>
          <w:rFonts w:ascii="Times New Roman;serif" w:hAnsi="Times New Roman;serif"/>
          <w:b w:val="false"/>
          <w:color w:val="000000"/>
          <w:sz w:val="20"/>
        </w:rPr>
        <w:t xml:space="preserve">and Topic 360, </w:t>
      </w:r>
      <w:r>
        <w:rPr>
          <w:rFonts w:ascii="Times New Roman;serif" w:hAnsi="Times New Roman;serif"/>
          <w:b w:val="false"/>
          <w:i/>
          <w:color w:val="000000"/>
          <w:sz w:val="20"/>
        </w:rPr>
        <w:t>Impairment or Disposal of Long-Lived Assets</w:t>
      </w:r>
      <w:r>
        <w:rPr>
          <w:rFonts w:ascii="Times New Roman;serif" w:hAnsi="Times New Roman;serif"/>
          <w:b w:val="false"/>
          <w:color w:val="000000"/>
          <w:sz w:val="20"/>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and nine months ended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2025, we made the decision to close our facility in the United Kingdom because of its financial performance, which was deemed a triggering event for long-lived asset impairment testing. As a result of the planned closure, we recorded a loss of $2.3 million primarily related to impairment of the property, plant, and equipment at this location as of September 30, 2025. Additionally, we estimate that we will cease use of our leased facility on November 15, 2025 and have adjusted the remaining right-of-use asset resulting in accelerated amortization of approximately $1.0 million of incremental rent expense in the quarter ended September 30, 2025. We expect to finalize the liquidation process in the fourth quarter of fiscal year 2025.</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determined that a portion of our Salesforce software implementation project will not be completed. As a result, we recorded an impairment charge of $4.6 million as of September 30, 2025 to adjust the software project to its fair value. We continue to develop the remaining portion of our software project which focuses on our sales process and anticipate its completion in the first quarter of fiscal year 2026.</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240" w:after="283"/>
        <w:jc w:val="both"/>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Measurements and Disclosure</w:t>
      </w:r>
      <w:r>
        <w:rPr>
          <w:rFonts w:ascii="Times New Roman;serif" w:hAnsi="Times New Roman;serif"/>
          <w:b w:val="false"/>
          <w:color w:val="000000"/>
          <w:sz w:val="20"/>
        </w:rPr>
        <w:t>s, defines fair value, establishes a framework for measuring fair value in accordance with accounting principles generally accepted in the United States, and expands disclosure requirements about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Topic 820 defines three categories for the classification and measurement of assets and liabilities carried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observable inputs that are corroborated by market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reflecting the reporting entity’s own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of common stock is computed by dividing net loss for the three and nine months ended September 30, 2025 and 2024 by the weighted-average number of shares of common stock outstanding during the same period. Diluted earnings per share of common stock is computed by net loss for the three and nine months ended September 30, 2025 and 2024 by the weighted-average number of shares of common stock adjusted to give effect to potentially dilutive securities.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when the costs are incurred and are included as a component of selling, general and administrative costs. Advertising expenses were approximately $6.4 million and $6.9 million for the three months ended September 30, 2025 and 2024, respectively, and approximately $20.9 million and $26.3 million for the nine months ended September 30,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pPr>
      <w:r>
        <w:rPr>
          <w:rFonts w:ascii="Times New Roman;serif" w:hAnsi="Times New Roman;serif"/>
          <w:b w:val="false"/>
          <w:color w:val="000000"/>
          <w:sz w:val="20"/>
        </w:rPr>
        <w:t xml:space="preserve">The Company applies the provisions of ASC 740-10, </w:t>
      </w:r>
      <w:r>
        <w:rPr>
          <w:rFonts w:ascii="Times New Roman;serif" w:hAnsi="Times New Roman;serif"/>
          <w:b w:val="false"/>
          <w:i/>
          <w:color w:val="000000"/>
          <w:sz w:val="20"/>
        </w:rPr>
        <w:t>Accounting for Uncertain Tax Positions</w:t>
      </w:r>
      <w:r>
        <w:rPr>
          <w:color w:val="000000"/>
        </w:rPr>
        <w:t xml:space="preserve"> </w:t>
      </w:r>
      <w:r>
        <w:rPr>
          <w:rFonts w:ascii="Times New Roman;serif" w:hAnsi="Times New Roman;serif"/>
          <w:b w:val="false"/>
          <w:color w:val="000000"/>
          <w:sz w:val="20"/>
        </w:rPr>
        <w:t>(“ASC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September 30, 2025 or December 31, 2024. The Company is not subject to U.S. federal tax examination prior to 2021, when it was 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effective tax rate of approximately 14.7% and (13.8)% for the three months ended September 30, 2025 and 2024, respectively, and approximately 14.5% and (38.5)% for the nine months ended September 30, 2025 and 2024, respectively, inclusive of all applicable U.S. federal and state income taxes.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60" w:after="1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expects that the adoption of ASU 2023-09 will result in additional income tax disclosures in its notes to consolidated financial statements.</w:t>
      </w:r>
    </w:p>
    <w:p>
      <w:pPr>
        <w:pStyle w:val="TextBody"/>
        <w:bidi w:val="0"/>
        <w:spacing w:lineRule="auto" w:line="288" w:before="160" w:after="160"/>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public business entities to disclose disaggregated information on certain expenses in the notes to the financial statements. The ASU is effective for annual periods beginning after December 15, 2026 and interim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2027. The amendments in this ASU may be applied prospectively or retrospectively to all periods presented and early adoption is permitted. The Company is evaluating the impact of this ASU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GOODWILL AND INTANGIBLES,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review of goodwill impairment will be performed in October 2025. There were no triggering events during the three and nine months ended September 30, 2025 and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goodwill of $81.7 million at September 30, 2025 and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September 30, 2025 and December 31, 2024 (in 000’s):</w:t>
      </w:r>
    </w:p>
    <w:tbl>
      <w:tblPr>
        <w:tblW w:w="8543" w:type="dxa"/>
        <w:jc w:val="left"/>
        <w:tblInd w:w="0" w:type="dxa"/>
        <w:tblLayout w:type="fixed"/>
        <w:tblCellMar>
          <w:top w:w="28" w:type="dxa"/>
          <w:left w:w="28" w:type="dxa"/>
          <w:bottom w:w="28" w:type="dxa"/>
          <w:right w:w="28" w:type="dxa"/>
        </w:tblCellMar>
      </w:tblPr>
      <w:tblGrid>
        <w:gridCol w:w="1711"/>
        <w:gridCol w:w="1505"/>
        <w:gridCol w:w="1509"/>
        <w:gridCol w:w="231"/>
        <w:gridCol w:w="790"/>
        <w:gridCol w:w="119"/>
        <w:gridCol w:w="109"/>
        <w:gridCol w:w="109"/>
        <w:gridCol w:w="109"/>
        <w:gridCol w:w="222"/>
        <w:gridCol w:w="759"/>
        <w:gridCol w:w="114"/>
        <w:gridCol w:w="109"/>
        <w:gridCol w:w="109"/>
        <w:gridCol w:w="109"/>
        <w:gridCol w:w="272"/>
        <w:gridCol w:w="272"/>
        <w:gridCol w:w="385"/>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know-how</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technology and know-how</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(25,013)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tradenames and trademarks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3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38,027 </w:t>
            </w:r>
          </w:p>
        </w:tc>
        <w:tc>
          <w:tcPr>
            <w:tcW w:w="11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41,592 </w:t>
            </w:r>
          </w:p>
        </w:tc>
        <w:tc>
          <w:tcPr>
            <w:tcW w:w="11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will be $4.8 million per year for each of the next five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amortization expense on intangible assets was approximately $1.2 million for both of the three months ended September 30, 2025 and 2024 and $3.6 million for both of the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property and equipment consists of the following (in 000’s):</w:t>
      </w:r>
    </w:p>
    <w:tbl>
      <w:tblPr>
        <w:tblW w:w="5336" w:type="dxa"/>
        <w:jc w:val="left"/>
        <w:tblInd w:w="0" w:type="dxa"/>
        <w:tblLayout w:type="fixed"/>
        <w:tblCellMar>
          <w:top w:w="28" w:type="dxa"/>
          <w:left w:w="28" w:type="dxa"/>
          <w:bottom w:w="28" w:type="dxa"/>
          <w:right w:w="28" w:type="dxa"/>
        </w:tblCellMar>
      </w:tblPr>
      <w:tblGrid>
        <w:gridCol w:w="989"/>
        <w:gridCol w:w="867"/>
        <w:gridCol w:w="874"/>
        <w:gridCol w:w="231"/>
        <w:gridCol w:w="790"/>
        <w:gridCol w:w="119"/>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34,270 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(23,731)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(18,632)</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29,510 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37,471 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approximately $2.0 million and $1.8 million for the three months ended September 30, 2025 and 2024, respectively, and $6.1 million and $5.1 million for the nine months ended September 30, 2025 and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2025, we made the decision to close our facility in the United Kingdom because of its financial performance, which was deemed a triggering event for long-lived asset impairment testing. As a result of the planned closure, we recorded a loss of $2.3 million related to impairment of the property, plant, and equipment at this location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September 29, 2023, the Company voluntarily pre-paid $10.0 million of the principal balance of the term loans under the Credit Agreement using cash on hand.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amended the Credit Agreement (the "Third Amendment") to modify certain financial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$125 thousand arrangement fee to Silicon Valley Bank.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Under the terms of the Limited Guarantee, if our Sponsor was required to make any payment under the Limited Guarantee (other than as a result of a bankruptcy event), then our Sponsor would be deemed to have purchased shares of common stock of the Company having an aggregate value equal to the amount of such payment. The Company agreed to issue a subordinated note to our Sponsor if a payment occurred under the Limited Guarantee, to the extent such payment did not result from the issuance of shares of common stock by the Company to our Sponsor. On June 13, 2025, the Company made a $10.0 million principal payment on the term loan in accordance with the Third Amendment using proceeds from its underwritten public offering completed on June 11,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interest rate under the Credit Agreement was 8.82%.</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borrowings as of September 30, 2025 and December 31, 2024 were as follows (in 000’s):</w:t>
      </w:r>
    </w:p>
    <w:tbl>
      <w:tblPr>
        <w:tblW w:w="6535" w:type="dxa"/>
        <w:jc w:val="left"/>
        <w:tblInd w:w="0" w:type="dxa"/>
        <w:tblLayout w:type="fixed"/>
        <w:tblCellMar>
          <w:top w:w="28" w:type="dxa"/>
          <w:left w:w="28" w:type="dxa"/>
          <w:bottom w:w="28" w:type="dxa"/>
          <w:right w:w="28" w:type="dxa"/>
        </w:tblCellMar>
      </w:tblPr>
      <w:tblGrid>
        <w:gridCol w:w="1423"/>
        <w:gridCol w:w="1248"/>
        <w:gridCol w:w="1258"/>
        <w:gridCol w:w="231"/>
        <w:gridCol w:w="790"/>
        <w:gridCol w:w="119"/>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57,867 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discounts and issuance costs</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0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69,706 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51,908 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As of September 30, 2025 and December 31, 2024, the Company had $5.0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$0.0 million available on the revolving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scheduled future maturities of long-term debt as of September 30, 2025 is as follows (in 000’s):</w:t>
      </w:r>
    </w:p>
    <w:tbl>
      <w:tblPr>
        <w:tblW w:w="6170" w:type="dxa"/>
        <w:jc w:val="left"/>
        <w:tblInd w:w="0" w:type="dxa"/>
        <w:tblLayout w:type="fixed"/>
        <w:tblCellMar>
          <w:top w:w="28" w:type="dxa"/>
          <w:left w:w="28" w:type="dxa"/>
          <w:bottom w:w="28" w:type="dxa"/>
          <w:right w:w="28" w:type="dxa"/>
        </w:tblCellMar>
      </w:tblPr>
      <w:tblGrid>
        <w:gridCol w:w="1842"/>
        <w:gridCol w:w="1618"/>
        <w:gridCol w:w="1624"/>
        <w:gridCol w:w="211"/>
        <w:gridCol w:w="72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borrowings under the Credit Agreement are cross collateralized by substantially all assets of the Company and are subject to certain restrictive covenants including quarterly total leverage ratio and fixed charge ratio requirements discussed above. The Company is in compliance with all covenants and has no letter of credit outstanding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are primarily for real estate, including medical office suites and corporate offices. For the three months ended September 30, 2025 and 2024, the Company incurred rent expense of $2.8 million and $1.8 million, respectively, for its medical office suites. For the nine months ended September 30, 2025 and 2024, the Company incurred rent expense of $6.3 million and $5.0 million, respectively, related to its medical office suites. The Company’s rent expense related to its medical office suites is classified in cost of services within the Company’s condensed consolidated statements of operations. However, we estimate that we will cease use of our leased facility in London on November 15, 2025 and have adjusted the remaining right-of-use asset resulting in accelerated amortization of approximately $1.0 million of incremental rent expense in the quarter ended September 30, 2025, which is classified in selling, general and administrative expenses. The Company incurred rent expense of $63,853 and $91,000 for the three months ended September 30, 2025 and 2024, respectively, and $218,809 and $273,000 for the nine months ended September 30, 2025 and 2024, respectively, related to the corporate offices which is classified in selling, general and administrative expenses. The Company currently does not have any finance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for the nine months ended September 30, 2025 and 2024 (in 000’s):</w:t>
      </w:r>
    </w:p>
    <w:tbl>
      <w:tblPr>
        <w:tblW w:w="8732" w:type="dxa"/>
        <w:jc w:val="left"/>
        <w:tblInd w:w="0" w:type="dxa"/>
        <w:tblLayout w:type="fixed"/>
        <w:tblCellMar>
          <w:top w:w="28" w:type="dxa"/>
          <w:left w:w="28" w:type="dxa"/>
          <w:bottom w:w="28" w:type="dxa"/>
          <w:right w:w="28" w:type="dxa"/>
        </w:tblCellMar>
      </w:tblPr>
      <w:tblGrid>
        <w:gridCol w:w="2126"/>
        <w:gridCol w:w="1864"/>
        <w:gridCol w:w="1874"/>
        <w:gridCol w:w="257"/>
        <w:gridCol w:w="750"/>
        <w:gridCol w:w="132"/>
        <w:gridCol w:w="109"/>
        <w:gridCol w:w="109"/>
        <w:gridCol w:w="109"/>
        <w:gridCol w:w="257"/>
        <w:gridCol w:w="750"/>
        <w:gridCol w:w="132"/>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minimum rental payments under all non-cancellable operating lease agreements for the succeeding five years are as follows, excluding common area maintenance charges that may be required by the agreements (in 000’s):</w:t>
      </w:r>
    </w:p>
    <w:tbl>
      <w:tblPr>
        <w:tblW w:w="6170" w:type="dxa"/>
        <w:jc w:val="left"/>
        <w:tblInd w:w="0" w:type="dxa"/>
        <w:tblLayout w:type="fixed"/>
        <w:tblCellMar>
          <w:top w:w="28" w:type="dxa"/>
          <w:left w:w="28" w:type="dxa"/>
          <w:bottom w:w="28" w:type="dxa"/>
          <w:right w:w="28" w:type="dxa"/>
        </w:tblCellMar>
      </w:tblPr>
      <w:tblGrid>
        <w:gridCol w:w="1842"/>
        <w:gridCol w:w="1618"/>
        <w:gridCol w:w="1624"/>
        <w:gridCol w:w="211"/>
        <w:gridCol w:w="72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40,321 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STOCKHOLDERS' EQUITY AND 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granted 18,634 and 1,082,717 restricted stock units ("RSUs"), respectively, to executive officers and employees under the 2021 Equity Incentive Plan. During the three and nine months ended September 30, 2024, the Company granted 0 and 515,804 RSUs, respectively.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granted 0 and 899,919 performance-based stock units ("PSUs"), respectively, which have market-based vesting conditions. In the three and nine months ended September 30, 2024, the Company granted 0 and 407,688 PSUs, respectively,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on November 4, 2021 the Company previously granted PSUs with performance-based vesting conditions to certain employees. The performance-based conditions include PSUs that can vest upon achieving specified stock price performance targets, and the remaining PSUs can vest upon achieving a revenue performance target in any trailing twelve-month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equity-based compensation expense of $1.1 million and $3.4 million for the three months ended September 30, 2025 and 2024, respectively, and $3.7 million and $1.5 million for the nine months ended September 30, 2025 and 2024, respectively, in selling, general and administrative expenses on the condensed consolidated statements of operations. Forfeitures are recognized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paid dividends of approximately $0 for the three and nine months ended September 30, 2025, and $0 and $14 thousand for the three and nine months ended September 30, 2024,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2025 Underwritten Follow-On Equity Offering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largest stockholder of the Company, purchased an aggregate of 1,000,000 Shares in the Offering on the same terms and conditions as purchases by the public in the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Offering closed on June 11, 2025, and the Company received net proceeds of approximately $13.8 million from the sale of 3,634,000 Shares, which included the 474,000 Additional Shares, after deducting estimated offering expenses.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entered into a sales agreement (the “ATM Agreement”) with Leerink, as sales agent, in connection with an at-the-market offering program under which the Company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333-285825). The Company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the Company sold the following quantities of our common stock pursuant to the ATM Agreement for total net proceeds of approximately $0 and $264 thousand:</w:t>
      </w:r>
    </w:p>
    <w:p>
      <w:pPr>
        <w:pStyle w:val="TextBody"/>
        <w:bidi w:val="0"/>
        <w:spacing w:before="0" w:after="0"/>
        <w:jc w:val="both"/>
        <w:rPr/>
      </w:pPr>
      <w:r>
        <w:rPr/>
      </w:r>
    </w:p>
    <w:tbl>
      <w:tblPr>
        <w:tblW w:w="2127" w:type="dxa"/>
        <w:jc w:val="left"/>
        <w:tblInd w:w="0" w:type="dxa"/>
        <w:tblLayout w:type="fixed"/>
        <w:tblCellMar>
          <w:top w:w="28" w:type="dxa"/>
          <w:left w:w="28" w:type="dxa"/>
          <w:bottom w:w="28" w:type="dxa"/>
          <w:right w:w="28" w:type="dxa"/>
        </w:tblCellMar>
      </w:tblPr>
      <w:tblGrid>
        <w:gridCol w:w="351"/>
        <w:gridCol w:w="308"/>
        <w:gridCol w:w="315"/>
        <w:gridCol w:w="109"/>
        <w:gridCol w:w="109"/>
        <w:gridCol w:w="109"/>
        <w:gridCol w:w="241"/>
        <w:gridCol w:w="241"/>
        <w:gridCol w:w="344"/>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51,513</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118,582</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Q3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7 – EARNINGS PER SHARE</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of common stock is computed by dividing net loss by the weighted-average number of shares of common stock outstanding during the same period. Diluted earnings per share of common stock is computed by dividing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net loss by the weighted-average number of shares of common stock adjusted to give effect to potentially dilutive securities. Where the inclusion of potentially dilutive shares would be antidilutive, diluted loss per share equals basic loss per share.</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common stock is as follows (in 000’s except for shares and per share figures):</w:t>
      </w:r>
    </w:p>
    <w:tbl>
      <w:tblPr>
        <w:tblW w:w="10205" w:type="dxa"/>
        <w:jc w:val="left"/>
        <w:tblInd w:w="0" w:type="dxa"/>
        <w:tblLayout w:type="fixed"/>
        <w:tblCellMar>
          <w:top w:w="28" w:type="dxa"/>
          <w:left w:w="28" w:type="dxa"/>
          <w:bottom w:w="28" w:type="dxa"/>
          <w:right w:w="28" w:type="dxa"/>
        </w:tblCellMar>
      </w:tblPr>
      <w:tblGrid>
        <w:gridCol w:w="1834"/>
        <w:gridCol w:w="1612"/>
        <w:gridCol w:w="1625"/>
        <w:gridCol w:w="270"/>
        <w:gridCol w:w="811"/>
        <w:gridCol w:w="109"/>
        <w:gridCol w:w="270"/>
        <w:gridCol w:w="811"/>
        <w:gridCol w:w="109"/>
        <w:gridCol w:w="109"/>
        <w:gridCol w:w="109"/>
        <w:gridCol w:w="109"/>
        <w:gridCol w:w="240"/>
        <w:gridCol w:w="841"/>
        <w:gridCol w:w="109"/>
        <w:gridCol w:w="270"/>
        <w:gridCol w:w="811"/>
        <w:gridCol w:w="156"/>
      </w:tblGrid>
      <w:tr>
        <w:trPr/>
        <w:tc>
          <w:tcPr>
            <w:tcW w:w="183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71"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57,543,678 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57,543,678 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 outstanding - basic and diluted</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number of potentially dilutive shares were excluded from the calculation of diluted loss per share because the effect of including such potentially dilutive shares would have been antidilutive.</w:t>
      </w:r>
    </w:p>
    <w:tbl>
      <w:tblPr>
        <w:tblW w:w="9067" w:type="dxa"/>
        <w:jc w:val="left"/>
        <w:tblInd w:w="0" w:type="dxa"/>
        <w:tblLayout w:type="fixed"/>
        <w:tblCellMar>
          <w:top w:w="28" w:type="dxa"/>
          <w:left w:w="28" w:type="dxa"/>
          <w:bottom w:w="28" w:type="dxa"/>
          <w:right w:w="28" w:type="dxa"/>
        </w:tblCellMar>
      </w:tblPr>
      <w:tblGrid>
        <w:gridCol w:w="1275"/>
        <w:gridCol w:w="1121"/>
        <w:gridCol w:w="1128"/>
        <w:gridCol w:w="521"/>
        <w:gridCol w:w="455"/>
        <w:gridCol w:w="311"/>
        <w:gridCol w:w="516"/>
        <w:gridCol w:w="460"/>
        <w:gridCol w:w="318"/>
        <w:gridCol w:w="109"/>
        <w:gridCol w:w="109"/>
        <w:gridCol w:w="109"/>
        <w:gridCol w:w="537"/>
        <w:gridCol w:w="439"/>
        <w:gridCol w:w="279"/>
        <w:gridCol w:w="501"/>
        <w:gridCol w:w="475"/>
        <w:gridCol w:w="40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4"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1,304,512 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1,382,083 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1,304,512 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market-based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2,185,599 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2,185,599 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income tax (benefit)/expense for the three months ended September 30, 2025 and 2024 was $(1,645) thousand and $0.7 million, respectively, and the income tax (benefit)/expense for the nine months ended September 30, 2025 and 2024 was $(2.2) million and $0.9 million, respectively. The effective tax rate for the three months ended September 30, 2025 and 2024 was 14.7% and (13.8)%, respectively. The effective tax rate for the nine months ended September 30, 2025 and 2024 was 14.5% and (38.5)%, respectively. The main driver of the difference between the effective and statutory rate is non-deductible executive compensation under Section 162(m) of the Internal Revenue Code. There are no uncertain tax positions as of September 30, 2025 or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Congress passed budget reconciliation bill H.R. 1 referred to as the One Big Beautiful Bill Act (“OBBBA”). OBBBA contains several changes to corporate taxation including modifications to capitalization of research and development expenses, limitations on deductions for interest expense and accelerated fixed asset depreciation. Pursuant to ASC 740, changes in tax rates and tax law are required to be recognized in the period in which the legislation is enacted. The Company has completed its evaluation of the impact of this legislation and has determined that the OBBBA will not have a material impact on its 2025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Professional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certainty and an unfavorable resolution of one or more of them could have a material adverse effect on the Company’s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SEGMENT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as net loss excluding depreciation and amortization, net interest expense, income tax (benefit)/expense, restructuring and related severance costs, loss on impairment of long-lived assets, settlement costs for non-recurring litigation, and equity-based compensation. Segment information is presented below showing revenue, significant expenses and net loss (the closest GAAP measure to Adjusted EBITDA), in the same manner that the CODM reviews the operating results in assessing performance and allocating resources. </w:t>
      </w:r>
    </w:p>
    <w:tbl>
      <w:tblPr>
        <w:tblW w:w="10205" w:type="dxa"/>
        <w:jc w:val="left"/>
        <w:tblInd w:w="0" w:type="dxa"/>
        <w:tblLayout w:type="fixed"/>
        <w:tblCellMar>
          <w:top w:w="28" w:type="dxa"/>
          <w:left w:w="28" w:type="dxa"/>
          <w:bottom w:w="28" w:type="dxa"/>
          <w:right w:w="28" w:type="dxa"/>
        </w:tblCellMar>
      </w:tblPr>
      <w:tblGrid>
        <w:gridCol w:w="1650"/>
        <w:gridCol w:w="1360"/>
        <w:gridCol w:w="136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16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34,993 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Cost of service (exclusive of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48,015 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54,635 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Corporate selling, general, and administrative expense </w:t>
            </w:r>
            <w:r>
              <w:rPr>
                <w:rFonts w:ascii="Times New Roman;serif" w:hAnsi="Times New Roman;serif"/>
                <w:b w:val="false"/>
                <w:color w:val="000000"/>
                <w:sz w:val="13"/>
              </w:rPr>
              <w:t>(2)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Loss on impairment of long-lived assets</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44,743 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128,929 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138,857 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3103"/>
        <w:gridCol w:w="2794"/>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Cost of services includes the costs of physicians, nursing, supplies and rent directly related to the performance of procedures at the facility level.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third quarter of fiscal year 2025, the Company recorded $1.0 million in rent expense due to the accelerated amortization of the right-of-use asset related to its London facility. See Note 1 to the condensed consolidated financial statements included in this Quarterly Report on Form 10-Q for further discussion.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During the third quarter of fiscal year 2025, the Company recorded a $4.6 million loss related impairing a portion of the Salesforce implementation project and a $2.3 million loss related to the planned closure of the London facility and impairment of its fixed assets.See Note 1 to the condensed consolidated financial statements included in this Quarterly Report on Form 10-Q for further discussion.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ACCRUED AND OTHER CURRENT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accrued and other current liabilities consists of the following (in 000’s):</w:t>
      </w:r>
    </w:p>
    <w:tbl>
      <w:tblPr>
        <w:tblW w:w="5650" w:type="dxa"/>
        <w:jc w:val="left"/>
        <w:tblInd w:w="0" w:type="dxa"/>
        <w:tblLayout w:type="fixed"/>
        <w:tblCellMar>
          <w:top w:w="28" w:type="dxa"/>
          <w:left w:w="28" w:type="dxa"/>
          <w:bottom w:w="28" w:type="dxa"/>
          <w:right w:w="28" w:type="dxa"/>
        </w:tblCellMar>
      </w:tblPr>
      <w:tblGrid>
        <w:gridCol w:w="1102"/>
        <w:gridCol w:w="970"/>
        <w:gridCol w:w="972"/>
        <w:gridCol w:w="257"/>
        <w:gridCol w:w="750"/>
        <w:gridCol w:w="132"/>
        <w:gridCol w:w="109"/>
        <w:gridCol w:w="109"/>
        <w:gridCol w:w="109"/>
        <w:gridCol w:w="245"/>
        <w:gridCol w:w="716"/>
        <w:gridCol w:w="179"/>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costs</w:t>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financial statements and related notes and other financial information appearing in our Annual Report on Form 10-K dated March 14, 2025 filed with the Securities and Exchange Commission (“SEC”) pursuant to Section 13 or 15(d) of the Securities Exchange Act of 1934 (the “Exchange Act”). This discussion and analysis contains forward-looking statements that involve risks, uncertainties and assumptions. Our actual results could differ materially from those anticipated in the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section titled “Cautionary Note Regarding Forward-Looking Statements” in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Quarterly Report on Form 10-Q to the “Company,” “AirSculpt,” “we,” “us” and “our” refer to AirSculpt Technologies, Inc. and its consolidated subsidiaries and the professional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AirSculpt is an experienced national provider of body contouring procedures delivering a premium consumer experience. We provide custom body contouring using our proprietary AirSculpt® method that removes unwanted fat and tightens skin in a minimally invasive procedure, producing dramatic results. We deliver our AirSculpt® procedures through a nationwide footprint of 31 centers across 20 states and Canada as of November 7,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we performed 2,780 and 9,248 cases, respectively, compared to 3,277 and 10,972 for the three and nine months ended September 30, 2024, respectively. For the three and nine months ended September 30, 2025, we generated approximately $35.0 million and $118.4 million of revenue, respectively, compared to $42.5 million and $141.2 million for the three and nine months ended September 30, 2024, respectively. This represents approximately 18% decline in revenue for the three months ended September 30, 2025 over the same period in the prior year and approximately 16% decline in revenue for the nine months ended September 30, 2025 over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light of the decline in our revenue, we announced on March 14, 2025 an ongoing initiative to stabilize revenue growth through a number of strategic priorities, including:</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optimizing our marketing investment by spending on techniques that have proven successful for us in the past using a returns-based approach and testing new areas such as online video, and other social marketing channels under the direction of our Chief Digital Officer;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improving our go-to-market and sales strategies under our Chief Sales Officer who is dedicated to strengthening our consultative sales model with enhanced training, improving our sales processes, and providing a greater focus on increasing lead generation, consultations, and case conversion;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enhancing our customer experience to ensure we consistently provide premium results, with initiatives that were launched during the quarter ended September 30, 2025 and that the Company expects to roll out into fiscal year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launching expanded consumer financing offerings across all of our centers in the first half of fiscal year 2025; and    </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focusing on new product innovation and introducing new services to expand our customer reach, leverage existing infrastructure and surgical expertise, and generate incremental revenues, including by expanding our pilot program of our skin tightening procedure as a standalone offering.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implemented a cost reduction program that is estimated to eliminate approximately $3.0 million in annual overhead costs and contracted expenses, and have paused de novo center and new procedure room openings.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 2025, we made the decision to close our facility in the United Kingdom because of its financial performance. Additionally, we estimate that we will cease use of our leased facility on November 15, 2025 and have adjusted the remaining right-of-use asset resulting in accelerated amortization of approximately $1.0 million of incremental rent expense in the quarter ended September 30, 2025. We expect to finalize the liquidation process in the fourth quarter of fiscal year 2025, and we do not anticipate any material future cash expenditures as a result of the planned closure.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determined that it is no longer probable that a portion of our Salesforce software implementation project will be completed. As a result, we recorded an impairment charge of $4.6 million as of September 30, 2025 to adjust the software project to its fair value. We continue to develop the remaining portion of our software project and anticipate its completion in the first quarter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Operational and Business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condensed consolidated financial statements, we use the following key operational and business metrics to evaluate our business, measure our performance, develop financial forecasts and make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Cases Performed and Revenue per Case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Total Case and Revenue Metrics</w:t>
      </w:r>
    </w:p>
    <w:tbl>
      <w:tblPr>
        <w:tblW w:w="8396" w:type="dxa"/>
        <w:jc w:val="left"/>
        <w:tblInd w:w="0" w:type="dxa"/>
        <w:tblLayout w:type="fixed"/>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385"/>
        <w:gridCol w:w="269"/>
        <w:gridCol w:w="407"/>
        <w:gridCol w:w="122"/>
        <w:gridCol w:w="122"/>
        <w:gridCol w:w="122"/>
        <w:gridCol w:w="343"/>
        <w:gridCol w:w="353"/>
        <w:gridCol w:w="323"/>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w:t>
            </w:r>
          </w:p>
        </w:tc>
        <w:tc>
          <w:tcPr>
            <w:tcW w:w="36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w:t>
            </w:r>
          </w:p>
        </w:tc>
        <w:tc>
          <w:tcPr>
            <w:tcW w:w="36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Same-Center Case and Revenue Metrics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Same-Center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we define same-center case and revenue growth as the growth in each of our cases and revenue at facilities that were owned and operated during the three months ended September 30, 2025 and 2024, respectively. At facilities that were not owned or operated for the entirety of the prior year period, the current year period has been pro-rated to reflect only growth experienced during the portion of the three months ended September 30, 2025 in which such facilities were owned and operated during the three months ended September 30, 2024. We define same-center facilities and procedure rooms based on if a facility was owned or operated as of September 30, 2024. Beginning September 30, 2025, we have excluded the London facility from all periods presented due to the closure of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we define same-center case and revenue growth as the growth in each of our cases and revenue at facilities that were owned and operated during the nine months ended September 30, 2025 and 2024, respectively. At facilities that were not owned or operated for the entirety of the prior year period, the current year period has been pro-rated to reflect only growth experienced during the portion of the nine months ended September 30, 2025 in which such facilities were owned and operated during the nine months ended September 30, 2024. We define same-center facilities and procedure rooms based on if a facility was owned or operated as of September 30, 2024. Beginning September 30, 2025, we have excluded the London facility from all periods presented due to the closure of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03" w:type="dxa"/>
        <w:jc w:val="left"/>
        <w:tblInd w:w="0" w:type="dxa"/>
        <w:tblLayout w:type="fixed"/>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211"/>
        <w:gridCol w:w="721"/>
        <w:gridCol w:w="271"/>
        <w:gridCol w:w="109"/>
        <w:gridCol w:w="109"/>
        <w:gridCol w:w="109"/>
        <w:gridCol w:w="211"/>
        <w:gridCol w:w="72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12,796 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same-center case decline is primarily attributed to weaker than expected performance across the broader aesthetics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Measures—Adjusted EBITDA, Adjusted EBITDA Margin, Adjusted Net Income, and Adjusted Net Income per Share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excluding depreciation and amortization, net interest expense, income tax (benefit)/expense, restructuring and related severance costs, loss on impairment of long-lived assets, settlement costs for non-recurring litigation, and equity-based compensation.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net loss excluding restructuring and related severance costs, loss on impairment of long-lived assets, settlement costs for non-recurring litigation, equity-based compensation and the tax effect of these adjustments.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Income per Share to be important measures because they help illustrate underlying trends in our business and our historical operating performance on a more consistent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and Adjusted EBITDA Margin to net loss, the most directly comparable GAAP financial measure:</w:t>
      </w:r>
    </w:p>
    <w:tbl>
      <w:tblPr>
        <w:tblW w:w="9715" w:type="dxa"/>
        <w:jc w:val="left"/>
        <w:tblInd w:w="0" w:type="dxa"/>
        <w:tblLayout w:type="fixed"/>
        <w:tblCellMar>
          <w:top w:w="28" w:type="dxa"/>
          <w:left w:w="28" w:type="dxa"/>
          <w:bottom w:w="28" w:type="dxa"/>
          <w:right w:w="28" w:type="dxa"/>
        </w:tblCellMar>
      </w:tblPr>
      <w:tblGrid>
        <w:gridCol w:w="1271"/>
        <w:gridCol w:w="1115"/>
        <w:gridCol w:w="1123"/>
        <w:gridCol w:w="211"/>
        <w:gridCol w:w="691"/>
        <w:gridCol w:w="301"/>
        <w:gridCol w:w="109"/>
        <w:gridCol w:w="109"/>
        <w:gridCol w:w="109"/>
        <w:gridCol w:w="211"/>
        <w:gridCol w:w="691"/>
        <w:gridCol w:w="301"/>
        <w:gridCol w:w="109"/>
        <w:gridCol w:w="109"/>
        <w:gridCol w:w="109"/>
        <w:gridCol w:w="211"/>
        <w:gridCol w:w="796"/>
        <w:gridCol w:w="301"/>
        <w:gridCol w:w="109"/>
        <w:gridCol w:w="109"/>
        <w:gridCol w:w="109"/>
        <w:gridCol w:w="211"/>
        <w:gridCol w:w="736"/>
        <w:gridCol w:w="301"/>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(1)</w:t>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impairment of long-lived assets</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settlements</w:t>
            </w:r>
            <w:r>
              <w:rPr>
                <w:rFonts w:ascii="Times New Roman;serif" w:hAnsi="Times New Roman;serif"/>
                <w:b w:val="false"/>
                <w:color w:val="000000"/>
                <w:sz w:val="13"/>
              </w:rPr>
              <w:t>(3)</w:t>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18,871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90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1"/>
        <w:gridCol w:w="4078"/>
      </w:tblGrid>
      <w:tr>
        <w:trPr/>
        <w:tc>
          <w:tcPr>
            <w:tcW w:w="3266"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During the third quarter of fiscal year 2025, the Company recorded a $4.6 million loss related to impairing a portion of the Salesforce implementation project and a $2.3 million loss related to the planned closure of the London facility and impairment of its fixed assets.See Note 1 to the condensed consolidated financial statements included in this Quarterly Report on Form 10-Q for further discussion.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    This amount relates to settlement costs for non-recurring litigation of $0.9 million for the three and nine months ended September 30, 2024. See Note 9 to the condensed consolidated financial statements included in the Quarterly Report on Form 10-Q for the quarterly period ended September 30, 2024 for further discussion.</w:t>
            </w:r>
          </w:p>
        </w:tc>
      </w:tr>
    </w:tbl>
    <w:p>
      <w:pPr>
        <w:pStyle w:val="TextBody"/>
        <w:bidi w:val="0"/>
        <w:spacing w:before="2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(Loss)/Income and Adjusted Net (Loss)/Income per Share to net loss,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521"/>
        <w:gridCol w:w="1334"/>
        <w:gridCol w:w="1344"/>
        <w:gridCol w:w="270"/>
        <w:gridCol w:w="811"/>
        <w:gridCol w:w="109"/>
        <w:gridCol w:w="109"/>
        <w:gridCol w:w="109"/>
        <w:gridCol w:w="109"/>
        <w:gridCol w:w="270"/>
        <w:gridCol w:w="811"/>
        <w:gridCol w:w="109"/>
        <w:gridCol w:w="109"/>
        <w:gridCol w:w="109"/>
        <w:gridCol w:w="109"/>
        <w:gridCol w:w="240"/>
        <w:gridCol w:w="841"/>
        <w:gridCol w:w="109"/>
        <w:gridCol w:w="109"/>
        <w:gridCol w:w="109"/>
        <w:gridCol w:w="109"/>
        <w:gridCol w:w="270"/>
        <w:gridCol w:w="811"/>
        <w:gridCol w:w="109"/>
        <w:gridCol w:w="109"/>
        <w:gridCol w:w="156"/>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(1)</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impairment of long-lived assets</w:t>
            </w:r>
            <w:r>
              <w:rPr>
                <w:rFonts w:ascii="Times New Roman;serif" w:hAnsi="Times New Roman;serif"/>
                <w:b w:val="false"/>
                <w:color w:val="000000"/>
                <w:sz w:val="13"/>
              </w:rPr>
              <w:t>(2)</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settlements</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(loss)/income</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net (loss)/income per share of common stock </w:t>
            </w:r>
            <w:r>
              <w:rPr>
                <w:rFonts w:ascii="Times New Roman;serif" w:hAnsi="Times New Roman;serif"/>
                <w:b w:val="false"/>
                <w:color w:val="000000"/>
                <w:sz w:val="13"/>
              </w:rPr>
              <w:t>(4)</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57,543,678 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62,436,670 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57,650,923 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60,202,169 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58,289,022 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During the third quarter of fiscal year 2025, the Company recorded a $4.6 million loss related to impairing a portion of the Salesforce implementation project and a $2.3 million loss related to the planned closure of the London facility and impairment of its fixed assets.See Note 1 to the condensed consolidated financial statements included in this Quarterly Report on Form 10-Q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    This amount relates to settlement costs for non-recurring litigation of $0.9 million for the three and nine months ended September 30, 2024. See Note 9 to the condensed consolidated financial statements included in the Quarterly Report on Form 10-Q for the quarterly period ended September 30, 2024 for further discussion.</w:t>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(4)    Diluted Adjusted Net Income Per Share is computed by dividing adjusted net income by the weighted-average number of shares of common stock outstanding adjusted for the dilutive effect of all potential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160" w:after="283"/>
        <w:jc w:val="both"/>
        <w:rPr/>
      </w:pPr>
      <w:r>
        <w:rPr>
          <w:rFonts w:ascii="Times New Roman;serif" w:hAnsi="Times New Roman;serif"/>
          <w:b w:val="false"/>
          <w:color w:val="000000"/>
          <w:sz w:val="20"/>
        </w:rPr>
        <w:t>Our revenue is generated from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policy is to require full payment for services in advance of performing a procedure. Payments received for which services have yet to been performed for all reported periods are included in deferred revenue and patient deposits on our balance sheets.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Service (excluding depreciation and amortization)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service is comprised of all service and product costs related to the delivery of procedures, including but not limited to compensation to our physicians and clinical staff, medical supply costs, and facility-related rent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76" w:before="160" w:after="283"/>
        <w:jc w:val="both"/>
        <w:rPr/>
      </w:pPr>
      <w:r>
        <w:rPr>
          <w:rFonts w:ascii="Times New Roman;serif" w:hAnsi="Times New Roman;serif"/>
          <w:b w:val="false"/>
          <w:color w:val="000000"/>
          <w:sz w:val="20"/>
        </w:rPr>
        <w:t>Selling, general and administrative consists of marketing and advertising expenses we incur to market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to potential patients and general and administrative costs, including rent for our corporate offices.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Expenses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evaluate our selling expense as compared to growth in our sales volume and will invest accordingly to the extent we believe we can position ourselves for future growth without materially negatively impacting our Adjusted EBITDA Margins.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primarily of interest costs on our outstanding borrowings under our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Three Months Ended September 30, 2025 Compared to Three Months Ended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8494" w:type="dxa"/>
        <w:jc w:val="left"/>
        <w:tblInd w:w="0" w:type="dxa"/>
        <w:tblLayout w:type="fixed"/>
        <w:tblCellMar>
          <w:top w:w="28" w:type="dxa"/>
          <w:left w:w="28" w:type="dxa"/>
          <w:bottom w:w="28" w:type="dxa"/>
          <w:right w:w="28" w:type="dxa"/>
        </w:tblCellMar>
      </w:tblPr>
      <w:tblGrid>
        <w:gridCol w:w="1251"/>
        <w:gridCol w:w="1090"/>
        <w:gridCol w:w="1003"/>
        <w:gridCol w:w="211"/>
        <w:gridCol w:w="721"/>
        <w:gridCol w:w="109"/>
        <w:gridCol w:w="109"/>
        <w:gridCol w:w="109"/>
        <w:gridCol w:w="109"/>
        <w:gridCol w:w="308"/>
        <w:gridCol w:w="308"/>
        <w:gridCol w:w="401"/>
        <w:gridCol w:w="109"/>
        <w:gridCol w:w="109"/>
        <w:gridCol w:w="109"/>
        <w:gridCol w:w="211"/>
        <w:gridCol w:w="721"/>
        <w:gridCol w:w="109"/>
        <w:gridCol w:w="109"/>
        <w:gridCol w:w="109"/>
        <w:gridCol w:w="109"/>
        <w:gridCol w:w="308"/>
        <w:gridCol w:w="308"/>
        <w:gridCol w:w="454"/>
      </w:tblGrid>
      <w:tr>
        <w:trPr/>
        <w:tc>
          <w:tcPr>
            <w:tcW w:w="125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34,993 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44,743 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4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Our revenue decreased $7.6 million, or 17.8%, compared to the same period in 2024. The decrease is primarily attributed to weaker than expected performance across the broader aesthetics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4"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Our cost of services decreased $2.9 million, or 16.3%, compared to the same period in 2024. The percentage decrease in cost of service is driven by the decrease in cases compared to the same period in 2024. Cost of service was 42.5% and 41.8% as a percentage of revenue for the three months ended September 30, 2025 and 2024, respectively. This is primarily due to not being able to leverage certain fixed costs within cost of service like rent and certain nursing costs.</w:t>
      </w:r>
    </w:p>
    <w:p>
      <w:pPr>
        <w:pStyle w:val="TextBody"/>
        <w:bidi w:val="0"/>
        <w:spacing w:lineRule="auto" w:line="288" w:before="240" w:after="283"/>
        <w:jc w:val="both"/>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Selling, general and administrative expenses decreased $6.0 million, or 23.4%, for the three months ended September 30, 2025 compared to the same period in 2024. This decrease relates to a $0.5 million reduction in advertising costs, $2.3 million decrease in stock compensation expense, $1.4 million reduction in legal and professional service costs, $0.6 million reduction in travel, as well as a $0.8 million reduction in legal settlement costs, offset by a $1.1 million increase in rent expense related to the accelerated amortization of the London facility right-of-use assets. Selling, general and administrative expenses as a percent of revenue was at 55.8% and 59.9% for the three months ended September 30,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$8.8 million and $9.6 million for the three months ended September 30, 2025 and 2024, respectively. This decrease is primarily related to a decrease in advertising spend associated with brand awareness initiatives. Our customer acquisition costs were approximately $3,145 and $2,900 per customer in the three months ended September 30, 2025 and 2024, respectively. Selling expenses as a percentage of revenue may fluctuate from quarter to quarter based on the timing and scope of our initiatives and the related impact to our revenue. We have also paused de novo center and new procedure room openings, which is expected to have a favorable impact on selling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$10.8 million and $15.9 million for the three months ended September 30, 2025 and 2024, respectively. This decrease relates to a $2.3 million decrease in stock compensation expense and $1.4 million decrease in legal and professional service costs. We have also implemented a cost reduction program that was estimated to eliminate approximately $3.0 million in annual overhead costs and contracted expenses during fiscal year 2025.</w:t>
      </w:r>
    </w:p>
    <w:p>
      <w:pPr>
        <w:pStyle w:val="TextBody"/>
        <w:bidi w:val="0"/>
        <w:spacing w:lineRule="auto" w:line="288" w:before="240" w:after="283"/>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increased to approximately $3.2 million for the three months ended September 30, 2025 compared to $3.0 million for the same period in 2024. This increase is the result of having five additional de novo centers during the three months ended September 30, 2025 as compared to the 2024 period.</w:t>
      </w:r>
    </w:p>
    <w:p>
      <w:pPr>
        <w:pStyle w:val="TextBody"/>
        <w:bidi w:val="0"/>
        <w:spacing w:lineRule="auto" w:line="288" w:before="240" w:after="283"/>
        <w:jc w:val="both"/>
        <w:rPr/>
      </w:pPr>
      <w:r>
        <w:rPr>
          <w:rFonts w:ascii="Times New Roman;serif" w:hAnsi="Times New Roman;serif"/>
          <w:b w:val="false"/>
          <w:color w:val="000000"/>
          <w:sz w:val="20"/>
        </w:rPr>
        <w:t>Loss on impairment of long-lived assets</w:t>
      </w:r>
      <w:r>
        <w:rPr>
          <w:color w:val="000000"/>
        </w:rPr>
        <w:t xml:space="preserve">— </w:t>
      </w:r>
      <w:r>
        <w:rPr>
          <w:rFonts w:ascii="Times New Roman;serif" w:hAnsi="Times New Roman;serif"/>
          <w:b w:val="false"/>
          <w:color w:val="000000"/>
          <w:sz w:val="20"/>
        </w:rPr>
        <w:t>The $7.1 million loss on impairment of long-lived assets during the three months ended September 30, 2025 relates to the $4.6 million impairment of portions of the Company's Salesforce implementation project as well as the $2.3 million impairment of property, plant, and equipment related to the London facility as a result of its planned closure.</w:t>
      </w:r>
    </w:p>
    <w:p>
      <w:pPr>
        <w:pStyle w:val="TextBody"/>
        <w:bidi w:val="0"/>
        <w:spacing w:lineRule="auto" w:line="288" w:before="240" w:after="283"/>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 xml:space="preserve">Interest expense was $1.4 million and $1.6 million for the three months ended September 30, 2025 and 2024, respectively. </w:t>
      </w:r>
    </w:p>
    <w:p>
      <w:pPr>
        <w:pStyle w:val="TextBody"/>
        <w:bidi w:val="0"/>
        <w:spacing w:lineRule="auto" w:line="288" w:before="24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Our effective tax rate was 14.7% and (13.8)% for the three months ended September 30, 2025 and 2024, respectively. The main driver of the difference between the effective and statutory rate is non-deductible executive compensation under Section 162(m) of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5"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Nine Months Ended September 30, 2025 Compared to Nine Months Ended September 30,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9157" w:type="dxa"/>
        <w:jc w:val="left"/>
        <w:tblInd w:w="0" w:type="dxa"/>
        <w:tblLayout w:type="fixed"/>
        <w:tblCellMar>
          <w:top w:w="28" w:type="dxa"/>
          <w:left w:w="28" w:type="dxa"/>
          <w:bottom w:w="28" w:type="dxa"/>
          <w:right w:w="28" w:type="dxa"/>
        </w:tblCellMar>
      </w:tblPr>
      <w:tblGrid>
        <w:gridCol w:w="1251"/>
        <w:gridCol w:w="1090"/>
        <w:gridCol w:w="1003"/>
        <w:gridCol w:w="211"/>
        <w:gridCol w:w="826"/>
        <w:gridCol w:w="109"/>
        <w:gridCol w:w="109"/>
        <w:gridCol w:w="109"/>
        <w:gridCol w:w="109"/>
        <w:gridCol w:w="308"/>
        <w:gridCol w:w="308"/>
        <w:gridCol w:w="426"/>
        <w:gridCol w:w="109"/>
        <w:gridCol w:w="109"/>
        <w:gridCol w:w="109"/>
        <w:gridCol w:w="211"/>
        <w:gridCol w:w="826"/>
        <w:gridCol w:w="109"/>
        <w:gridCol w:w="109"/>
        <w:gridCol w:w="109"/>
        <w:gridCol w:w="109"/>
        <w:gridCol w:w="308"/>
        <w:gridCol w:w="308"/>
        <w:gridCol w:w="401"/>
        <w:gridCol w:w="109"/>
        <w:gridCol w:w="109"/>
        <w:gridCol w:w="109"/>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 xml:space="preserve">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128,929 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4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rPr>
        <w:t>Revenue—</w:t>
      </w:r>
      <w:r>
        <w:rPr>
          <w:rFonts w:ascii="Times New Roman;serif" w:hAnsi="Times New Roman;serif"/>
          <w:b w:val="false"/>
          <w:color w:val="000000"/>
          <w:sz w:val="20"/>
        </w:rPr>
        <w:t>Our revenue decreased $22.8 million, or 16.1%, compared to the same period in 2024. The decrease is primarily attributed to weaker than expected performance across the broader aesthetics and high-end retail industries.</w:t>
      </w:r>
    </w:p>
    <w:p>
      <w:pPr>
        <w:pStyle w:val="TextBody"/>
        <w:bidi w:val="0"/>
        <w:spacing w:lineRule="auto" w:line="288" w:before="240" w:after="283"/>
        <w:jc w:val="both"/>
        <w:rPr/>
      </w:pPr>
      <w:r>
        <w:rPr>
          <w:rFonts w:ascii="Times New Roman;serif" w:hAnsi="Times New Roman;serif"/>
          <w:b w:val="false"/>
          <w:i/>
          <w:color w:val="000000"/>
          <w:sz w:val="20"/>
        </w:rPr>
        <w:t>Cost of Service—</w:t>
      </w:r>
      <w:r>
        <w:rPr>
          <w:rFonts w:ascii="Times New Roman;serif" w:hAnsi="Times New Roman;serif"/>
          <w:b w:val="false"/>
          <w:color w:val="000000"/>
          <w:sz w:val="20"/>
        </w:rPr>
        <w:t xml:space="preserve">Our cost of service decreased $6.6 million, or 12.1%, compared to the nine months ended September 30, 2024. The percentage decrease in cost of service is driven by the decrease in cases compared to the same period in 2024. Cost of service was 40.6% and 38.7% as a percentage of revenue for the twelve months ended September 30, 2025 and 2024, respectively. The percentage increase is primarily due to the decline in revenue and not being able to leverage certain fixed costs within cost of service such as rent and certain nursing costs. </w:t>
      </w:r>
    </w:p>
    <w:p>
      <w:pPr>
        <w:pStyle w:val="TextBody"/>
        <w:bidi w:val="0"/>
        <w:spacing w:lineRule="auto" w:line="288" w:before="240" w:after="283"/>
        <w:jc w:val="both"/>
        <w:rPr/>
      </w:pP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Selling, general and administrative expenses decreased $11.6 million, or 15.3%, for the nine months ended September 30, 2025 compared to the same period in 2024. This decrease relates to a $5.4 million reduction in advertising costs, $3.7 million decrease in severance expense, $1.6 million reduction in legal and professional service costs, $1.0 million reduction in travel, as well as a $1.0 million reduction in legal settlement costs, offset by a $1.0 million increase in rent expense related to the accelerated amortization of the London facility right-of-use asset. Selling, general and administrative expenses as a percent of revenue were 54.0% and 53.5% for the nine months ended September 30,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$28.2 million and $34.0 million for the nine months ended September 30, 2025 and 2024, respectively. This decrease is primarily related to a decrease in advertising spend associated with brand awareness initiatives. Our customer acquisition costs were approximately $3,050 and $3,095 per customer in the nine months ended September 30, 2025 and 2024, respectively. Additionally, selling expenses as a percentage of revenue may fluctuate from quarter to quarter based on the timing and scope of our initiatives and the related impact to our revenue. We have also paused de novo center and new procedure room openings, which is expected to have a favorable impact on selling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$35.7 million and $41.5 million for the nine months ended September 30, 2025 and 2024, respectively. This decrease relates to reductions in severance, legal and professional service costs, legal settlement costs, and travel, offset by a $1.0 million increase in rent expense related to the accelerated amortization of the London facility right-of-use asset. Many of these improvements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6"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 of a cost reduction program that was estimated to eliminate approximately $3.0 million in annual overhead costs and contracted expenses during fiscal year 2025.</w:t>
      </w:r>
    </w:p>
    <w:p>
      <w:pPr>
        <w:pStyle w:val="TextBody"/>
        <w:bidi w:val="0"/>
        <w:spacing w:lineRule="auto" w:line="288" w:before="240" w:after="283"/>
        <w:jc w:val="both"/>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Depreciation and amortization increased to approximately $9.7 million for the nine months ended September 30, 2025 compared to $8.7 million for the same period in 2024. This increase is the result of having five additional de novo centers during the nine months ended September 30, 2025 as compared to the 2024 period.</w:t>
      </w:r>
    </w:p>
    <w:p>
      <w:pPr>
        <w:pStyle w:val="TextBody"/>
        <w:bidi w:val="0"/>
        <w:spacing w:lineRule="auto" w:line="288" w:before="240" w:after="283"/>
        <w:jc w:val="both"/>
        <w:rPr/>
      </w:pPr>
      <w:r>
        <w:rPr>
          <w:rFonts w:ascii="Times New Roman;serif" w:hAnsi="Times New Roman;serif"/>
          <w:b w:val="false"/>
          <w:i/>
          <w:color w:val="000000"/>
          <w:sz w:val="20"/>
        </w:rPr>
        <w:t>Loss on impairment of long-lived assets—</w:t>
      </w:r>
      <w:r>
        <w:rPr>
          <w:color w:val="000000"/>
        </w:rPr>
        <w:t xml:space="preserve"> </w:t>
      </w:r>
      <w:r>
        <w:rPr>
          <w:rFonts w:ascii="Times New Roman;serif" w:hAnsi="Times New Roman;serif"/>
          <w:b w:val="false"/>
          <w:color w:val="000000"/>
          <w:sz w:val="20"/>
        </w:rPr>
        <w:t>The $7.2 million loss on impairment of long-lived assets during the nine months ended September 30, 2025 primarily relates to the $4.6 million impairment of portions of the Company's Salesforce implementation project as well as the $2.3 million write-off of property, plant, and equipment related to the London facility as a result of its planned closure.</w:t>
      </w:r>
    </w:p>
    <w:p>
      <w:pPr>
        <w:pStyle w:val="TextBody"/>
        <w:bidi w:val="0"/>
        <w:spacing w:lineRule="auto" w:line="288" w:before="240" w:after="283"/>
        <w:jc w:val="both"/>
        <w:rPr/>
      </w:pPr>
      <w:r>
        <w:rPr>
          <w:rFonts w:ascii="Times New Roman;serif" w:hAnsi="Times New Roman;serif"/>
          <w:b w:val="false"/>
          <w:i/>
          <w:color w:val="000000"/>
          <w:sz w:val="20"/>
        </w:rPr>
        <w:t>Interest Expense, net—</w:t>
      </w:r>
      <w:r>
        <w:rPr>
          <w:rFonts w:ascii="Times New Roman;serif" w:hAnsi="Times New Roman;serif"/>
          <w:b w:val="false"/>
          <w:color w:val="000000"/>
          <w:sz w:val="20"/>
        </w:rPr>
        <w:t xml:space="preserve">Interest expense increased to $4.6 million from $4.6 million for the nine months ended September 30, 2025 and 2024, respectively. </w:t>
      </w:r>
    </w:p>
    <w:p>
      <w:pPr>
        <w:pStyle w:val="TextBody"/>
        <w:bidi w:val="0"/>
        <w:spacing w:lineRule="auto" w:line="288" w:before="240" w:after="283"/>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 xml:space="preserve">Our effective tax rate was 14.5% and (38.5)% for the nine months ended September 30, 2025 and 2024, respectively. The main driver of the difference between the effective and statutory rate is non-deductible executive compensation under Section 162(m) of the Internal Revenue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principally rely on cash flows from operations as our primary source of liquidity and, if needed, up to $5.0 million in revolving loans under our revolving credit facility, subject to minimum liquidity draw requirements. In March 2025, we filed a Registration Statement on Form S-3 (File No. 333-285825) which covers the offering,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cash needs are for payroll, marketing and advertisements, rent, debt service, as well as information technology and infrastructure, including our corporate office. Our cash flows are closely tied to the receipt of patient payments, and we have experienced revenue declines in the most recent year due to a decline in overall cases performed. In response, we have implemented initiatives to improve revenue growth, engaged in a cost reduction program that was estimated to eliminate approximately $3.0 million in annual overhead costs and contracted expenses during fiscal year 2025, and paused de novo center and new procedure room openings. These initiatives may not realize anticipated benefits or savings from one or more of the various strategies and cost-savings initiatives undertaken as part of these efforts in full or in part or within the time periods expected. We also may not realize the increase in sales related to these initiatives. Our ability to improve operating results depends upon a significant number of factors, some of which are beyond our control. If we are unable to realize the anticipated savings or benefits, or otherwise fail to implement the growth strategies, the business operating results and liquidity may be adversely affected.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cash expected to be generated from operations will be sufficient for our working capital requirements, liquidity obligations, and payments due under our existing credit facilities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$5.4 million in cash and cash equivalents and an available amount of $5.0 million under our revolving credit facility. We did not have any letters of credit outstanding as of September 30,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2024, we had $6.0 million in cash and cash equivalents and an available amount of $5.0 million under our revolving credit facility. We did not have any letters of credit outstanding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7"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cash provided by (used for) operating activities, investing activities and financing activities for the periods indicated:</w:t>
      </w:r>
    </w:p>
    <w:tbl>
      <w:tblPr>
        <w:tblW w:w="5956" w:type="dxa"/>
        <w:jc w:val="left"/>
        <w:tblInd w:w="0" w:type="dxa"/>
        <w:tblLayout w:type="fixed"/>
        <w:tblCellMar>
          <w:top w:w="28" w:type="dxa"/>
          <w:left w:w="28" w:type="dxa"/>
          <w:bottom w:w="28" w:type="dxa"/>
          <w:right w:w="28" w:type="dxa"/>
        </w:tblCellMar>
      </w:tblPr>
      <w:tblGrid>
        <w:gridCol w:w="1260"/>
        <w:gridCol w:w="1105"/>
        <w:gridCol w:w="1129"/>
        <w:gridCol w:w="211"/>
        <w:gridCol w:w="616"/>
        <w:gridCol w:w="109"/>
        <w:gridCol w:w="109"/>
        <w:gridCol w:w="109"/>
        <w:gridCol w:w="109"/>
        <w:gridCol w:w="211"/>
        <w:gridCol w:w="616"/>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w:t>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source of our operating cash flow is the collection of patient payments received prior to performing surgical procedures. For the nine months ended September 30, 2025, our operating cash flow decreased by $3.0 million compared to the same period in 2024. The decrease is primarily attributed to weaker than expected revenue performance during the nine months ended September 30, 2025 as compared to the prior year period. At September 30, 2025, we had a working capital deficit of $(11.9) million compared to $(11.5) million at December 31, 2024.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nine months ended September 30, 2025 and 2024 was $2.3 million and $10.5 million, respectively. Investing activities in the nine months ended September 30, 2025 relate primarily to final payments on our White Plains, NY location that opened in December 2024 and maintenance capital expenditure. Investing activities during the nine months ended September 30, 2024 were attributable to the preparation for the opening of our 2024 de novo locations.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the nine months ended September 30, 2025 was $6.1 million. During the nine months ended September 30, 2025, we received net proceeds of $14.0 million from an underwritten public offering, made principal payments on our debt of $12.9 million, payments for debt modification of $0.3 million and made payments of taxes withheld through vested equity-based compensation of $0.1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nine months ended September 30, 2024 was $2.4 million. For the nine months ended September 30, 2024, we made principal payments on our debt of $1.6 million and made payments of taxes withheld through vested equity-based compensation of $0.5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we entered into a sales agreement (the “ATM Agreement”) with Leerink, as sales agent, in connection with an at-the-market offering program under which we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We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we sold the following quantities of our common stock pursuant to the ATM Agreement for total net proceeds of approximately $0 and $264 thousand: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8"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351"/>
        <w:gridCol w:w="308"/>
        <w:gridCol w:w="315"/>
        <w:gridCol w:w="109"/>
        <w:gridCol w:w="109"/>
        <w:gridCol w:w="109"/>
        <w:gridCol w:w="241"/>
        <w:gridCol w:w="241"/>
        <w:gridCol w:w="344"/>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51,513</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118,582</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Q3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2025 Underwritten Follow-On Equity Offering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June 9, 2025, the Company entered into an underwriting agreement (the “Underwriting Agreement”) with Leerink Partners LLC (“Leerink Partners”), to issue and sell 3,160,000 shares (the “Firm Shares”) of the Company’s common stock to Leerink Partners, in an underwritten registered public offering (the “Offering”), at a price of $3.80 per share. Pursuant to the Underwriting Agreement, the Company also granted Leerink Partners a 30-day option to purchase up to an additional 474,000 shares of the Company's common stock (the “Additional Shares,” and together with the Firm Shares, the “Shares”), at the same price per share as the Firm Shares. Leerink Partners exercised in full its option to purchase the Additional Shares on June 10, 2025. Vesey Street Capital Partners, L.L.C., which is affiliated with two directors and is the largest stockholder of the Company, purchased an aggregate of 1,000,000 Shares in the Offering on the same terms and conditions as purchases by the public in the Offering.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closed on June 11, 2025, and the Company received net proceeds of approximately $13.8 million from the sale of 3,634,000 Shares, which included the 474,000 Additional Shares, after deducting estimated offering expenses. The Company used the net proceeds from the Offering for the prepayment of a portion of the Company’s outstanding indebtedness under its existing credit agreement and the remainder of the net proceeds from the Offering for general corporate purposes, including working capital and other business opportunities.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Offering was pursuant to a prospectus supplement dated June 9, 2025, filed with the SEC in connection with the Company’s shelf registration statement on Form S-3 (File 333-285825), filed with the SEC on March 14, 2025 and declared effective on March 24, 2025 and the related prospectus dated March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our total indebtedness was $56.9 million and $74.7 million, which includes unamortized deferred financing costs and issuance discount of $1.0 million and $1.0 million, and funds drawn on the revolving credit facility of $0.0 million and $5.0 million, as of September 30, 2025 and December 31,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13, 2024, the Company amended the Credit Agreement to modify certain financial condition covenants and the applicable margins. As such, for the period of September 13, 2024 through June 30, 2025, the applicable per annum margin was 2.5% or 3.5% for base rate or SOFR, respectively, if the Company's total leverage ratio was equal to or greater than 2.0x. If the Company's total leverage ratio was equal to or greater than 1.0x and less than 2.0x, the applicable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9"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annum margin was 2.0% or 3.0% for base rate or SOFR, respectively. If the Company's total leverage ratio was below 1.0x, the applicable per annum margin was 1.5% or 2.5% for base rate or SOFR,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entered into the Third Amendment to the Credit Agreement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Vesey Street Capital Partners, L.L.C., our private equity sponsor (“Sponsor”). In consideration of the Third Amendment, the Company paid a fee equal to 0.15% of the outstanding loans to consenting Lenders, and a $125 thousand arrangement fee to Silicon Valley Bank.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Under the terms of the Limited Guarantee, if our Sponsor was required to make any payment under the Limited Guarantee (other than as a result of a bankruptcy event), then our Sponsor would be deemed to have purchased shares of common stock of the Company having an aggregate value equal to the amount of such payment. The Company agreed to issue a subordinated note to our Sponsor if a payment occurred under the Limited Guarantee, to the extent such payment did not result from the issuance of shares of common stock by the Company to our Sponsor.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13, 2025, the Company made a $10.0 million principal payment on the term loan in accordance with the Third Amendment using proceeds from its underwritten public offering completed on June 11,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interest rate under the Credit Agreement was 8.82%.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JOBS Act Accounting Election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30"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 subject to the same new or revised accounting standards as other public companies that are not emerging growth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significant accounting policies is disclosed in our Annual Report on Form 10-K dated March 14, 2025 filed with the SEC pursuant to Section 13 or 15d of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required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we adjusted personnel responsibility for our internal control over financial reporting to address the departure of our former Chief Accounting Officer. There were no other changes in our internal control over financial reporting that materially affected, or are reasonably likely to materially affect, our internal control over financial reporting during the quarter ended September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1485"/>
                <wp:effectExtent l="0" t="0" r="0" b="0"/>
                <wp:wrapNone/>
                <wp:docPr id="31" name="Frame3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32"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2024 dated March 14, 2025 and filed with the SEC pursuant to Section 13 or 15(d) of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our directors or officers have adopted or terminated any "Rule 10b5-1 trading arrangement" or "non-Rule 10b5-1 trading arrangement" (each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1485"/>
                <wp:effectExtent l="0" t="0" r="0" b="0"/>
                <wp:wrapNone/>
                <wp:docPr id="33" name="Frame3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2800"/>
        <w:gridCol w:w="2697"/>
        <w:gridCol w:w="3812"/>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19302025.htm">
              <w:r>
                <w:rPr>
                  <w:rStyle w:val="InternetLink"/>
                  <w:rFonts w:ascii="Times New Roman;serif" w:hAnsi="Times New Roman;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29302025.htm">
              <w:r>
                <w:rPr>
                  <w:rStyle w:val="InternetLink"/>
                  <w:rFonts w:ascii="Times New Roman;serif" w:hAnsi="Times New Roman;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219302025.htm">
              <w:r>
                <w:rPr>
                  <w:rStyle w:val="InternetLink"/>
                  <w:rFonts w:ascii="Times New Roman;serif" w:hAnsi="Times New Roman;serif"/>
                  <w:b w:val="false"/>
                  <w:color w:val="000000"/>
                  <w:sz w:val="20"/>
                  <w:u w:val="single"/>
                </w:rPr>
                <w:t>Certification of Principal Executive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3229302025qsonly.htm">
              <w:r>
                <w:rPr>
                  <w:rStyle w:val="InternetLink"/>
                  <w:rFonts w:ascii="Times New Roman;serif" w:hAnsi="Times New Roman;serif"/>
                  <w:b w:val="false"/>
                  <w:color w:val="000000"/>
                  <w:sz w:val="20"/>
                  <w:u w:val="single"/>
                </w:rPr>
                <w:t>Certification of Principal Financial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certifications attached as Exhibit 32.1 and Exhibit 32.2 that accompany this Quarterly Report on Form 10-Q are being furnished herewith and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b27f62f5b8bb442aa28202fbd229535f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67" w:type="dxa"/>
        <w:jc w:val="left"/>
        <w:tblInd w:w="0" w:type="dxa"/>
        <w:tblLayout w:type="fixed"/>
        <w:tblCellMar>
          <w:top w:w="28" w:type="dxa"/>
          <w:left w:w="28" w:type="dxa"/>
          <w:bottom w:w="28" w:type="dxa"/>
          <w:right w:w="28" w:type="dxa"/>
        </w:tblCellMar>
      </w:tblPr>
      <w:tblGrid>
        <w:gridCol w:w="124"/>
        <w:gridCol w:w="109"/>
        <w:gridCol w:w="109"/>
        <w:gridCol w:w="518"/>
        <w:gridCol w:w="518"/>
        <w:gridCol w:w="518"/>
        <w:gridCol w:w="1690"/>
        <w:gridCol w:w="1690"/>
        <w:gridCol w:w="171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AIRSCULPT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Dean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Dean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1485"/>
                <wp:effectExtent l="0" t="0" r="0" b="0"/>
                <wp:wrapNone/>
                <wp:docPr id="35" name="Frame3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Yogi Jashnani,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47" w:type="dxa"/>
        <w:jc w:val="left"/>
        <w:tblInd w:w="0" w:type="dxa"/>
        <w:tblLayout w:type="fixed"/>
        <w:tblCellMar>
          <w:top w:w="28" w:type="dxa"/>
          <w:left w:w="28" w:type="dxa"/>
          <w:bottom w:w="28" w:type="dxa"/>
          <w:right w:w="28" w:type="dxa"/>
        </w:tblCellMar>
      </w:tblPr>
      <w:tblGrid>
        <w:gridCol w:w="759"/>
        <w:gridCol w:w="668"/>
        <w:gridCol w:w="672"/>
        <w:gridCol w:w="393"/>
        <w:gridCol w:w="393"/>
        <w:gridCol w:w="393"/>
        <w:gridCol w:w="600"/>
        <w:gridCol w:w="600"/>
        <w:gridCol w:w="86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Dennis Dean,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88" w:type="dxa"/>
        <w:jc w:val="left"/>
        <w:tblInd w:w="0" w:type="dxa"/>
        <w:tblLayout w:type="fixed"/>
        <w:tblCellMar>
          <w:top w:w="28" w:type="dxa"/>
          <w:left w:w="28" w:type="dxa"/>
          <w:bottom w:w="28" w:type="dxa"/>
          <w:right w:w="28" w:type="dxa"/>
        </w:tblCellMar>
      </w:tblPr>
      <w:tblGrid>
        <w:gridCol w:w="759"/>
        <w:gridCol w:w="668"/>
        <w:gridCol w:w="672"/>
        <w:gridCol w:w="393"/>
        <w:gridCol w:w="393"/>
        <w:gridCol w:w="393"/>
        <w:gridCol w:w="583"/>
        <w:gridCol w:w="583"/>
        <w:gridCol w:w="84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Dennis Dean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Dennis Dean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September 30, 2025,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57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04"/>
        <w:gridCol w:w="604"/>
        <w:gridCol w:w="86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September 30, 2025,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5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588"/>
        <w:gridCol w:w="588"/>
        <w:gridCol w:w="83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 Dennis Dean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Dennis Dean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18589</Words>
  <Characters>102665</Characters>
  <CharactersWithSpaces>120095</CharactersWithSpaces>
  <Paragraphs>1966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